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54"/>
          <w:sz w:val="38"/>
        </w:rPr>
        <w:br/>
        <w:t>KRIPTOME MINISOC</w:t>
        <w:br/>
      </w:r>
    </w:p>
    <w:p>
      <w:pPr>
        <w:jc w:val="center"/>
      </w:pPr>
      <w:r>
        <w:rPr>
          <w:b/>
          <w:color w:val="1F3854"/>
          <w:sz w:val="50"/>
        </w:rPr>
        <w:t>Outputs y Entregables de Kriptome MiniSOC</w:t>
      </w:r>
    </w:p>
    <w:p>
      <w:pPr>
        <w:jc w:val="center"/>
      </w:pPr>
      <w:r>
        <w:rPr>
          <w:i/>
          <w:sz w:val="24"/>
        </w:rPr>
        <w:t>Definición de productos técnicos, operativos y de negocio generados por el sistema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57"/>
        <w:gridCol w:w="4957"/>
      </w:tblGrid>
      <w:tr>
        <w:tc>
          <w:tcPr>
            <w:tcW w:type="dxa" w:w="4957"/>
            <w:shd w:fill="D9E2F3"/>
            <w:vAlign w:val="center"/>
          </w:tcPr>
          <w:p>
            <w:r>
              <w:rPr>
                <w:b/>
              </w:rPr>
              <w:t>Proyecto</w:t>
            </w:r>
          </w:p>
        </w:tc>
        <w:tc>
          <w:tcPr>
            <w:tcW w:type="dxa" w:w="4957"/>
            <w:vAlign w:val="center"/>
          </w:tcPr>
          <w:p>
            <w:r>
              <w:t>Kriptome MiniSOC</w:t>
            </w:r>
          </w:p>
        </w:tc>
      </w:tr>
      <w:tr>
        <w:tc>
          <w:tcPr>
            <w:tcW w:type="dxa" w:w="4957"/>
            <w:shd w:fill="D9E2F3"/>
            <w:vAlign w:val="center"/>
          </w:tcPr>
          <w:p>
            <w:r>
              <w:rPr>
                <w:b/>
              </w:rPr>
              <w:t>Repositorio base</w:t>
            </w:r>
          </w:p>
        </w:tc>
        <w:tc>
          <w:tcPr>
            <w:tcW w:type="dxa" w:w="4957"/>
            <w:vAlign w:val="center"/>
          </w:tcPr>
          <w:p>
            <w:r>
              <w:t>Repositorio v1.2.0 — commit ab772d198719</w:t>
            </w:r>
          </w:p>
        </w:tc>
      </w:tr>
      <w:tr>
        <w:tc>
          <w:tcPr>
            <w:tcW w:type="dxa" w:w="4957"/>
            <w:shd w:fill="D9E2F3"/>
            <w:vAlign w:val="center"/>
          </w:tcPr>
          <w:p>
            <w:r>
              <w:rPr>
                <w:b/>
              </w:rPr>
              <w:t>Estado</w:t>
            </w:r>
          </w:p>
        </w:tc>
        <w:tc>
          <w:tcPr>
            <w:tcW w:type="dxa" w:w="4957"/>
            <w:vAlign w:val="center"/>
          </w:tcPr>
          <w:p>
            <w:r>
              <w:t>Diseño técnico consolidado; implementación de la aplicación pendiente</w:t>
            </w:r>
          </w:p>
        </w:tc>
      </w:tr>
      <w:tr>
        <w:tc>
          <w:tcPr>
            <w:tcW w:type="dxa" w:w="4957"/>
            <w:shd w:fill="D9E2F3"/>
            <w:vAlign w:val="center"/>
          </w:tcPr>
          <w:p>
            <w:r>
              <w:rPr>
                <w:b/>
              </w:rPr>
              <w:t>Audiencia</w:t>
            </w:r>
          </w:p>
        </w:tc>
        <w:tc>
          <w:tcPr>
            <w:tcW w:type="dxa" w:w="4957"/>
            <w:vAlign w:val="center"/>
          </w:tcPr>
          <w:p>
            <w:r>
              <w:t>Jefatura, producto, arquitectura, desarrollo, SOC, QA y cliente</w:t>
            </w:r>
          </w:p>
        </w:tc>
      </w:tr>
      <w:tr>
        <w:tc>
          <w:tcPr>
            <w:tcW w:type="dxa" w:w="4957"/>
            <w:shd w:fill="D9E2F3"/>
            <w:vAlign w:val="center"/>
          </w:tcPr>
          <w:p>
            <w:r>
              <w:rPr>
                <w:b/>
              </w:rPr>
              <w:t>Versión</w:t>
            </w:r>
          </w:p>
        </w:tc>
        <w:tc>
          <w:tcPr>
            <w:tcW w:type="dxa" w:w="4957"/>
            <w:vAlign w:val="center"/>
          </w:tcPr>
          <w:p>
            <w:r>
              <w:t>Versión documental 2.0</w:t>
            </w:r>
          </w:p>
        </w:tc>
      </w:tr>
      <w:tr>
        <w:tc>
          <w:tcPr>
            <w:tcW w:type="dxa" w:w="4957"/>
            <w:shd w:fill="D9E2F3"/>
            <w:vAlign w:val="center"/>
          </w:tcPr>
          <w:p>
            <w:r>
              <w:rPr>
                <w:b/>
              </w:rPr>
              <w:t>Fecha</w:t>
            </w:r>
          </w:p>
        </w:tc>
        <w:tc>
          <w:tcPr>
            <w:tcW w:type="dxa" w:w="4957"/>
            <w:vAlign w:val="center"/>
          </w:tcPr>
          <w:p>
            <w:r>
              <w:t>22 de julio de 2026</w:t>
            </w:r>
          </w:p>
        </w:tc>
      </w:tr>
    </w:tbl>
    <w:p>
      <w:pPr>
        <w:jc w:val="center"/>
      </w:pPr>
      <w:r>
        <w:rPr>
          <w:i/>
        </w:rPr>
        <w:br/>
        <w:t>Documento elaborado a partir de los artefactos existentes en el repositorio. Las capacidades no implementadas se identifican expresamente como diseño o pendiente.</w:t>
      </w:r>
    </w:p>
    <w:p>
      <w:r/>
    </w:p>
    <w:p>
      <w:pPr>
        <w:pStyle w:val="Heading1"/>
      </w:pPr>
      <w:r>
        <w:t>Contenido</w:t>
      </w:r>
    </w:p>
    <w:p>
      <w:pPr>
        <w:spacing w:after="40"/>
      </w:pPr>
      <w:r>
        <w:rPr>
          <w:b/>
        </w:rPr>
        <w:t>1. Propósito y clasificación</w:t>
      </w:r>
    </w:p>
    <w:p>
      <w:pPr>
        <w:spacing w:after="40"/>
      </w:pPr>
      <w:r>
        <w:rPr>
          <w:b/>
        </w:rPr>
        <w:t>2. Evento original</w:t>
      </w:r>
    </w:p>
    <w:p>
      <w:pPr>
        <w:spacing w:after="40"/>
      </w:pPr>
      <w:r>
        <w:rPr>
          <w:b/>
        </w:rPr>
        <w:t>3. Alerta normalizada</w:t>
      </w:r>
    </w:p>
    <w:p>
      <w:pPr>
        <w:spacing w:after="40"/>
      </w:pPr>
      <w:r>
        <w:rPr>
          <w:b/>
        </w:rPr>
        <w:t>4. Resolución de tenant</w:t>
      </w:r>
    </w:p>
    <w:p>
      <w:pPr>
        <w:spacing w:after="40"/>
      </w:pPr>
      <w:r>
        <w:rPr>
          <w:b/>
        </w:rPr>
        <w:t>5. Fingerprint</w:t>
      </w:r>
    </w:p>
    <w:p>
      <w:pPr>
        <w:spacing w:after="40"/>
      </w:pPr>
      <w:r>
        <w:rPr>
          <w:b/>
        </w:rPr>
        <w:t>6. Caso de seguridad</w:t>
      </w:r>
    </w:p>
    <w:p>
      <w:pPr>
        <w:spacing w:after="40"/>
      </w:pPr>
      <w:r>
        <w:rPr>
          <w:b/>
        </w:rPr>
        <w:t>7. Enriquecimientos</w:t>
      </w:r>
    </w:p>
    <w:p>
      <w:pPr>
        <w:spacing w:after="40"/>
      </w:pPr>
      <w:r>
        <w:rPr>
          <w:b/>
        </w:rPr>
        <w:t>8. Resultado de riesgo</w:t>
      </w:r>
    </w:p>
    <w:p>
      <w:pPr>
        <w:spacing w:after="40"/>
      </w:pPr>
      <w:r>
        <w:rPr>
          <w:b/>
        </w:rPr>
        <w:t>9. Procedimiento</w:t>
      </w:r>
    </w:p>
    <w:p>
      <w:pPr>
        <w:spacing w:after="40"/>
      </w:pPr>
      <w:r>
        <w:rPr>
          <w:b/>
        </w:rPr>
        <w:t>10. Ejecución de IA</w:t>
      </w:r>
    </w:p>
    <w:p>
      <w:pPr>
        <w:spacing w:after="40"/>
      </w:pPr>
      <w:r>
        <w:rPr>
          <w:b/>
        </w:rPr>
        <w:t>11. Comunicación al cliente</w:t>
      </w:r>
    </w:p>
    <w:p>
      <w:pPr>
        <w:spacing w:after="40"/>
      </w:pPr>
      <w:r>
        <w:rPr>
          <w:b/>
        </w:rPr>
        <w:t>12. Auditoría</w:t>
      </w:r>
    </w:p>
    <w:p>
      <w:pPr>
        <w:spacing w:after="40"/>
      </w:pPr>
      <w:r>
        <w:rPr>
          <w:b/>
        </w:rPr>
        <w:t>13. Métricas y reportes</w:t>
      </w:r>
    </w:p>
    <w:p>
      <w:pPr>
        <w:spacing w:after="40"/>
      </w:pPr>
      <w:r>
        <w:rPr>
          <w:b/>
        </w:rPr>
        <w:t>14. Outputs de error</w:t>
      </w:r>
    </w:p>
    <w:p>
      <w:pPr>
        <w:spacing w:after="40"/>
      </w:pPr>
      <w:r>
        <w:rPr>
          <w:b/>
        </w:rPr>
        <w:t>15. Trazabilidad</w:t>
      </w:r>
    </w:p>
    <w:p>
      <w:r/>
    </w:p>
    <w:p>
      <w:pPr>
        <w:pStyle w:val="Heading1"/>
      </w:pPr>
      <w:r>
        <w:t>1. Propósito y clasificación</w:t>
      </w:r>
    </w:p>
    <w:p>
      <w:r>
        <w:t>Este documento define qué produce Kriptome. Un output no es únicamente un correo; incluye contratos internos que permiten procesar, auditar y probar el sistema. Cada output se describe por productor, consumidor, momento, formato, campos, persistencia, sensibilidad y errores.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57"/>
        <w:gridCol w:w="4957"/>
      </w:tblGrid>
      <w:tr>
        <w:trPr>
          <w:tblHeader w:val="true"/>
        </w:trPr>
        <w:tc>
          <w:tcPr>
            <w:tcW w:type="dxa" w:w="4957"/>
            <w:shd w:fill="D9E2F3"/>
          </w:tcPr>
          <w:p>
            <w:r>
              <w:rPr>
                <w:b/>
                <w:sz w:val="17"/>
              </w:rPr>
              <w:t>Categoría</w:t>
            </w:r>
          </w:p>
        </w:tc>
        <w:tc>
          <w:tcPr>
            <w:tcW w:type="dxa" w:w="4957"/>
            <w:shd w:fill="D9E2F3"/>
          </w:tcPr>
          <w:p>
            <w:r>
              <w:rPr>
                <w:b/>
                <w:sz w:val="17"/>
              </w:rPr>
              <w:t>Outputs</w:t>
            </w:r>
          </w:p>
        </w:tc>
      </w:tr>
      <w:tr>
        <w:tc>
          <w:tcPr>
            <w:tcW w:type="dxa" w:w="4957"/>
            <w:vAlign w:val="top"/>
          </w:tcPr>
          <w:p>
            <w:pPr>
              <w:jc w:val="left"/>
            </w:pPr>
            <w:r>
              <w:rPr>
                <w:sz w:val="17"/>
              </w:rPr>
              <w:t>Entrada preservada</w:t>
            </w:r>
          </w:p>
        </w:tc>
        <w:tc>
          <w:tcPr>
            <w:tcW w:type="dxa" w:w="4957"/>
            <w:vAlign w:val="top"/>
          </w:tcPr>
          <w:p>
            <w:pPr>
              <w:jc w:val="left"/>
            </w:pPr>
            <w:r>
              <w:rPr>
                <w:sz w:val="17"/>
              </w:rPr>
              <w:t>Evento original</w:t>
            </w:r>
          </w:p>
        </w:tc>
      </w:tr>
      <w:tr>
        <w:tc>
          <w:tcPr>
            <w:tcW w:type="dxa" w:w="4957"/>
            <w:vAlign w:val="top"/>
          </w:tcPr>
          <w:p>
            <w:pPr>
              <w:jc w:val="left"/>
            </w:pPr>
            <w:r>
              <w:rPr>
                <w:sz w:val="17"/>
              </w:rPr>
              <w:t>Transformación</w:t>
            </w:r>
          </w:p>
        </w:tc>
        <w:tc>
          <w:tcPr>
            <w:tcW w:type="dxa" w:w="4957"/>
            <w:vAlign w:val="top"/>
          </w:tcPr>
          <w:p>
            <w:pPr>
              <w:jc w:val="left"/>
            </w:pPr>
            <w:r>
              <w:rPr>
                <w:sz w:val="17"/>
              </w:rPr>
              <w:t>Alerta normalizada y resolución tenant</w:t>
            </w:r>
          </w:p>
        </w:tc>
      </w:tr>
      <w:tr>
        <w:tc>
          <w:tcPr>
            <w:tcW w:type="dxa" w:w="4957"/>
            <w:vAlign w:val="top"/>
          </w:tcPr>
          <w:p>
            <w:pPr>
              <w:jc w:val="left"/>
            </w:pPr>
            <w:r>
              <w:rPr>
                <w:sz w:val="17"/>
              </w:rPr>
              <w:t>Gestión</w:t>
            </w:r>
          </w:p>
        </w:tc>
        <w:tc>
          <w:tcPr>
            <w:tcW w:type="dxa" w:w="4957"/>
            <w:vAlign w:val="top"/>
          </w:tcPr>
          <w:p>
            <w:pPr>
              <w:jc w:val="left"/>
            </w:pPr>
            <w:r>
              <w:rPr>
                <w:sz w:val="17"/>
              </w:rPr>
              <w:t>Fingerprint, caso, estado y evidencia</w:t>
            </w:r>
          </w:p>
        </w:tc>
      </w:tr>
      <w:tr>
        <w:tc>
          <w:tcPr>
            <w:tcW w:type="dxa" w:w="4957"/>
            <w:vAlign w:val="top"/>
          </w:tcPr>
          <w:p>
            <w:pPr>
              <w:jc w:val="left"/>
            </w:pPr>
            <w:r>
              <w:rPr>
                <w:sz w:val="17"/>
              </w:rPr>
              <w:t>Contexto</w:t>
            </w:r>
          </w:p>
        </w:tc>
        <w:tc>
          <w:tcPr>
            <w:tcW w:type="dxa" w:w="4957"/>
            <w:vAlign w:val="top"/>
          </w:tcPr>
          <w:p>
            <w:pPr>
              <w:jc w:val="left"/>
            </w:pPr>
            <w:r>
              <w:rPr>
                <w:sz w:val="17"/>
              </w:rPr>
              <w:t>Enrichment results</w:t>
            </w:r>
          </w:p>
        </w:tc>
      </w:tr>
      <w:tr>
        <w:tc>
          <w:tcPr>
            <w:tcW w:type="dxa" w:w="4957"/>
            <w:vAlign w:val="top"/>
          </w:tcPr>
          <w:p>
            <w:pPr>
              <w:jc w:val="left"/>
            </w:pPr>
            <w:r>
              <w:rPr>
                <w:sz w:val="17"/>
              </w:rPr>
              <w:t>Decisión</w:t>
            </w:r>
          </w:p>
        </w:tc>
        <w:tc>
          <w:tcPr>
            <w:tcW w:type="dxa" w:w="4957"/>
            <w:vAlign w:val="top"/>
          </w:tcPr>
          <w:p>
            <w:pPr>
              <w:jc w:val="left"/>
            </w:pPr>
            <w:r>
              <w:rPr>
                <w:sz w:val="17"/>
              </w:rPr>
              <w:t>Riesgo y procedimiento</w:t>
            </w:r>
          </w:p>
        </w:tc>
      </w:tr>
      <w:tr>
        <w:tc>
          <w:tcPr>
            <w:tcW w:type="dxa" w:w="4957"/>
            <w:vAlign w:val="top"/>
          </w:tcPr>
          <w:p>
            <w:pPr>
              <w:jc w:val="left"/>
            </w:pPr>
            <w:r>
              <w:rPr>
                <w:sz w:val="17"/>
              </w:rPr>
              <w:t>Asistencia</w:t>
            </w:r>
          </w:p>
        </w:tc>
        <w:tc>
          <w:tcPr>
            <w:tcW w:type="dxa" w:w="4957"/>
            <w:vAlign w:val="top"/>
          </w:tcPr>
          <w:p>
            <w:pPr>
              <w:jc w:val="left"/>
            </w:pPr>
            <w:r>
              <w:rPr>
                <w:sz w:val="17"/>
              </w:rPr>
              <w:t>Ejecución y salida de IA</w:t>
            </w:r>
          </w:p>
        </w:tc>
      </w:tr>
      <w:tr>
        <w:tc>
          <w:tcPr>
            <w:tcW w:type="dxa" w:w="4957"/>
            <w:vAlign w:val="top"/>
          </w:tcPr>
          <w:p>
            <w:pPr>
              <w:jc w:val="left"/>
            </w:pPr>
            <w:r>
              <w:rPr>
                <w:sz w:val="17"/>
              </w:rPr>
              <w:t>Cliente</w:t>
            </w:r>
          </w:p>
        </w:tc>
        <w:tc>
          <w:tcPr>
            <w:tcW w:type="dxa" w:w="4957"/>
            <w:vAlign w:val="top"/>
          </w:tcPr>
          <w:p>
            <w:pPr>
              <w:jc w:val="left"/>
            </w:pPr>
            <w:r>
              <w:rPr>
                <w:sz w:val="17"/>
              </w:rPr>
              <w:t>Notificaciones y respuestas</w:t>
            </w:r>
          </w:p>
        </w:tc>
      </w:tr>
      <w:tr>
        <w:tc>
          <w:tcPr>
            <w:tcW w:type="dxa" w:w="4957"/>
            <w:vAlign w:val="top"/>
          </w:tcPr>
          <w:p>
            <w:pPr>
              <w:jc w:val="left"/>
            </w:pPr>
            <w:r>
              <w:rPr>
                <w:sz w:val="17"/>
              </w:rPr>
              <w:t>Gobierno</w:t>
            </w:r>
          </w:p>
        </w:tc>
        <w:tc>
          <w:tcPr>
            <w:tcW w:type="dxa" w:w="4957"/>
            <w:vAlign w:val="top"/>
          </w:tcPr>
          <w:p>
            <w:pPr>
              <w:jc w:val="left"/>
            </w:pPr>
            <w:r>
              <w:rPr>
                <w:sz w:val="17"/>
              </w:rPr>
              <w:t>Auditoría, métricas y reportes</w:t>
            </w:r>
          </w:p>
        </w:tc>
      </w:tr>
      <w:tr>
        <w:tc>
          <w:tcPr>
            <w:tcW w:type="dxa" w:w="4957"/>
            <w:vAlign w:val="top"/>
          </w:tcPr>
          <w:p>
            <w:pPr>
              <w:jc w:val="left"/>
            </w:pPr>
            <w:r>
              <w:rPr>
                <w:sz w:val="17"/>
              </w:rPr>
              <w:t>Errores</w:t>
            </w:r>
          </w:p>
        </w:tc>
        <w:tc>
          <w:tcPr>
            <w:tcW w:type="dxa" w:w="4957"/>
            <w:vAlign w:val="top"/>
          </w:tcPr>
          <w:p>
            <w:pPr>
              <w:jc w:val="left"/>
            </w:pPr>
            <w:r>
              <w:rPr>
                <w:sz w:val="17"/>
              </w:rPr>
              <w:t>Cuarentena, retry, dead-letter y degradación</w:t>
            </w:r>
          </w:p>
        </w:tc>
      </w:tr>
    </w:tbl>
    <w:p/>
    <w:p>
      <w:pPr>
        <w:pStyle w:val="Heading1"/>
      </w:pPr>
      <w:r>
        <w:t>2. Evento original almacenado</w:t>
      </w:r>
    </w:p>
    <w:p>
      <w:r>
        <w:t>El evento original es la copia inmutable de la alerta entregada por Wazuh. Lo produce la ingesta y lo consumen normalización, auditoría y reprocesamiento. Se genera antes de cualquier transformación. Su formato es JSON y puede incluir agent, rule, decoder, data, labels y full_log.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05"/>
        <w:gridCol w:w="3305"/>
        <w:gridCol w:w="3305"/>
      </w:tblGrid>
      <w:tr>
        <w:trPr>
          <w:tblHeader w:val="true"/>
        </w:trPr>
        <w:tc>
          <w:tcPr>
            <w:tcW w:type="dxa" w:w="3305"/>
            <w:shd w:fill="D9E2F3"/>
          </w:tcPr>
          <w:p>
            <w:r>
              <w:rPr>
                <w:b/>
                <w:sz w:val="17"/>
              </w:rPr>
              <w:t>Campo</w:t>
            </w:r>
          </w:p>
        </w:tc>
        <w:tc>
          <w:tcPr>
            <w:tcW w:type="dxa" w:w="3305"/>
            <w:shd w:fill="D9E2F3"/>
          </w:tcPr>
          <w:p>
            <w:r>
              <w:rPr>
                <w:b/>
                <w:sz w:val="17"/>
              </w:rPr>
              <w:t>Descripción</w:t>
            </w:r>
          </w:p>
        </w:tc>
        <w:tc>
          <w:tcPr>
            <w:tcW w:type="dxa" w:w="3305"/>
            <w:shd w:fill="D9E2F3"/>
          </w:tcPr>
          <w:p>
            <w:r>
              <w:rPr>
                <w:b/>
                <w:sz w:val="17"/>
              </w:rPr>
              <w:t>Sensibilidad</w:t>
            </w:r>
          </w:p>
        </w:tc>
      </w:tr>
      <w:tr>
        <w:tc>
          <w:tcPr>
            <w:tcW w:type="dxa" w:w="3305"/>
            <w:vAlign w:val="top"/>
          </w:tcPr>
          <w:p>
            <w:pPr>
              <w:jc w:val="left"/>
            </w:pPr>
            <w:r>
              <w:rPr>
                <w:sz w:val="17"/>
              </w:rPr>
              <w:t>wazuh_event_id</w:t>
            </w:r>
          </w:p>
        </w:tc>
        <w:tc>
          <w:tcPr>
            <w:tcW w:type="dxa" w:w="3305"/>
            <w:vAlign w:val="top"/>
          </w:tcPr>
          <w:p>
            <w:pPr>
              <w:jc w:val="left"/>
            </w:pPr>
            <w:r>
              <w:rPr>
                <w:sz w:val="17"/>
              </w:rPr>
              <w:t>Identificador único</w:t>
            </w:r>
          </w:p>
        </w:tc>
        <w:tc>
          <w:tcPr>
            <w:tcW w:type="dxa" w:w="3305"/>
            <w:vAlign w:val="top"/>
          </w:tcPr>
          <w:p>
            <w:pPr>
              <w:jc w:val="left"/>
            </w:pPr>
            <w:r>
              <w:rPr>
                <w:sz w:val="17"/>
              </w:rPr>
              <w:t>Baja</w:t>
            </w:r>
          </w:p>
        </w:tc>
      </w:tr>
      <w:tr>
        <w:tc>
          <w:tcPr>
            <w:tcW w:type="dxa" w:w="3305"/>
            <w:vAlign w:val="top"/>
          </w:tcPr>
          <w:p>
            <w:pPr>
              <w:jc w:val="left"/>
            </w:pPr>
            <w:r>
              <w:rPr>
                <w:sz w:val="17"/>
              </w:rPr>
              <w:t>timestamp</w:t>
            </w:r>
          </w:p>
        </w:tc>
        <w:tc>
          <w:tcPr>
            <w:tcW w:type="dxa" w:w="3305"/>
            <w:vAlign w:val="top"/>
          </w:tcPr>
          <w:p>
            <w:pPr>
              <w:jc w:val="left"/>
            </w:pPr>
            <w:r>
              <w:rPr>
                <w:sz w:val="17"/>
              </w:rPr>
              <w:t>Momento del evento</w:t>
            </w:r>
          </w:p>
        </w:tc>
        <w:tc>
          <w:tcPr>
            <w:tcW w:type="dxa" w:w="3305"/>
            <w:vAlign w:val="top"/>
          </w:tcPr>
          <w:p>
            <w:pPr>
              <w:jc w:val="left"/>
            </w:pPr>
            <w:r>
              <w:rPr>
                <w:sz w:val="17"/>
              </w:rPr>
              <w:t>Media</w:t>
            </w:r>
          </w:p>
        </w:tc>
      </w:tr>
      <w:tr>
        <w:tc>
          <w:tcPr>
            <w:tcW w:type="dxa" w:w="3305"/>
            <w:vAlign w:val="top"/>
          </w:tcPr>
          <w:p>
            <w:pPr>
              <w:jc w:val="left"/>
            </w:pPr>
            <w:r>
              <w:rPr>
                <w:sz w:val="17"/>
              </w:rPr>
              <w:t>agent</w:t>
            </w:r>
          </w:p>
        </w:tc>
        <w:tc>
          <w:tcPr>
            <w:tcW w:type="dxa" w:w="3305"/>
            <w:vAlign w:val="top"/>
          </w:tcPr>
          <w:p>
            <w:pPr>
              <w:jc w:val="left"/>
            </w:pPr>
            <w:r>
              <w:rPr>
                <w:sz w:val="17"/>
              </w:rPr>
              <w:t>Agente y nombre</w:t>
            </w:r>
          </w:p>
        </w:tc>
        <w:tc>
          <w:tcPr>
            <w:tcW w:type="dxa" w:w="3305"/>
            <w:vAlign w:val="top"/>
          </w:tcPr>
          <w:p>
            <w:pPr>
              <w:jc w:val="left"/>
            </w:pPr>
            <w:r>
              <w:rPr>
                <w:sz w:val="17"/>
              </w:rPr>
              <w:t>Media</w:t>
            </w:r>
          </w:p>
        </w:tc>
      </w:tr>
      <w:tr>
        <w:tc>
          <w:tcPr>
            <w:tcW w:type="dxa" w:w="3305"/>
            <w:vAlign w:val="top"/>
          </w:tcPr>
          <w:p>
            <w:pPr>
              <w:jc w:val="left"/>
            </w:pPr>
            <w:r>
              <w:rPr>
                <w:sz w:val="17"/>
              </w:rPr>
              <w:t>rule</w:t>
            </w:r>
          </w:p>
        </w:tc>
        <w:tc>
          <w:tcPr>
            <w:tcW w:type="dxa" w:w="3305"/>
            <w:vAlign w:val="top"/>
          </w:tcPr>
          <w:p>
            <w:pPr>
              <w:jc w:val="left"/>
            </w:pPr>
            <w:r>
              <w:rPr>
                <w:sz w:val="17"/>
              </w:rPr>
              <w:t>Regla, nivel y grupos</w:t>
            </w:r>
          </w:p>
        </w:tc>
        <w:tc>
          <w:tcPr>
            <w:tcW w:type="dxa" w:w="3305"/>
            <w:vAlign w:val="top"/>
          </w:tcPr>
          <w:p>
            <w:pPr>
              <w:jc w:val="left"/>
            </w:pPr>
            <w:r>
              <w:rPr>
                <w:sz w:val="17"/>
              </w:rPr>
              <w:t>Baja</w:t>
            </w:r>
          </w:p>
        </w:tc>
      </w:tr>
      <w:tr>
        <w:tc>
          <w:tcPr>
            <w:tcW w:type="dxa" w:w="3305"/>
            <w:vAlign w:val="top"/>
          </w:tcPr>
          <w:p>
            <w:pPr>
              <w:jc w:val="left"/>
            </w:pPr>
            <w:r>
              <w:rPr>
                <w:sz w:val="17"/>
              </w:rPr>
              <w:t>data</w:t>
            </w:r>
          </w:p>
        </w:tc>
        <w:tc>
          <w:tcPr>
            <w:tcW w:type="dxa" w:w="3305"/>
            <w:vAlign w:val="top"/>
          </w:tcPr>
          <w:p>
            <w:pPr>
              <w:jc w:val="left"/>
            </w:pPr>
            <w:r>
              <w:rPr>
                <w:sz w:val="17"/>
              </w:rPr>
              <w:t>Campos decodificados</w:t>
            </w:r>
          </w:p>
        </w:tc>
        <w:tc>
          <w:tcPr>
            <w:tcW w:type="dxa" w:w="3305"/>
            <w:vAlign w:val="top"/>
          </w:tcPr>
          <w:p>
            <w:pPr>
              <w:jc w:val="left"/>
            </w:pPr>
            <w:r>
              <w:rPr>
                <w:sz w:val="17"/>
              </w:rPr>
              <w:t>Variable</w:t>
            </w:r>
          </w:p>
        </w:tc>
      </w:tr>
      <w:tr>
        <w:tc>
          <w:tcPr>
            <w:tcW w:type="dxa" w:w="3305"/>
            <w:vAlign w:val="top"/>
          </w:tcPr>
          <w:p>
            <w:pPr>
              <w:jc w:val="left"/>
            </w:pPr>
            <w:r>
              <w:rPr>
                <w:sz w:val="17"/>
              </w:rPr>
              <w:t>full_log</w:t>
            </w:r>
          </w:p>
        </w:tc>
        <w:tc>
          <w:tcPr>
            <w:tcW w:type="dxa" w:w="3305"/>
            <w:vAlign w:val="top"/>
          </w:tcPr>
          <w:p>
            <w:pPr>
              <w:jc w:val="left"/>
            </w:pPr>
            <w:r>
              <w:rPr>
                <w:sz w:val="17"/>
              </w:rPr>
              <w:t>Mensaje completo</w:t>
            </w:r>
          </w:p>
        </w:tc>
        <w:tc>
          <w:tcPr>
            <w:tcW w:type="dxa" w:w="3305"/>
            <w:vAlign w:val="top"/>
          </w:tcPr>
          <w:p>
            <w:pPr>
              <w:jc w:val="left"/>
            </w:pPr>
            <w:r>
              <w:rPr>
                <w:sz w:val="17"/>
              </w:rPr>
              <w:t>Alta</w:t>
            </w:r>
          </w:p>
        </w:tc>
      </w:tr>
      <w:tr>
        <w:tc>
          <w:tcPr>
            <w:tcW w:type="dxa" w:w="3305"/>
            <w:vAlign w:val="top"/>
          </w:tcPr>
          <w:p>
            <w:pPr>
              <w:jc w:val="left"/>
            </w:pPr>
            <w:r>
              <w:rPr>
                <w:sz w:val="17"/>
              </w:rPr>
              <w:t>labels</w:t>
            </w:r>
          </w:p>
        </w:tc>
        <w:tc>
          <w:tcPr>
            <w:tcW w:type="dxa" w:w="3305"/>
            <w:vAlign w:val="top"/>
          </w:tcPr>
          <w:p>
            <w:pPr>
              <w:jc w:val="left"/>
            </w:pPr>
            <w:r>
              <w:rPr>
                <w:sz w:val="17"/>
              </w:rPr>
              <w:t>Contexto transportado</w:t>
            </w:r>
          </w:p>
        </w:tc>
        <w:tc>
          <w:tcPr>
            <w:tcW w:type="dxa" w:w="3305"/>
            <w:vAlign w:val="top"/>
          </w:tcPr>
          <w:p>
            <w:pPr>
              <w:jc w:val="left"/>
            </w:pPr>
            <w:r>
              <w:rPr>
                <w:sz w:val="17"/>
              </w:rPr>
              <w:t>Media</w:t>
            </w:r>
          </w:p>
        </w:tc>
      </w:tr>
    </w:tbl>
    <w:p/>
    <w:p>
      <w:r>
        <w:t>No se envía directamente al cliente ni a la IA. La retención depende de la política forense. Los errores posibles incluyen JSON inválido, event_id ausente o evento duplicado.</w:t>
      </w:r>
    </w:p>
    <w:p>
      <w:pPr>
        <w:pStyle w:val="Heading1"/>
      </w:pPr>
      <w:r>
        <w:t>3. Alerta normalizada</w:t>
      </w:r>
    </w:p>
    <w:p>
      <w:r>
        <w:t>La alerta normalizada es el contrato común que desacopla la aplicación de los nombres de Wazuh. La produce el normalizador y la consume el motor de casos. Debe cumplir `normalized_event.schema.json`.</w:t>
      </w:r>
    </w:p>
    <w:p>
      <w:pPr>
        <w:spacing w:before="60" w:after="120"/>
        <w:ind w:left="340" w:right="340"/>
      </w:pPr>
      <w:r>
        <w:rPr>
          <w:rFonts w:ascii="Liberation Mono" w:hAnsi="Liberation Mono"/>
          <w:sz w:val="16"/>
        </w:rPr>
        <w:t>{</w:t>
        <w:br/>
        <w:t xml:space="preserve">  "event_id": "evt-20260722-00001",</w:t>
        <w:br/>
        <w:t xml:space="preserve">  "tenant_id": "CLI-001",</w:t>
        <w:br/>
        <w:t xml:space="preserve">  "asset_id": "AST-004",</w:t>
        <w:br/>
        <w:t xml:space="preserve">  "timestamp": "2026-07-22T01:40:00Z",</w:t>
        <w:br/>
        <w:t xml:space="preserve">  "source": "windows",</w:t>
        <w:br/>
        <w:t xml:space="preserve">  "case_type": "AUTH_BRUTEFORCE_SUCCESS",</w:t>
        <w:br/>
        <w:t xml:space="preserve">  "rule_id": 100013,</w:t>
        <w:br/>
        <w:t xml:space="preserve">  "rule_level": 12,</w:t>
        <w:br/>
        <w:t xml:space="preserve">  "rule_groups": ["kriptome_critical"],</w:t>
        <w:br/>
        <w:t xml:space="preserve">  "source_ip": "198.51.100.23",</w:t>
        <w:br/>
        <w:t xml:space="preserve">  "target_user": "administrador",</w:t>
        <w:br/>
        <w:t xml:space="preserve">  "mitre_ids": ["T1110"],</w:t>
        <w:br/>
        <w:t xml:space="preserve">  "raw_event_reference": "raw-3f..."</w:t>
        <w:br/>
        <w:t>}</w:t>
      </w:r>
    </w:p>
    <w:p>
      <w:r>
        <w:t>Los campos opcionales permanecen nulos. La validación genera output válido o `NORMALIZATION_FAILED` con lista de campos y referencia al raw event.</w:t>
      </w:r>
    </w:p>
    <w:p>
      <w:pPr>
        <w:pStyle w:val="Heading1"/>
      </w:pPr>
      <w:r>
        <w:t>4. Resolución de tenant</w:t>
      </w:r>
    </w:p>
    <w:p>
      <w:r>
        <w:t>Este output registra cómo se asignó el evento. Lo produce el servicio de activos y lo consumen seguridad y motor de casos. Incluye agent_id, tenant_id, asset_id, estado del agente, labels recibidos, comparación y motivo.</w:t>
      </w:r>
    </w:p>
    <w:p>
      <w:pPr>
        <w:spacing w:before="60" w:after="120"/>
        <w:ind w:left="340" w:right="340"/>
      </w:pPr>
      <w:r>
        <w:rPr>
          <w:rFonts w:ascii="Liberation Mono" w:hAnsi="Liberation Mono"/>
          <w:sz w:val="16"/>
        </w:rPr>
        <w:t>{</w:t>
        <w:br/>
        <w:t xml:space="preserve">  "agent_id": "001",</w:t>
        <w:br/>
        <w:t xml:space="preserve">  "resolved_tenant_id": "CLI-001",</w:t>
        <w:br/>
        <w:t xml:space="preserve">  "resolved_asset_id": "AST-004",</w:t>
        <w:br/>
        <w:t xml:space="preserve">  "label_tenant_id": "CLI-001",</w:t>
        <w:br/>
        <w:t xml:space="preserve">  "label_asset_id": "AST-004",</w:t>
        <w:br/>
        <w:t xml:space="preserve">  "status": "VALID",</w:t>
        <w:br/>
        <w:t xml:space="preserve">  "reason": null</w:t>
        <w:br/>
        <w:t>}</w:t>
      </w:r>
    </w:p>
    <w:p>
      <w:pPr>
        <w:pStyle w:val="Heading1"/>
      </w:pPr>
      <w:r>
        <w:t>5. Fingerprint</w:t>
      </w:r>
    </w:p>
    <w:p>
      <w:r>
        <w:t>El fingerprint es una cadena o hash determinístico que representa la identidad del caso. Lo produce el motor utilizando la política. Se almacena en el caso y se utiliza en restricciones e idempotencia.</w:t>
      </w:r>
    </w:p>
    <w:p>
      <w:pPr>
        <w:spacing w:before="60" w:after="120"/>
        <w:ind w:left="340" w:right="340"/>
      </w:pPr>
      <w:r>
        <w:rPr>
          <w:rFonts w:ascii="Liberation Mono" w:hAnsi="Liberation Mono"/>
          <w:sz w:val="16"/>
        </w:rPr>
        <w:t>CLI-001|AST-004|AUTH_BRUTEFORCE_SUCCESS|198.51.100.23</w:t>
      </w:r>
    </w:p>
    <w:p>
      <w:r>
        <w:t>Debe almacenarse junto con policy_version y los campos utilizados. Un cambio de política no debe modificar de forma retroactiva casos existentes sin migración.</w:t>
      </w:r>
    </w:p>
    <w:p>
      <w:pPr>
        <w:pStyle w:val="Heading1"/>
      </w:pPr>
      <w:r>
        <w:t>6. Caso de seguridad</w:t>
      </w:r>
    </w:p>
    <w:p>
      <w:pPr>
        <w:jc w:val="both"/>
      </w:pPr>
      <w:r>
        <w:t>El caso es el output central. Lo consume el SOC, la comunicación, los reportes y la auditoría. El contrato actual se encuentra en `case.schema.json`. El identificador utiliza la convención KRP-YYYY-NNNNNN.</w:t>
      </w:r>
    </w:p>
    <w:p>
      <w:pPr>
        <w:jc w:val="left"/>
      </w:pPr>
      <w:r>
        <w:rPr>
          <w:rFonts w:ascii="Liberation Mono" w:hAnsi="Liberation Mono"/>
          <w:sz w:val="16"/>
        </w:rPr>
        <w:t>{</w:t>
        <w:br/>
        <w:t xml:space="preserve">  "case_id": "KRP-2026-000145",</w:t>
        <w:br/>
        <w:t xml:space="preserve">  "tenant_id": "CLI-001",</w:t>
        <w:br/>
        <w:t xml:space="preserve">  "asset_id": "AST-004",</w:t>
        <w:br/>
        <w:t xml:space="preserve">  "case_type": "AUTH_BRUTEFORCE_SUCCESS",</w:t>
        <w:br/>
        <w:t xml:space="preserve">  "fingerprint": "CLI-001|AST-004|AUTH_BRUTEFORCE_SUCCESS|198.51.100.23",</w:t>
        <w:br/>
        <w:t xml:space="preserve">  "status": "pending_human_review",</w:t>
        <w:br/>
        <w:t xml:space="preserve">  "priority_level": "critico",</w:t>
        <w:br/>
        <w:t xml:space="preserve">  "opened_at": "2026-07-22T15:05:00-05:00",</w:t>
        <w:br/>
        <w:t xml:space="preserve">  "closed_at": null,</w:t>
        <w:br/>
        <w:t xml:space="preserve">  "event_count": 35,</w:t>
        <w:br/>
        <w:t xml:space="preserve">  "material_changes": [</w:t>
        <w:br/>
        <w:t xml:space="preserve">    {</w:t>
        <w:br/>
        <w:t xml:space="preserve">      "detected_at": "2026-07-22T15:11:00-05:00",</w:t>
        <w:br/>
        <w:t xml:space="preserve">      "description": "Inicio de sesion exitoso despues de intentos fallidos"</w:t>
        <w:br/>
        <w:t xml:space="preserve">    }</w:t>
        <w:br/>
        <w:t xml:space="preserve">  ],</w:t>
        <w:br/>
        <w:t xml:space="preserve">  "human_review_required": true,</w:t>
        <w:br/>
        <w:t xml:space="preserve">  "ai_input_hash": null,</w:t>
        <w:br/>
        <w:t xml:space="preserve">  "assigned_operator": "analista-01",</w:t>
        <w:br/>
        <w:t xml:space="preserve">  "notifications_sent": []</w:t>
        <w:br/>
        <w:t>}</w:t>
      </w:r>
    </w:p>
    <w:p>
      <w:pPr>
        <w:jc w:val="both"/>
      </w:pPr>
      <w:r>
        <w:t>El contrato actual no contiene todos los campos enriquecidos que se necesitan para el correo final. Los campos first_seen_at, last_seen_at, contadores por tipo, contexto del activo, resultado de riesgo y procedimiento se formalizan como objetos adicionales en la sección 16.4.</w:t>
      </w:r>
    </w:p>
    <w:p>
      <w:pPr>
        <w:pStyle w:val="Heading1"/>
      </w:pPr>
      <w:r>
        <w:t>7. Enriquecimientos</w:t>
      </w:r>
    </w:p>
    <w:p>
      <w:pPr>
        <w:jc w:val="both"/>
      </w:pPr>
      <w:r>
        <w:t>Cada enriquecimiento produce un objeto separado conforme a `enrichment_result.schema.json`. El contrato actual admite GeoIP, reputación de IP, hash o dominio y descripción de CVE en español. El resultado específico del proveedor permanece dentro de result y conserva fecha, TTL y fuente.</w:t>
      </w:r>
    </w:p>
    <w:p>
      <w:pPr>
        <w:jc w:val="left"/>
      </w:pPr>
      <w:r>
        <w:rPr>
          <w:rFonts w:ascii="Liberation Mono" w:hAnsi="Liberation Mono"/>
          <w:sz w:val="16"/>
        </w:rPr>
        <w:t>{</w:t>
        <w:br/>
        <w:t xml:space="preserve">  "ioc_type": "ip",</w:t>
        <w:br/>
        <w:t xml:space="preserve">  "ioc_value": "198.51.100.23",</w:t>
        <w:br/>
        <w:t xml:space="preserve">  "enrichment_type": "ip_reputation",</w:t>
        <w:br/>
        <w:t xml:space="preserve">  "queried_at": "2026-07-22T15:12:00-05:00",</w:t>
        <w:br/>
        <w:t xml:space="preserve">  "cache_ttl_seconds": 3600,</w:t>
        <w:br/>
        <w:t xml:space="preserve">  "source_provider": "proveedor-reputacion-ip",</w:t>
        <w:br/>
        <w:t xml:space="preserve">  "result": {</w:t>
        <w:br/>
        <w:t xml:space="preserve">    "verdict": "suspicious",</w:t>
        <w:br/>
        <w:t xml:space="preserve">    "score": 78,</w:t>
        <w:br/>
        <w:t xml:space="preserve">    "report_count": 14</w:t>
        <w:br/>
        <w:t xml:space="preserve">  },</w:t>
        <w:br/>
        <w:t xml:space="preserve">  "confidence": 0.86,</w:t>
        <w:br/>
        <w:t xml:space="preserve">  "query_failed": false</w:t>
        <w:br/>
        <w:t>}</w:t>
      </w:r>
    </w:p>
    <w:p>
      <w:pPr>
        <w:jc w:val="both"/>
      </w:pPr>
      <w:r>
        <w:t>CISA KEV todavía no aparece como enrichment_type en el schema actual. Para representar correctamente el flujo acordado, debe añadirse `cisa_kev` o crearse un contrato específico que incluya is_known_exploited, date_added, required_action, due_date y catalog_version. La regla 100040 permanece experimental y no debe crear otro caso.</w:t>
      </w:r>
    </w:p>
    <w:p>
      <w:pPr>
        <w:pStyle w:val="Heading1"/>
      </w:pPr>
      <w:r>
        <w:t>8. Resultado del motor de riesgo</w:t>
      </w:r>
    </w:p>
    <w:p>
      <w:r>
        <w:t>El motor produce prioridad, score, factores y policy_version. La explicación es determinística y no proviene de la IA. Este output permite justificar la comunicación.</w:t>
      </w:r>
    </w:p>
    <w:p>
      <w:pPr>
        <w:spacing w:before="60" w:after="120"/>
        <w:ind w:left="340" w:right="340"/>
      </w:pPr>
      <w:r>
        <w:rPr>
          <w:rFonts w:ascii="Liberation Mono" w:hAnsi="Liberation Mono"/>
          <w:sz w:val="16"/>
        </w:rPr>
        <w:t>{</w:t>
        <w:br/>
        <w:t xml:space="preserve">  "priority": "CRITICAL",</w:t>
        <w:br/>
        <w:t xml:space="preserve">  "score": 92,</w:t>
        <w:br/>
        <w:t xml:space="preserve">  "policy_version": "risk-v1.0",</w:t>
        <w:br/>
        <w:t xml:space="preserve">  "factors": [</w:t>
        <w:br/>
        <w:t xml:space="preserve">    {"name": "successful_login", "value": true, "weight": 35},</w:t>
        <w:br/>
        <w:t xml:space="preserve">    {"name": "asset_criticality", "value": "high", "weight": 25},</w:t>
        <w:br/>
        <w:t xml:space="preserve">    {"name": "bad_ip_reputation", "value": true, "weight": 20},</w:t>
        <w:br/>
        <w:t xml:space="preserve">    {"name": "attempt_count", "value": 34, "weight": 12}</w:t>
        <w:br/>
        <w:t xml:space="preserve">  ]</w:t>
        <w:br/>
        <w:t>}</w:t>
      </w:r>
    </w:p>
    <w:p>
      <w:pPr>
        <w:pStyle w:val="Heading1"/>
      </w:pPr>
      <w:r>
        <w:t>9. Procedimiento seleccionado</w:t>
      </w:r>
    </w:p>
    <w:p>
      <w:r>
        <w:t>El procedimiento es un output del catálogo a partir del case_type y condiciones. Incluye procedure_id, versión, pasos, responsables, condiciones y aprobación. El caso conserva esa versión.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57"/>
        <w:gridCol w:w="4957"/>
      </w:tblGrid>
      <w:tr>
        <w:trPr>
          <w:tblHeader w:val="true"/>
        </w:trPr>
        <w:tc>
          <w:tcPr>
            <w:tcW w:type="dxa" w:w="4957"/>
            <w:shd w:fill="D9E2F3"/>
          </w:tcPr>
          <w:p>
            <w:r>
              <w:rPr>
                <w:b/>
                <w:sz w:val="17"/>
              </w:rPr>
              <w:t>Campo</w:t>
            </w:r>
          </w:p>
        </w:tc>
        <w:tc>
          <w:tcPr>
            <w:tcW w:type="dxa" w:w="4957"/>
            <w:shd w:fill="D9E2F3"/>
          </w:tcPr>
          <w:p>
            <w:r>
              <w:rPr>
                <w:b/>
                <w:sz w:val="17"/>
              </w:rPr>
              <w:t>Ejemplo</w:t>
            </w:r>
          </w:p>
        </w:tc>
      </w:tr>
      <w:tr>
        <w:tc>
          <w:tcPr>
            <w:tcW w:type="dxa" w:w="4957"/>
            <w:vAlign w:val="top"/>
          </w:tcPr>
          <w:p>
            <w:pPr>
              <w:jc w:val="left"/>
            </w:pPr>
            <w:r>
              <w:rPr>
                <w:sz w:val="17"/>
              </w:rPr>
              <w:t>procedure_id</w:t>
            </w:r>
          </w:p>
        </w:tc>
        <w:tc>
          <w:tcPr>
            <w:tcW w:type="dxa" w:w="4957"/>
            <w:vAlign w:val="top"/>
          </w:tcPr>
          <w:p>
            <w:pPr>
              <w:jc w:val="left"/>
            </w:pPr>
            <w:r>
              <w:rPr>
                <w:sz w:val="17"/>
              </w:rPr>
              <w:t>PR-AUTH-003</w:t>
            </w:r>
          </w:p>
        </w:tc>
      </w:tr>
      <w:tr>
        <w:tc>
          <w:tcPr>
            <w:tcW w:type="dxa" w:w="4957"/>
            <w:vAlign w:val="top"/>
          </w:tcPr>
          <w:p>
            <w:pPr>
              <w:jc w:val="left"/>
            </w:pPr>
            <w:r>
              <w:rPr>
                <w:sz w:val="17"/>
              </w:rPr>
              <w:t>version</w:t>
            </w:r>
          </w:p>
        </w:tc>
        <w:tc>
          <w:tcPr>
            <w:tcW w:type="dxa" w:w="4957"/>
            <w:vAlign w:val="top"/>
          </w:tcPr>
          <w:p>
            <w:pPr>
              <w:jc w:val="left"/>
            </w:pPr>
            <w:r>
              <w:rPr>
                <w:sz w:val="17"/>
              </w:rPr>
              <w:t>1.2</w:t>
            </w:r>
          </w:p>
        </w:tc>
      </w:tr>
      <w:tr>
        <w:tc>
          <w:tcPr>
            <w:tcW w:type="dxa" w:w="4957"/>
            <w:vAlign w:val="top"/>
          </w:tcPr>
          <w:p>
            <w:pPr>
              <w:jc w:val="left"/>
            </w:pPr>
            <w:r>
              <w:rPr>
                <w:sz w:val="17"/>
              </w:rPr>
              <w:t>case_type</w:t>
            </w:r>
          </w:p>
        </w:tc>
        <w:tc>
          <w:tcPr>
            <w:tcW w:type="dxa" w:w="4957"/>
            <w:vAlign w:val="top"/>
          </w:tcPr>
          <w:p>
            <w:pPr>
              <w:jc w:val="left"/>
            </w:pPr>
            <w:r>
              <w:rPr>
                <w:sz w:val="17"/>
              </w:rPr>
              <w:t>AUTH_BRUTEFORCE_SUCCESS</w:t>
            </w:r>
          </w:p>
        </w:tc>
      </w:tr>
      <w:tr>
        <w:tc>
          <w:tcPr>
            <w:tcW w:type="dxa" w:w="4957"/>
            <w:vAlign w:val="top"/>
          </w:tcPr>
          <w:p>
            <w:pPr>
              <w:jc w:val="left"/>
            </w:pPr>
            <w:r>
              <w:rPr>
                <w:sz w:val="17"/>
              </w:rPr>
              <w:t>steps</w:t>
            </w:r>
          </w:p>
        </w:tc>
        <w:tc>
          <w:tcPr>
            <w:tcW w:type="dxa" w:w="4957"/>
            <w:vAlign w:val="top"/>
          </w:tcPr>
          <w:p>
            <w:pPr>
              <w:jc w:val="left"/>
            </w:pPr>
            <w:r>
              <w:rPr>
                <w:sz w:val="17"/>
              </w:rPr>
              <w:t>Confirmar, rotar credenciales, revisar sesiones, bloquear temporalmente</w:t>
            </w:r>
          </w:p>
        </w:tc>
      </w:tr>
      <w:tr>
        <w:tc>
          <w:tcPr>
            <w:tcW w:type="dxa" w:w="4957"/>
            <w:vAlign w:val="top"/>
          </w:tcPr>
          <w:p>
            <w:pPr>
              <w:jc w:val="left"/>
            </w:pPr>
            <w:r>
              <w:rPr>
                <w:sz w:val="17"/>
              </w:rPr>
              <w:t>human_review_required</w:t>
            </w:r>
          </w:p>
        </w:tc>
        <w:tc>
          <w:tcPr>
            <w:tcW w:type="dxa" w:w="4957"/>
            <w:vAlign w:val="top"/>
          </w:tcPr>
          <w:p>
            <w:pPr>
              <w:jc w:val="left"/>
            </w:pPr>
            <w:r>
              <w:rPr>
                <w:sz w:val="17"/>
              </w:rPr>
              <w:t>true</w:t>
            </w:r>
          </w:p>
        </w:tc>
      </w:tr>
      <w:tr>
        <w:tc>
          <w:tcPr>
            <w:tcW w:type="dxa" w:w="4957"/>
            <w:vAlign w:val="top"/>
          </w:tcPr>
          <w:p>
            <w:pPr>
              <w:jc w:val="left"/>
            </w:pPr>
            <w:r>
              <w:rPr>
                <w:sz w:val="17"/>
              </w:rPr>
              <w:t>approved_by</w:t>
            </w:r>
          </w:p>
        </w:tc>
        <w:tc>
          <w:tcPr>
            <w:tcW w:type="dxa" w:w="4957"/>
            <w:vAlign w:val="top"/>
          </w:tcPr>
          <w:p>
            <w:pPr>
              <w:jc w:val="left"/>
            </w:pPr>
            <w:r>
              <w:rPr>
                <w:sz w:val="17"/>
              </w:rPr>
              <w:t>Responsable de seguridad</w:t>
            </w:r>
          </w:p>
        </w:tc>
      </w:tr>
    </w:tbl>
    <w:p/>
    <w:p>
      <w:pPr>
        <w:pStyle w:val="Heading1"/>
      </w:pPr>
      <w:r>
        <w:t>10. Ejecución de IA</w:t>
      </w:r>
    </w:p>
    <w:p>
      <w:r>
        <w:t>La ejecución de IA produce un registro antes de la comunicación. Incluye case_id, prompt_version, procedure_version, model, input_hash, token usage, costo, output, validation_status y reviewer. El input no debe almacenar secretos.</w:t>
      </w:r>
    </w:p>
    <w:p>
      <w:r>
        <w:t>La salida se valida contra el contrato de notificación. Si falla, el output final es `AI_OUTPUT_INVALID` y la comunicación se genera desde una plantilla. La ejecución inválida se conserva para mejora, con acceso restringido.</w:t>
      </w:r>
    </w:p>
    <w:p>
      <w:pPr>
        <w:pStyle w:val="Heading1"/>
      </w:pPr>
      <w:r>
        <w:t>11. Comunicación al cliente</w:t>
      </w:r>
    </w:p>
    <w:p>
      <w:pPr>
        <w:jc w:val="both"/>
      </w:pPr>
      <w:r>
        <w:t>La comunicación es el output que traduce un caso de seguridad a un mensaje entendible y accionable. El contrato actual del repositorio exige case_id, tenant_id, message_type, priority_level, template_id, recipient_level y message_key. También contempla subject, body_sections, language, delivery_status y out_of_band_confirmation_required.</w:t>
      </w:r>
    </w:p>
    <w:p>
      <w:pPr>
        <w:jc w:val="both"/>
      </w:pPr>
      <w:r>
        <w:t>Para el diseño final dirigido a una MYPE peruana, se enviará un solo mensaje. El cliente no recibirá menús A/B/C ni respuestas predefinidas. Se le solicitará responder al mismo correo indicando si reconoce la actividad, quién la realizó y qué medidas ejecutó. Esa respuesta se asociará al case_id y será registrada por el operador.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320"/>
            <w:shd w:fill="D9E2F3"/>
          </w:tcPr>
          <w:p>
            <w:r>
              <w:rPr>
                <w:b/>
                <w:sz w:val="16"/>
              </w:rPr>
              <w:t>Elemento del output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  <w:sz w:val="16"/>
              </w:rPr>
              <w:t>Propósito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16"/>
              </w:rPr>
              <w:t>subject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sz w:val="16"/>
              </w:rPr>
              <w:t>Identifica el caso y resume la situación en lenguaje simple.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16"/>
              </w:rPr>
              <w:t>nivel_de_atencion / priority_level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sz w:val="16"/>
              </w:rPr>
              <w:t>Indica la urgencia visible para el cliente.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16"/>
              </w:rPr>
              <w:t>que_paso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sz w:val="16"/>
              </w:rPr>
              <w:t>Explica los hechos confirmados sin jerga.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16"/>
              </w:rPr>
              <w:t>por_que_importa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sz w:val="16"/>
              </w:rPr>
              <w:t>Traduce los factores de riesgo al contexto del negocio.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16"/>
              </w:rPr>
              <w:t>que_debe_hacer_usted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sz w:val="16"/>
              </w:rPr>
              <w:t>Presenta acciones ordenadas, detalladas y aprobadas.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16"/>
              </w:rPr>
              <w:t>que_esta_haciendo_kriptome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sz w:val="16"/>
              </w:rPr>
              <w:t>Explica seguimiento, monitoreo y estado del caso.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16"/>
              </w:rPr>
              <w:t>detalle_soporte_tecnico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sz w:val="16"/>
              </w:rPr>
              <w:t>Conserva IP, usuario, timestamps, rule_id y referencias para soporte.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16"/>
              </w:rPr>
              <w:t>message_key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sz w:val="16"/>
              </w:rPr>
              <w:t>Evita que un reintento produzca un segundo correo.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16"/>
              </w:rPr>
              <w:t>out_of_band_confirmation_required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sz w:val="16"/>
              </w:rPr>
              <w:t>Obliga a confirmar por otro canal las acciones sensibles.</w:t>
            </w:r>
          </w:p>
        </w:tc>
      </w:tr>
    </w:tbl>
    <w:p/>
    <w:p>
      <w:pPr>
        <w:jc w:val="both"/>
      </w:pPr>
      <w:r>
        <w:t>La sección 16 define el mapeo completo de campos, las reglas de fallback, el ejemplo definitivo de correo y los cambios que todavía deben realizarse en los schemas.</w:t>
      </w:r>
    </w:p>
    <w:p>
      <w:pPr>
        <w:pStyle w:val="Heading1"/>
      </w:pPr>
      <w:r>
        <w:t>12. Auditoría</w:t>
      </w:r>
    </w:p>
    <w:p>
      <w:r>
        <w:t>Cada acción produce un audit event con actor, tenant, action, resource_type, resource_id, previous_value, new_value, reason, timestamp y correlation_id. La auditoría permite reconstruir el caso y demostrar que una decisión no fue tomada únicamente por IA.</w:t>
      </w:r>
    </w:p>
    <w:p>
      <w:pPr>
        <w:pStyle w:val="Heading1"/>
      </w:pPr>
      <w:r>
        <w:t>13. Métricas y reportes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05"/>
        <w:gridCol w:w="3305"/>
        <w:gridCol w:w="3305"/>
      </w:tblGrid>
      <w:tr>
        <w:trPr>
          <w:tblHeader w:val="true"/>
        </w:trPr>
        <w:tc>
          <w:tcPr>
            <w:tcW w:type="dxa" w:w="3305"/>
            <w:shd w:fill="D9E2F3"/>
          </w:tcPr>
          <w:p>
            <w:r>
              <w:rPr>
                <w:b/>
                <w:sz w:val="17"/>
              </w:rPr>
              <w:t>Output</w:t>
            </w:r>
          </w:p>
        </w:tc>
        <w:tc>
          <w:tcPr>
            <w:tcW w:type="dxa" w:w="3305"/>
            <w:shd w:fill="D9E2F3"/>
          </w:tcPr>
          <w:p>
            <w:r>
              <w:rPr>
                <w:b/>
                <w:sz w:val="17"/>
              </w:rPr>
              <w:t>Consumidor</w:t>
            </w:r>
          </w:p>
        </w:tc>
        <w:tc>
          <w:tcPr>
            <w:tcW w:type="dxa" w:w="3305"/>
            <w:shd w:fill="D9E2F3"/>
          </w:tcPr>
          <w:p>
            <w:r>
              <w:rPr>
                <w:b/>
                <w:sz w:val="17"/>
              </w:rPr>
              <w:t>Ejemplos</w:t>
            </w:r>
          </w:p>
        </w:tc>
      </w:tr>
      <w:tr>
        <w:tc>
          <w:tcPr>
            <w:tcW w:type="dxa" w:w="3305"/>
            <w:vAlign w:val="top"/>
          </w:tcPr>
          <w:p>
            <w:pPr>
              <w:jc w:val="left"/>
            </w:pPr>
            <w:r>
              <w:rPr>
                <w:sz w:val="17"/>
              </w:rPr>
              <w:t>Métricas operativas</w:t>
            </w:r>
          </w:p>
        </w:tc>
        <w:tc>
          <w:tcPr>
            <w:tcW w:type="dxa" w:w="3305"/>
            <w:vAlign w:val="top"/>
          </w:tcPr>
          <w:p>
            <w:pPr>
              <w:jc w:val="left"/>
            </w:pPr>
            <w:r>
              <w:rPr>
                <w:sz w:val="17"/>
              </w:rPr>
              <w:t>Equipo interno</w:t>
            </w:r>
          </w:p>
        </w:tc>
        <w:tc>
          <w:tcPr>
            <w:tcW w:type="dxa" w:w="3305"/>
            <w:vAlign w:val="top"/>
          </w:tcPr>
          <w:p>
            <w:pPr>
              <w:jc w:val="left"/>
            </w:pPr>
            <w:r>
              <w:rPr>
                <w:sz w:val="17"/>
              </w:rPr>
              <w:t>cursor lag, errores, workers</w:t>
            </w:r>
          </w:p>
        </w:tc>
      </w:tr>
      <w:tr>
        <w:tc>
          <w:tcPr>
            <w:tcW w:type="dxa" w:w="3305"/>
            <w:vAlign w:val="top"/>
          </w:tcPr>
          <w:p>
            <w:pPr>
              <w:jc w:val="left"/>
            </w:pPr>
            <w:r>
              <w:rPr>
                <w:sz w:val="17"/>
              </w:rPr>
              <w:t>Métricas SOC</w:t>
            </w:r>
          </w:p>
        </w:tc>
        <w:tc>
          <w:tcPr>
            <w:tcW w:type="dxa" w:w="3305"/>
            <w:vAlign w:val="top"/>
          </w:tcPr>
          <w:p>
            <w:pPr>
              <w:jc w:val="left"/>
            </w:pPr>
            <w:r>
              <w:rPr>
                <w:sz w:val="17"/>
              </w:rPr>
              <w:t>Jefatura/SOC</w:t>
            </w:r>
          </w:p>
        </w:tc>
        <w:tc>
          <w:tcPr>
            <w:tcW w:type="dxa" w:w="3305"/>
            <w:vAlign w:val="top"/>
          </w:tcPr>
          <w:p>
            <w:pPr>
              <w:jc w:val="left"/>
            </w:pPr>
            <w:r>
              <w:rPr>
                <w:sz w:val="17"/>
              </w:rPr>
              <w:t>casos, FP, latencia, tiempo analista</w:t>
            </w:r>
          </w:p>
        </w:tc>
      </w:tr>
      <w:tr>
        <w:tc>
          <w:tcPr>
            <w:tcW w:type="dxa" w:w="3305"/>
            <w:vAlign w:val="top"/>
          </w:tcPr>
          <w:p>
            <w:pPr>
              <w:jc w:val="left"/>
            </w:pPr>
            <w:r>
              <w:rPr>
                <w:sz w:val="17"/>
              </w:rPr>
              <w:t>Métricas cliente</w:t>
            </w:r>
          </w:p>
        </w:tc>
        <w:tc>
          <w:tcPr>
            <w:tcW w:type="dxa" w:w="3305"/>
            <w:vAlign w:val="top"/>
          </w:tcPr>
          <w:p>
            <w:pPr>
              <w:jc w:val="left"/>
            </w:pPr>
            <w:r>
              <w:rPr>
                <w:sz w:val="17"/>
              </w:rPr>
              <w:t>Cliente</w:t>
            </w:r>
          </w:p>
        </w:tc>
        <w:tc>
          <w:tcPr>
            <w:tcW w:type="dxa" w:w="3305"/>
            <w:vAlign w:val="top"/>
          </w:tcPr>
          <w:p>
            <w:pPr>
              <w:jc w:val="left"/>
            </w:pPr>
            <w:r>
              <w:rPr>
                <w:sz w:val="17"/>
              </w:rPr>
              <w:t>casos, SLA, vulnerabilidades</w:t>
            </w:r>
          </w:p>
        </w:tc>
      </w:tr>
      <w:tr>
        <w:tc>
          <w:tcPr>
            <w:tcW w:type="dxa" w:w="3305"/>
            <w:vAlign w:val="top"/>
          </w:tcPr>
          <w:p>
            <w:pPr>
              <w:jc w:val="left"/>
            </w:pPr>
            <w:r>
              <w:rPr>
                <w:sz w:val="17"/>
              </w:rPr>
              <w:t>Digest</w:t>
            </w:r>
          </w:p>
        </w:tc>
        <w:tc>
          <w:tcPr>
            <w:tcW w:type="dxa" w:w="3305"/>
            <w:vAlign w:val="top"/>
          </w:tcPr>
          <w:p>
            <w:pPr>
              <w:jc w:val="left"/>
            </w:pPr>
            <w:r>
              <w:rPr>
                <w:sz w:val="17"/>
              </w:rPr>
              <w:t>Cliente</w:t>
            </w:r>
          </w:p>
        </w:tc>
        <w:tc>
          <w:tcPr>
            <w:tcW w:type="dxa" w:w="3305"/>
            <w:vAlign w:val="top"/>
          </w:tcPr>
          <w:p>
            <w:pPr>
              <w:jc w:val="left"/>
            </w:pPr>
            <w:r>
              <w:rPr>
                <w:sz w:val="17"/>
              </w:rPr>
              <w:t>Hallazgos no urgentes</w:t>
            </w:r>
          </w:p>
        </w:tc>
      </w:tr>
      <w:tr>
        <w:tc>
          <w:tcPr>
            <w:tcW w:type="dxa" w:w="3305"/>
            <w:vAlign w:val="top"/>
          </w:tcPr>
          <w:p>
            <w:pPr>
              <w:jc w:val="left"/>
            </w:pPr>
            <w:r>
              <w:rPr>
                <w:sz w:val="17"/>
              </w:rPr>
              <w:t>Reporte mensual</w:t>
            </w:r>
          </w:p>
        </w:tc>
        <w:tc>
          <w:tcPr>
            <w:tcW w:type="dxa" w:w="3305"/>
            <w:vAlign w:val="top"/>
          </w:tcPr>
          <w:p>
            <w:pPr>
              <w:jc w:val="left"/>
            </w:pPr>
            <w:r>
              <w:rPr>
                <w:sz w:val="17"/>
              </w:rPr>
              <w:t>Negocio</w:t>
            </w:r>
          </w:p>
        </w:tc>
        <w:tc>
          <w:tcPr>
            <w:tcW w:type="dxa" w:w="3305"/>
            <w:vAlign w:val="top"/>
          </w:tcPr>
          <w:p>
            <w:pPr>
              <w:jc w:val="left"/>
            </w:pPr>
            <w:r>
              <w:rPr>
                <w:sz w:val="17"/>
              </w:rPr>
              <w:t>Tendencias, acciones y pendientes</w:t>
            </w:r>
          </w:p>
        </w:tc>
      </w:tr>
      <w:tr>
        <w:tc>
          <w:tcPr>
            <w:tcW w:type="dxa" w:w="3305"/>
            <w:vAlign w:val="top"/>
          </w:tcPr>
          <w:p>
            <w:pPr>
              <w:jc w:val="left"/>
            </w:pPr>
            <w:r>
              <w:rPr>
                <w:sz w:val="17"/>
              </w:rPr>
              <w:t>Reporte de tuning</w:t>
            </w:r>
          </w:p>
        </w:tc>
        <w:tc>
          <w:tcPr>
            <w:tcW w:type="dxa" w:w="3305"/>
            <w:vAlign w:val="top"/>
          </w:tcPr>
          <w:p>
            <w:pPr>
              <w:jc w:val="left"/>
            </w:pPr>
            <w:r>
              <w:rPr>
                <w:sz w:val="17"/>
              </w:rPr>
              <w:t>Ingeniería</w:t>
            </w:r>
          </w:p>
        </w:tc>
        <w:tc>
          <w:tcPr>
            <w:tcW w:type="dxa" w:w="3305"/>
            <w:vAlign w:val="top"/>
          </w:tcPr>
          <w:p>
            <w:pPr>
              <w:jc w:val="left"/>
            </w:pPr>
            <w:r>
              <w:rPr>
                <w:sz w:val="17"/>
              </w:rPr>
              <w:t>Cambios y efecto</w:t>
            </w:r>
          </w:p>
        </w:tc>
      </w:tr>
    </w:tbl>
    <w:p/>
    <w:p>
      <w:pPr>
        <w:pStyle w:val="Heading1"/>
      </w:pPr>
      <w:r>
        <w:t>14. Outputs de error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05"/>
        <w:gridCol w:w="3305"/>
        <w:gridCol w:w="3305"/>
      </w:tblGrid>
      <w:tr>
        <w:trPr>
          <w:tblHeader w:val="true"/>
        </w:trPr>
        <w:tc>
          <w:tcPr>
            <w:tcW w:type="dxa" w:w="3305"/>
            <w:shd w:fill="D9E2F3"/>
          </w:tcPr>
          <w:p>
            <w:r>
              <w:rPr>
                <w:b/>
                <w:sz w:val="17"/>
              </w:rPr>
              <w:t>Código</w:t>
            </w:r>
          </w:p>
        </w:tc>
        <w:tc>
          <w:tcPr>
            <w:tcW w:type="dxa" w:w="3305"/>
            <w:shd w:fill="D9E2F3"/>
          </w:tcPr>
          <w:p>
            <w:r>
              <w:rPr>
                <w:b/>
                <w:sz w:val="17"/>
              </w:rPr>
              <w:t>Descripción</w:t>
            </w:r>
          </w:p>
        </w:tc>
        <w:tc>
          <w:tcPr>
            <w:tcW w:type="dxa" w:w="3305"/>
            <w:shd w:fill="D9E2F3"/>
          </w:tcPr>
          <w:p>
            <w:r>
              <w:rPr>
                <w:b/>
                <w:sz w:val="17"/>
              </w:rPr>
              <w:t>Tratamiento</w:t>
            </w:r>
          </w:p>
        </w:tc>
      </w:tr>
      <w:tr>
        <w:tc>
          <w:tcPr>
            <w:tcW w:type="dxa" w:w="3305"/>
            <w:vAlign w:val="top"/>
          </w:tcPr>
          <w:p>
            <w:pPr>
              <w:jc w:val="left"/>
            </w:pPr>
            <w:r>
              <w:rPr>
                <w:sz w:val="17"/>
              </w:rPr>
              <w:t>DUPLICATE_EVENT</w:t>
            </w:r>
          </w:p>
        </w:tc>
        <w:tc>
          <w:tcPr>
            <w:tcW w:type="dxa" w:w="3305"/>
            <w:vAlign w:val="top"/>
          </w:tcPr>
          <w:p>
            <w:pPr>
              <w:jc w:val="left"/>
            </w:pPr>
            <w:r>
              <w:rPr>
                <w:sz w:val="17"/>
              </w:rPr>
              <w:t>Event_id ya existe</w:t>
            </w:r>
          </w:p>
        </w:tc>
        <w:tc>
          <w:tcPr>
            <w:tcW w:type="dxa" w:w="3305"/>
            <w:vAlign w:val="top"/>
          </w:tcPr>
          <w:p>
            <w:pPr>
              <w:jc w:val="left"/>
            </w:pPr>
            <w:r>
              <w:rPr>
                <w:sz w:val="17"/>
              </w:rPr>
              <w:t>No repetir efectos</w:t>
            </w:r>
          </w:p>
        </w:tc>
      </w:tr>
      <w:tr>
        <w:tc>
          <w:tcPr>
            <w:tcW w:type="dxa" w:w="3305"/>
            <w:vAlign w:val="top"/>
          </w:tcPr>
          <w:p>
            <w:pPr>
              <w:jc w:val="left"/>
            </w:pPr>
            <w:r>
              <w:rPr>
                <w:sz w:val="17"/>
              </w:rPr>
              <w:t>TENANT_MISMATCH</w:t>
            </w:r>
          </w:p>
        </w:tc>
        <w:tc>
          <w:tcPr>
            <w:tcW w:type="dxa" w:w="3305"/>
            <w:vAlign w:val="top"/>
          </w:tcPr>
          <w:p>
            <w:pPr>
              <w:jc w:val="left"/>
            </w:pPr>
            <w:r>
              <w:rPr>
                <w:sz w:val="17"/>
              </w:rPr>
              <w:t>Labels y mapping difieren</w:t>
            </w:r>
          </w:p>
        </w:tc>
        <w:tc>
          <w:tcPr>
            <w:tcW w:type="dxa" w:w="3305"/>
            <w:vAlign w:val="top"/>
          </w:tcPr>
          <w:p>
            <w:pPr>
              <w:jc w:val="left"/>
            </w:pPr>
            <w:r>
              <w:rPr>
                <w:sz w:val="17"/>
              </w:rPr>
              <w:t>Cuarentena</w:t>
            </w:r>
          </w:p>
        </w:tc>
      </w:tr>
      <w:tr>
        <w:tc>
          <w:tcPr>
            <w:tcW w:type="dxa" w:w="3305"/>
            <w:vAlign w:val="top"/>
          </w:tcPr>
          <w:p>
            <w:pPr>
              <w:jc w:val="left"/>
            </w:pPr>
            <w:r>
              <w:rPr>
                <w:sz w:val="17"/>
              </w:rPr>
              <w:t>NORMALIZATION_FAILED</w:t>
            </w:r>
          </w:p>
        </w:tc>
        <w:tc>
          <w:tcPr>
            <w:tcW w:type="dxa" w:w="3305"/>
            <w:vAlign w:val="top"/>
          </w:tcPr>
          <w:p>
            <w:pPr>
              <w:jc w:val="left"/>
            </w:pPr>
            <w:r>
              <w:rPr>
                <w:sz w:val="17"/>
              </w:rPr>
              <w:t>Contrato incompleto</w:t>
            </w:r>
          </w:p>
        </w:tc>
        <w:tc>
          <w:tcPr>
            <w:tcW w:type="dxa" w:w="3305"/>
            <w:vAlign w:val="top"/>
          </w:tcPr>
          <w:p>
            <w:pPr>
              <w:jc w:val="left"/>
            </w:pPr>
            <w:r>
              <w:rPr>
                <w:sz w:val="17"/>
              </w:rPr>
              <w:t>Revisión/retry</w:t>
            </w:r>
          </w:p>
        </w:tc>
      </w:tr>
      <w:tr>
        <w:tc>
          <w:tcPr>
            <w:tcW w:type="dxa" w:w="3305"/>
            <w:vAlign w:val="top"/>
          </w:tcPr>
          <w:p>
            <w:pPr>
              <w:jc w:val="left"/>
            </w:pPr>
            <w:r>
              <w:rPr>
                <w:sz w:val="17"/>
              </w:rPr>
              <w:t>ENRICHMENT_UNAVAILABLE</w:t>
            </w:r>
          </w:p>
        </w:tc>
        <w:tc>
          <w:tcPr>
            <w:tcW w:type="dxa" w:w="3305"/>
            <w:vAlign w:val="top"/>
          </w:tcPr>
          <w:p>
            <w:pPr>
              <w:jc w:val="left"/>
            </w:pPr>
            <w:r>
              <w:rPr>
                <w:sz w:val="17"/>
              </w:rPr>
              <w:t>Proveedor caído</w:t>
            </w:r>
          </w:p>
        </w:tc>
        <w:tc>
          <w:tcPr>
            <w:tcW w:type="dxa" w:w="3305"/>
            <w:vAlign w:val="top"/>
          </w:tcPr>
          <w:p>
            <w:pPr>
              <w:jc w:val="left"/>
            </w:pPr>
            <w:r>
              <w:rPr>
                <w:sz w:val="17"/>
              </w:rPr>
              <w:t>Fallback</w:t>
            </w:r>
          </w:p>
        </w:tc>
      </w:tr>
      <w:tr>
        <w:tc>
          <w:tcPr>
            <w:tcW w:type="dxa" w:w="3305"/>
            <w:vAlign w:val="top"/>
          </w:tcPr>
          <w:p>
            <w:pPr>
              <w:jc w:val="left"/>
            </w:pPr>
            <w:r>
              <w:rPr>
                <w:sz w:val="17"/>
              </w:rPr>
              <w:t>KEV_STALE</w:t>
            </w:r>
          </w:p>
        </w:tc>
        <w:tc>
          <w:tcPr>
            <w:tcW w:type="dxa" w:w="3305"/>
            <w:vAlign w:val="top"/>
          </w:tcPr>
          <w:p>
            <w:pPr>
              <w:jc w:val="left"/>
            </w:pPr>
            <w:r>
              <w:rPr>
                <w:sz w:val="17"/>
              </w:rPr>
              <w:t>Catálogo vencido</w:t>
            </w:r>
          </w:p>
        </w:tc>
        <w:tc>
          <w:tcPr>
            <w:tcW w:type="dxa" w:w="3305"/>
            <w:vAlign w:val="top"/>
          </w:tcPr>
          <w:p>
            <w:pPr>
              <w:jc w:val="left"/>
            </w:pPr>
            <w:r>
              <w:rPr>
                <w:sz w:val="17"/>
              </w:rPr>
              <w:t>Alerta operativa</w:t>
            </w:r>
          </w:p>
        </w:tc>
      </w:tr>
      <w:tr>
        <w:tc>
          <w:tcPr>
            <w:tcW w:type="dxa" w:w="3305"/>
            <w:vAlign w:val="top"/>
          </w:tcPr>
          <w:p>
            <w:pPr>
              <w:jc w:val="left"/>
            </w:pPr>
            <w:r>
              <w:rPr>
                <w:sz w:val="17"/>
              </w:rPr>
              <w:t>AI_OUTPUT_INVALID</w:t>
            </w:r>
          </w:p>
        </w:tc>
        <w:tc>
          <w:tcPr>
            <w:tcW w:type="dxa" w:w="3305"/>
            <w:vAlign w:val="top"/>
          </w:tcPr>
          <w:p>
            <w:pPr>
              <w:jc w:val="left"/>
            </w:pPr>
            <w:r>
              <w:rPr>
                <w:sz w:val="17"/>
              </w:rPr>
              <w:t>Salida fuera de esquema</w:t>
            </w:r>
          </w:p>
        </w:tc>
        <w:tc>
          <w:tcPr>
            <w:tcW w:type="dxa" w:w="3305"/>
            <w:vAlign w:val="top"/>
          </w:tcPr>
          <w:p>
            <w:pPr>
              <w:jc w:val="left"/>
            </w:pPr>
            <w:r>
              <w:rPr>
                <w:sz w:val="17"/>
              </w:rPr>
              <w:t>Plantilla</w:t>
            </w:r>
          </w:p>
        </w:tc>
      </w:tr>
      <w:tr>
        <w:tc>
          <w:tcPr>
            <w:tcW w:type="dxa" w:w="3305"/>
            <w:vAlign w:val="top"/>
          </w:tcPr>
          <w:p>
            <w:pPr>
              <w:jc w:val="left"/>
            </w:pPr>
            <w:r>
              <w:rPr>
                <w:sz w:val="17"/>
              </w:rPr>
              <w:t>NOTIFICATION_FAILED</w:t>
            </w:r>
          </w:p>
        </w:tc>
        <w:tc>
          <w:tcPr>
            <w:tcW w:type="dxa" w:w="3305"/>
            <w:vAlign w:val="top"/>
          </w:tcPr>
          <w:p>
            <w:pPr>
              <w:jc w:val="left"/>
            </w:pPr>
            <w:r>
              <w:rPr>
                <w:sz w:val="17"/>
              </w:rPr>
              <w:t>Proveedor de correo falla</w:t>
            </w:r>
          </w:p>
        </w:tc>
        <w:tc>
          <w:tcPr>
            <w:tcW w:type="dxa" w:w="3305"/>
            <w:vAlign w:val="top"/>
          </w:tcPr>
          <w:p>
            <w:pPr>
              <w:jc w:val="left"/>
            </w:pPr>
            <w:r>
              <w:rPr>
                <w:sz w:val="17"/>
              </w:rPr>
              <w:t>Retry idempotente</w:t>
            </w:r>
          </w:p>
        </w:tc>
      </w:tr>
      <w:tr>
        <w:tc>
          <w:tcPr>
            <w:tcW w:type="dxa" w:w="3305"/>
            <w:vAlign w:val="top"/>
          </w:tcPr>
          <w:p>
            <w:pPr>
              <w:jc w:val="left"/>
            </w:pPr>
            <w:r>
              <w:rPr>
                <w:sz w:val="17"/>
              </w:rPr>
              <w:t>DEAD_LETTER</w:t>
            </w:r>
          </w:p>
        </w:tc>
        <w:tc>
          <w:tcPr>
            <w:tcW w:type="dxa" w:w="3305"/>
            <w:vAlign w:val="top"/>
          </w:tcPr>
          <w:p>
            <w:pPr>
              <w:jc w:val="left"/>
            </w:pPr>
            <w:r>
              <w:rPr>
                <w:sz w:val="17"/>
              </w:rPr>
              <w:t>Error persistente</w:t>
            </w:r>
          </w:p>
        </w:tc>
        <w:tc>
          <w:tcPr>
            <w:tcW w:type="dxa" w:w="3305"/>
            <w:vAlign w:val="top"/>
          </w:tcPr>
          <w:p>
            <w:pPr>
              <w:jc w:val="left"/>
            </w:pPr>
            <w:r>
              <w:rPr>
                <w:sz w:val="17"/>
              </w:rPr>
              <w:t>Intervención</w:t>
            </w:r>
          </w:p>
        </w:tc>
      </w:tr>
    </w:tbl>
    <w:p/>
    <w:p>
      <w:pPr>
        <w:pStyle w:val="Heading1"/>
      </w:pPr>
      <w:r>
        <w:t>15. Trazabilidad</w:t>
      </w:r>
    </w:p>
    <w:p>
      <w:r>
        <w:t>Todos los outputs deben compartir correlation_id y referencias. Desde una notificación debe ser posible llegar al caso, al resultado de riesgo, a los enriquecimientos, a la alerta normalizada y al raw event. Desde el raw event debe ser posible identificar qué caso y comunicaciones generó. Esta trazabilidad es un requisito funcional y de auditoría.</w:t>
      </w:r>
    </w:p>
    <w:p>
      <w:pPr>
        <w:pStyle w:val="Heading1"/>
      </w:pPr>
      <w:r>
        <w:t>Fuentes internas consultadas</w:t>
      </w:r>
    </w:p>
    <w:p>
      <w:r>
        <w:t>Este informe se elaboró utilizando los artefactos técnicos disponibles en el repositorio `franciscosdafas133/kriptome-minisoc`, principalmente en el commit ab772d198719. La relación siguiente permite rastrear las decisiones del documento hasta sus fuentes internas.</w:t>
      </w:r>
    </w:p>
    <w:p>
      <w:pPr>
        <w:pStyle w:val="ListBullet"/>
        <w:jc w:val="left"/>
      </w:pPr>
      <w:r>
        <w:rPr>
          <w:rFonts w:ascii="Liberation Mono" w:hAnsi="Liberation Mono"/>
          <w:sz w:val="17"/>
        </w:rPr>
        <w:t>specifications/normalized_event.schema.json</w:t>
      </w:r>
    </w:p>
    <w:p>
      <w:pPr>
        <w:pStyle w:val="ListBullet"/>
        <w:jc w:val="left"/>
      </w:pPr>
      <w:r>
        <w:rPr>
          <w:rFonts w:ascii="Liberation Mono" w:hAnsi="Liberation Mono"/>
          <w:sz w:val="17"/>
        </w:rPr>
        <w:t>specifications/case.schema.json</w:t>
      </w:r>
    </w:p>
    <w:p>
      <w:pPr>
        <w:pStyle w:val="ListBullet"/>
        <w:jc w:val="left"/>
      </w:pPr>
      <w:r>
        <w:rPr>
          <w:rFonts w:ascii="Liberation Mono" w:hAnsi="Liberation Mono"/>
          <w:sz w:val="17"/>
        </w:rPr>
        <w:t>specifications/enrichment_result.schema.json</w:t>
      </w:r>
    </w:p>
    <w:p>
      <w:pPr>
        <w:pStyle w:val="ListBullet"/>
        <w:jc w:val="left"/>
      </w:pPr>
      <w:r>
        <w:rPr>
          <w:rFonts w:ascii="Liberation Mono" w:hAnsi="Liberation Mono"/>
          <w:sz w:val="17"/>
        </w:rPr>
        <w:t>specifications/client_notification.schema.json</w:t>
      </w:r>
    </w:p>
    <w:p>
      <w:pPr>
        <w:pStyle w:val="ListBullet"/>
        <w:jc w:val="left"/>
      </w:pPr>
      <w:r>
        <w:rPr>
          <w:rFonts w:ascii="Liberation Mono" w:hAnsi="Liberation Mono"/>
          <w:sz w:val="17"/>
        </w:rPr>
        <w:t>specifications/case_type_policy.example.yaml</w:t>
      </w:r>
    </w:p>
    <w:p>
      <w:pPr>
        <w:pStyle w:val="ListBullet"/>
        <w:jc w:val="left"/>
      </w:pPr>
      <w:r>
        <w:rPr>
          <w:rFonts w:ascii="Liberation Mono" w:hAnsi="Liberation Mono"/>
          <w:sz w:val="17"/>
        </w:rPr>
        <w:t>policies/case_types/*.yaml</w:t>
      </w:r>
    </w:p>
    <w:p>
      <w:pPr>
        <w:pStyle w:val="Heading1"/>
      </w:pPr>
      <w:r>
        <w:t>16. Notificación final al cliente MYPE y campos utilizados</w:t>
      </w:r>
    </w:p>
    <w:p>
      <w:pPr>
        <w:jc w:val="both"/>
      </w:pPr>
      <w:r>
        <w:t>La notificación al cliente final debe ser un único mensaje, escrito en español simple y orientado a una MYPE peruana. El cliente no recibe reglas, nombres de schemas ni jerga en el cuerpo principal. Sin embargo, el mensaje debe estar respaldado por campos específicos y trazables. La notificación se construye combinando información del caso, del evento normalizado, de la evidencia original, del inventario del activo, de los enriquecimientos, del motor de riesgo y del procedimiento aprobado.</w:t>
      </w:r>
    </w:p>
    <w:p>
      <w:pPr>
        <w:pStyle w:val="Heading2"/>
      </w:pPr>
      <w:r>
        <w:t>16.1 Principios obligatorios de redacción</w:t>
      </w:r>
    </w:p>
    <w:p>
      <w:pPr>
        <w:pStyle w:val="ListBullet"/>
        <w:jc w:val="left"/>
      </w:pPr>
      <w:r>
        <w:t>El mensaje debe explicar primero qué ocurrió, qué riesgo existe y qué debe hacer el cliente.</w:t>
      </w:r>
    </w:p>
    <w:p>
      <w:pPr>
        <w:pStyle w:val="ListBullet"/>
        <w:jc w:val="left"/>
      </w:pPr>
      <w:r>
        <w:t>No debe ofrecer menús A/B/C ni múltiples textos alternativos: se envía una sola instrucción clara.</w:t>
      </w:r>
    </w:p>
    <w:p>
      <w:pPr>
        <w:pStyle w:val="ListBullet"/>
        <w:jc w:val="left"/>
      </w:pPr>
      <w:r>
        <w:t>Las acciones deben presentarse en orden de urgencia y con suficiente detalle para que el cliente pueda ejecutarlas.</w:t>
      </w:r>
    </w:p>
    <w:p>
      <w:pPr>
        <w:pStyle w:val="ListBullet"/>
        <w:jc w:val="left"/>
      </w:pPr>
      <w:r>
        <w:t>No se debe afirmar que hubo compromiso si la evidencia solo indica una posibilidad.</w:t>
      </w:r>
    </w:p>
    <w:p>
      <w:pPr>
        <w:pStyle w:val="ListBullet"/>
        <w:jc w:val="left"/>
      </w:pPr>
      <w:r>
        <w:t>Los datos técnicos se muestran únicamente cuando ayudan a reconocer el acceso o a ejecutar una acción.</w:t>
      </w:r>
    </w:p>
    <w:p>
      <w:pPr>
        <w:pStyle w:val="ListBullet"/>
        <w:jc w:val="left"/>
      </w:pPr>
      <w:r>
        <w:t>Los nombres internos como rule_id, case_type o MITRE no aparecen en el cuerpo principal; se conservan en el anexo técnico.</w:t>
      </w:r>
    </w:p>
    <w:p>
      <w:pPr>
        <w:pStyle w:val="ListBullet"/>
        <w:jc w:val="left"/>
      </w:pPr>
      <w:r>
        <w:t>Cuando un campo no existe o no fue confirmado, se omite o se expresa como no disponible. Nunca se inventa.</w:t>
      </w:r>
    </w:p>
    <w:p>
      <w:pPr>
        <w:pStyle w:val="ListBullet"/>
        <w:jc w:val="left"/>
      </w:pPr>
      <w:r>
        <w:t>Las acciones destructivas o sensibles requieren confirmación por un canal alterno cuando la política así lo indique.</w:t>
      </w:r>
    </w:p>
    <w:p>
      <w:pPr>
        <w:pStyle w:val="Heading2"/>
      </w:pPr>
      <w:r>
        <w:t>16.2 Fuentes que componen la notificación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shd w:fill="D9E2F3"/>
            <w:vAlign w:val="center"/>
          </w:tcPr>
          <w:p>
            <w:r>
              <w:rPr>
                <w:b/>
                <w:sz w:val="15"/>
              </w:rPr>
              <w:t>Fuente</w:t>
            </w:r>
          </w:p>
        </w:tc>
        <w:tc>
          <w:tcPr>
            <w:tcW w:type="dxa" w:w="2880"/>
            <w:shd w:fill="D9E2F3"/>
            <w:vAlign w:val="center"/>
          </w:tcPr>
          <w:p>
            <w:r>
              <w:rPr>
                <w:b/>
                <w:sz w:val="15"/>
              </w:rPr>
              <w:t>Campos utilizados</w:t>
            </w:r>
          </w:p>
        </w:tc>
        <w:tc>
          <w:tcPr>
            <w:tcW w:type="dxa" w:w="2880"/>
            <w:shd w:fill="D9E2F3"/>
            <w:vAlign w:val="center"/>
          </w:tcPr>
          <w:p>
            <w:r>
              <w:rPr>
                <w:b/>
                <w:sz w:val="15"/>
              </w:rPr>
              <w:t>Uso en la notificación</w:t>
            </w:r>
          </w:p>
        </w:tc>
      </w:tr>
      <w:tr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sz w:val="15"/>
              </w:rPr>
              <w:t>Case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sz w:val="15"/>
              </w:rPr>
              <w:t>case_id, tenant_id, asset_id, case_type, priority_level, opened_at, event_count, material_changes, human_review_required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sz w:val="15"/>
              </w:rPr>
              <w:t>Identifica el caso, nivel de atención, volumen agregado y cambios relevantes.</w:t>
            </w:r>
          </w:p>
        </w:tc>
      </w:tr>
      <w:tr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sz w:val="15"/>
              </w:rPr>
              <w:t>NormalizedEvent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sz w:val="15"/>
              </w:rPr>
              <w:t>event_id, timestamp, source, rule_id, rule_level, rule_groups, source_ip, target_user, mitre_ids, raw_event_reference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sz w:val="15"/>
              </w:rPr>
              <w:t>Aporta la señal técnica normalizada y la referencia a la evidencia original.</w:t>
            </w:r>
          </w:p>
        </w:tc>
      </w:tr>
      <w:tr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sz w:val="15"/>
              </w:rPr>
              <w:t>Evidencia Windows/SSH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sz w:val="15"/>
              </w:rPr>
              <w:t>win.eventdata.logonType, win.eventdata.workstationName, win.eventdata.ipAddress, win.eventdata.targetUserName, win.system.eventID; o srcip, srcport, user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sz w:val="15"/>
              </w:rPr>
              <w:t>Permite explicar la cuenta, el origen, el tipo de acceso y el equipo de origen.</w:t>
            </w:r>
          </w:p>
        </w:tc>
      </w:tr>
      <w:tr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sz w:val="15"/>
              </w:rPr>
              <w:t>Inventario / CMDB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sz w:val="15"/>
              </w:rPr>
              <w:t>asset_alias, hostname, environment, criticality, business_service, internet_exposed, owner_name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sz w:val="15"/>
              </w:rPr>
              <w:t>Traduce el activo técnico a un nombre entendible y aporta el impacto de negocio.</w:t>
            </w:r>
          </w:p>
        </w:tc>
      </w:tr>
      <w:tr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sz w:val="15"/>
              </w:rPr>
              <w:t>EnrichmentResult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sz w:val="15"/>
              </w:rPr>
              <w:t>geo_country, geo_city, isp_or_asn, reputation_verdict, reputation_score, reputation_reports, queried_at, source_provider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sz w:val="15"/>
              </w:rPr>
              <w:t>Añade ubicación aproximada y antecedentes del indicador.</w:t>
            </w:r>
          </w:p>
        </w:tc>
      </w:tr>
      <w:tr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sz w:val="15"/>
              </w:rPr>
              <w:t>Historial del tenant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sz w:val="15"/>
              </w:rPr>
              <w:t>source_seen_before, previous_case_count, authorized_source_match, last_seen_for_tenant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sz w:val="15"/>
              </w:rPr>
              <w:t>Indica si el origen es habitual, autorizado o previamente observado para ese cliente.</w:t>
            </w:r>
          </w:p>
        </w:tc>
      </w:tr>
      <w:tr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sz w:val="15"/>
              </w:rPr>
              <w:t>Resultado de riesgo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sz w:val="15"/>
              </w:rPr>
              <w:t>risk_score, priority_level, risk_factors, risk_policy_version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sz w:val="15"/>
              </w:rPr>
              <w:t>Explica por qué el caso se considera urgente o crítico.</w:t>
            </w:r>
          </w:p>
        </w:tc>
      </w:tr>
      <w:tr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sz w:val="15"/>
              </w:rPr>
              <w:t>Procedimiento aprobado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sz w:val="15"/>
              </w:rPr>
              <w:t>procedure_id, procedure_version, customer_actions, do_not_do, evidence_to_preserve, recommended_deadline, escalation_contact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sz w:val="15"/>
              </w:rPr>
              <w:t>Genera las acciones concretas, lo que no debe hacerse y el plazo.</w:t>
            </w:r>
          </w:p>
        </w:tc>
      </w:tr>
      <w:tr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sz w:val="15"/>
              </w:rPr>
              <w:t>ClientNotification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sz w:val="15"/>
              </w:rPr>
              <w:t>template_id, recipient_level, message_key, subject, language, delivery_status, out_of_band_confirmation_required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sz w:val="15"/>
              </w:rPr>
              <w:t>Controla plantilla, destinatarios, idioma, idempotencia y entrega.</w:t>
            </w:r>
          </w:p>
        </w:tc>
      </w:tr>
    </w:tbl>
    <w:p/>
    <w:p>
      <w:pPr>
        <w:pStyle w:val="Heading2"/>
      </w:pPr>
      <w:r>
        <w:t>16.3 Mapeo exacto entre campos y texto visible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shd w:fill="D9E2F3"/>
            <w:vAlign w:val="center"/>
          </w:tcPr>
          <w:p>
            <w:r>
              <w:rPr>
                <w:b/>
                <w:sz w:val="14"/>
              </w:rPr>
              <w:t>Texto visible para el cliente</w:t>
            </w:r>
          </w:p>
        </w:tc>
        <w:tc>
          <w:tcPr>
            <w:tcW w:type="dxa" w:w="2160"/>
            <w:shd w:fill="D9E2F3"/>
            <w:vAlign w:val="center"/>
          </w:tcPr>
          <w:p>
            <w:r>
              <w:rPr>
                <w:b/>
                <w:sz w:val="14"/>
              </w:rPr>
              <w:t>Campo o cálculo</w:t>
            </w:r>
          </w:p>
        </w:tc>
        <w:tc>
          <w:tcPr>
            <w:tcW w:type="dxa" w:w="2160"/>
            <w:shd w:fill="D9E2F3"/>
            <w:vAlign w:val="center"/>
          </w:tcPr>
          <w:p>
            <w:r>
              <w:rPr>
                <w:b/>
                <w:sz w:val="14"/>
              </w:rPr>
              <w:t>Fuente</w:t>
            </w:r>
          </w:p>
        </w:tc>
        <w:tc>
          <w:tcPr>
            <w:tcW w:type="dxa" w:w="2160"/>
            <w:shd w:fill="D9E2F3"/>
            <w:vAlign w:val="center"/>
          </w:tcPr>
          <w:p>
            <w:r>
              <w:rPr>
                <w:b/>
                <w:sz w:val="14"/>
              </w:rPr>
              <w:t>Regla de fallback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sz w:val="14"/>
              </w:rPr>
              <w:t>Código del caso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sz w:val="14"/>
              </w:rPr>
              <w:t>case_id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sz w:val="14"/>
              </w:rPr>
              <w:t>Case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sz w:val="14"/>
              </w:rPr>
              <w:t>Obligatorio; no se envía sin case_id.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sz w:val="14"/>
              </w:rPr>
              <w:t>Equipo afectado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sz w:val="14"/>
              </w:rPr>
              <w:t>asset_alias; si falta, hostname; si falta, asset_id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sz w:val="14"/>
              </w:rPr>
              <w:t>CMDB / Case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sz w:val="14"/>
              </w:rPr>
              <w:t>Usar el nombre más entendible disponible.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sz w:val="14"/>
              </w:rPr>
              <w:t>Función del equipo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sz w:val="14"/>
              </w:rPr>
              <w:t>business_service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sz w:val="14"/>
              </w:rPr>
              <w:t>CMDB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sz w:val="14"/>
              </w:rPr>
              <w:t>Omitir si no fue registrada.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sz w:val="14"/>
              </w:rPr>
              <w:t>Entorno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sz w:val="14"/>
              </w:rPr>
              <w:t>environment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sz w:val="14"/>
              </w:rPr>
              <w:t>CMDB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sz w:val="14"/>
              </w:rPr>
              <w:t>Omitir o indicar 'no registrado' internamente, no en el correo.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sz w:val="14"/>
              </w:rPr>
              <w:t>Criticidad del equipo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sz w:val="14"/>
              </w:rPr>
              <w:t>criticality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sz w:val="14"/>
              </w:rPr>
              <w:t>CMDB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sz w:val="14"/>
              </w:rPr>
              <w:t>No inferir desde rule_level.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sz w:val="14"/>
              </w:rPr>
              <w:t>Cuenta utilizada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sz w:val="14"/>
              </w:rPr>
              <w:t>target_user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sz w:val="14"/>
              </w:rPr>
              <w:t>NormalizedEvent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sz w:val="14"/>
              </w:rPr>
              <w:t>Indicar 'cuenta no identificada' solo si la acción sigue siendo clara.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sz w:val="14"/>
              </w:rPr>
              <w:t>Dirección de origen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sz w:val="14"/>
              </w:rPr>
              <w:t>source_ip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sz w:val="14"/>
              </w:rPr>
              <w:t>NormalizedEvent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sz w:val="14"/>
              </w:rPr>
              <w:t>Omitir ubicación si la IP no es válida o es privada.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sz w:val="14"/>
              </w:rPr>
              <w:t>Tipo de conexión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sz w:val="14"/>
              </w:rPr>
              <w:t>logonType traducido; SSH/RDP/red/local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sz w:val="14"/>
              </w:rPr>
              <w:t>Raw evidence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sz w:val="14"/>
              </w:rPr>
              <w:t>Usar descripción general 'acceso remoto' si el código no está disponible.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sz w:val="14"/>
              </w:rPr>
              <w:t>Equipo de origen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sz w:val="14"/>
              </w:rPr>
              <w:t>workstationName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sz w:val="14"/>
              </w:rPr>
              <w:t>Raw evidence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sz w:val="14"/>
              </w:rPr>
              <w:t>Omitir si no existe.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sz w:val="14"/>
              </w:rPr>
              <w:t>Hora del acceso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sz w:val="14"/>
              </w:rPr>
              <w:t>successful_login_at o timestamp del evento de éxito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sz w:val="14"/>
              </w:rPr>
              <w:t>Evidencia agregada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sz w:val="14"/>
              </w:rPr>
              <w:t>Usar timestamp del evento material.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sz w:val="14"/>
              </w:rPr>
              <w:t>Primera actividad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sz w:val="14"/>
              </w:rPr>
              <w:t>first_seen_at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sz w:val="14"/>
              </w:rPr>
              <w:t>Agregación del caso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sz w:val="14"/>
              </w:rPr>
              <w:t>Usar opened_at si first_seen_at no existe.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sz w:val="14"/>
              </w:rPr>
              <w:t>Última actividad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sz w:val="14"/>
              </w:rPr>
              <w:t>last_seen_at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sz w:val="14"/>
              </w:rPr>
              <w:t>Agregación del caso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sz w:val="14"/>
              </w:rPr>
              <w:t>Debe añadirse al modelo; no usar sent_at.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sz w:val="14"/>
              </w:rPr>
              <w:t>Intentos fallidos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sz w:val="14"/>
              </w:rPr>
              <w:t>failed_attempt_count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sz w:val="14"/>
              </w:rPr>
              <w:t>Resumen de evidencias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sz w:val="14"/>
              </w:rPr>
              <w:t>No sustituir con event_count si el caso mezcla otros eventos.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sz w:val="14"/>
              </w:rPr>
              <w:t>Accesos exitosos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sz w:val="14"/>
              </w:rPr>
              <w:t>successful_login_count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sz w:val="14"/>
              </w:rPr>
              <w:t>Resumen de evidencias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sz w:val="14"/>
              </w:rPr>
              <w:t>Para este caso debe ser al menos uno.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sz w:val="14"/>
              </w:rPr>
              <w:t>Ubicación aproximada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sz w:val="14"/>
              </w:rPr>
              <w:t>geo_country, geo_city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sz w:val="14"/>
              </w:rPr>
              <w:t>GeoIP enrichment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sz w:val="14"/>
              </w:rPr>
              <w:t>Indicar que es aproximada; omitir si falla.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sz w:val="14"/>
              </w:rPr>
              <w:t>Proveedor de Internet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sz w:val="14"/>
              </w:rPr>
              <w:t>isp_or_asn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sz w:val="14"/>
              </w:rPr>
              <w:t>GeoIP enrichment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sz w:val="14"/>
              </w:rPr>
              <w:t>Omitir si no está disponible.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sz w:val="14"/>
              </w:rPr>
              <w:t>Reputación del origen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sz w:val="14"/>
              </w:rPr>
              <w:t>reputation_verdict, score, report_count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sz w:val="14"/>
              </w:rPr>
              <w:t>IP reputation enrichment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sz w:val="14"/>
              </w:rPr>
              <w:t>No afirmar 'maliciosa' solo porque no es habitual.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sz w:val="14"/>
              </w:rPr>
              <w:t>¿Se había visto antes?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sz w:val="14"/>
              </w:rPr>
              <w:t>source_seen_before, previous_case_count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sz w:val="14"/>
              </w:rPr>
              <w:t>Historial tenant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sz w:val="14"/>
              </w:rPr>
              <w:t>Omitir si no existe historial suficiente.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sz w:val="14"/>
              </w:rPr>
              <w:t>Nivel de riesgo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sz w:val="14"/>
              </w:rPr>
              <w:t>priority_level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sz w:val="14"/>
              </w:rPr>
              <w:t>Case / RiskResult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sz w:val="14"/>
              </w:rPr>
              <w:t>Nunca copiar directamente rule_level.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sz w:val="14"/>
              </w:rPr>
              <w:t>Motivos del riesgo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sz w:val="14"/>
              </w:rPr>
              <w:t>risk_factors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sz w:val="14"/>
              </w:rPr>
              <w:t>RiskResult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sz w:val="14"/>
              </w:rPr>
              <w:t>Traducir a lenguaje natural.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sz w:val="14"/>
              </w:rPr>
              <w:t>Acciones que debe tomar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sz w:val="14"/>
              </w:rPr>
              <w:t>customer_actions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sz w:val="14"/>
              </w:rPr>
              <w:t>Procedure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sz w:val="14"/>
              </w:rPr>
              <w:t>Usar plantilla determinística si IA no está disponible.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sz w:val="14"/>
              </w:rPr>
              <w:t>Qué no debe hacer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sz w:val="14"/>
              </w:rPr>
              <w:t>do_not_do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sz w:val="14"/>
              </w:rPr>
              <w:t>Procedure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sz w:val="14"/>
              </w:rPr>
              <w:t>Mostrar cuando apagar, formatear o borrar evidencia sea riesgoso.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sz w:val="14"/>
              </w:rPr>
              <w:t>Plazo recomendado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sz w:val="14"/>
              </w:rPr>
              <w:t>recommended_deadline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sz w:val="14"/>
              </w:rPr>
              <w:t>Procedure / SLA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sz w:val="14"/>
              </w:rPr>
              <w:t>Usar plazo aprobado, no inventado por IA.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sz w:val="14"/>
              </w:rPr>
              <w:t>Contacto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sz w:val="14"/>
              </w:rPr>
              <w:t>escalation_contact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sz w:val="14"/>
              </w:rPr>
              <w:t>Configuración tenant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sz w:val="14"/>
              </w:rPr>
              <w:t>Usar canal oficial del servicio.</w:t>
            </w:r>
          </w:p>
        </w:tc>
      </w:tr>
    </w:tbl>
    <w:p/>
    <w:p>
      <w:pPr>
        <w:pStyle w:val="Heading2"/>
      </w:pPr>
      <w:r>
        <w:t>16.4 Campos adicionales que necesita el modelo de datos</w:t>
      </w:r>
    </w:p>
    <w:p>
      <w:pPr>
        <w:jc w:val="both"/>
      </w:pPr>
      <w:r>
        <w:t>Los schemas actuales del repositorio contienen la identidad básica del evento y del caso, pero no todos los campos necesarios para generar una comunicación rica. Estos campos no deben agregarse indiscriminadamente al NormalizedEvent; algunos pertenecen al resumen del caso, a la CMDB, al riesgo o al procedimiento.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320"/>
            <w:shd w:fill="D9E2F3"/>
            <w:vAlign w:val="center"/>
          </w:tcPr>
          <w:p>
            <w:r>
              <w:rPr>
                <w:b/>
                <w:sz w:val="15"/>
              </w:rPr>
              <w:t>Objeto recomendado</w:t>
            </w:r>
          </w:p>
        </w:tc>
        <w:tc>
          <w:tcPr>
            <w:tcW w:type="dxa" w:w="4320"/>
            <w:shd w:fill="D9E2F3"/>
            <w:vAlign w:val="center"/>
          </w:tcPr>
          <w:p>
            <w:r>
              <w:rPr>
                <w:b/>
                <w:sz w:val="15"/>
              </w:rPr>
              <w:t>Campos que deben añadirse o formalizarse</w:t>
            </w:r>
          </w:p>
        </w:tc>
      </w:tr>
      <w:tr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sz w:val="15"/>
              </w:rPr>
              <w:t>CaseSummary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sz w:val="15"/>
              </w:rPr>
              <w:t>first_seen_at, last_seen_at, failed_attempt_count, successful_login_count, affected_user_count, affected_asset_count, evidence_summary</w:t>
            </w:r>
          </w:p>
        </w:tc>
      </w:tr>
      <w:tr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sz w:val="15"/>
              </w:rPr>
              <w:t>AssetContext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sz w:val="15"/>
              </w:rPr>
              <w:t>asset_alias, hostname, environment, criticality, business_service, internet_exposed, owner_name</w:t>
            </w:r>
          </w:p>
        </w:tc>
      </w:tr>
      <w:tr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sz w:val="15"/>
              </w:rPr>
              <w:t>AuthEvidence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sz w:val="15"/>
              </w:rPr>
              <w:t>logon_type, logon_type_label, workstation_name, source_port, success_event_id, failure_event_ids</w:t>
            </w:r>
          </w:p>
        </w:tc>
      </w:tr>
      <w:tr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sz w:val="15"/>
              </w:rPr>
              <w:t>ThreatContext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sz w:val="15"/>
              </w:rPr>
              <w:t>geo_country, geo_city, isp_or_asn, reputation_verdict, reputation_score, reputation_report_count, source_seen_before, authorized_source_match</w:t>
            </w:r>
          </w:p>
        </w:tc>
      </w:tr>
      <w:tr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sz w:val="15"/>
              </w:rPr>
              <w:t>RiskResult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sz w:val="15"/>
              </w:rPr>
              <w:t>risk_score, priority_level, risk_factors, risk_policy_version, calculated_at</w:t>
            </w:r>
          </w:p>
        </w:tc>
      </w:tr>
      <w:tr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sz w:val="15"/>
              </w:rPr>
              <w:t>Procedure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sz w:val="15"/>
              </w:rPr>
              <w:t>procedure_id, procedure_version, customer_actions, internal_actions, do_not_do, evidence_to_preserve, recommended_deadline</w:t>
            </w:r>
          </w:p>
        </w:tc>
      </w:tr>
      <w:tr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sz w:val="15"/>
              </w:rPr>
              <w:t>ClientNotification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sz w:val="15"/>
              </w:rPr>
              <w:t>incident_facts, action_plan, warnings, technical_appendix; mantener message_key, recipient_level y delivery_status</w:t>
            </w:r>
          </w:p>
        </w:tc>
      </w:tr>
    </w:tbl>
    <w:p/>
    <w:p>
      <w:pPr>
        <w:pStyle w:val="Heading2"/>
      </w:pPr>
      <w:r>
        <w:t>16.5 Ejemplo definitivo de notificación al cliente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7FA"/>
          </w:tcPr>
          <w:p>
            <w:pPr>
              <w:jc w:val="left"/>
            </w:pPr>
            <w:r>
              <w:rPr>
                <w:sz w:val="17"/>
              </w:rPr>
              <w:t>Asunto: [KRP-2026-000145] Alerta urgente: acceso inusual a su servidor de facturación</w:t>
              <w:br/>
            </w:r>
            <w:r>
              <w:rPr>
                <w:sz w:val="17"/>
              </w:rPr>
              <w:br/>
            </w:r>
            <w:r>
              <w:rPr>
                <w:sz w:val="17"/>
              </w:rPr>
              <w:t>Hola:</w:t>
              <w:br/>
            </w:r>
            <w:r>
              <w:rPr>
                <w:sz w:val="17"/>
              </w:rPr>
              <w:br/>
            </w:r>
            <w:r>
              <w:rPr>
                <w:sz w:val="17"/>
              </w:rPr>
              <w:t>Detectamos un acceso inusual al servidor de facturación de su empresa utilizando la cuenta administrador.</w:t>
              <w:br/>
            </w:r>
            <w:r>
              <w:rPr>
                <w:sz w:val="17"/>
              </w:rPr>
              <w:br/>
            </w:r>
            <w:r>
              <w:rPr>
                <w:sz w:val="17"/>
              </w:rPr>
              <w:t>Antes de ese ingreso se registraron 34 intentos fallidos y, pocos minutos después, un acceso exitoso desde la dirección 198.51.100.23. Esta dirección no había sido observada anteriormente en su empresa y presenta antecedentes de actividad sospechosa.</w:t>
              <w:br/>
            </w:r>
            <w:r>
              <w:rPr>
                <w:sz w:val="17"/>
              </w:rPr>
              <w:br/>
            </w:r>
            <w:r>
              <w:rPr>
                <w:sz w:val="17"/>
              </w:rPr>
              <w:t>Esto no confirma que el servidor haya sido vulnerado, pero existe un riesgo importante de que una persona no autorizada haya conseguido ingresar.</w:t>
              <w:br/>
            </w:r>
            <w:r>
              <w:rPr>
                <w:sz w:val="17"/>
              </w:rPr>
              <w:br/>
            </w:r>
            <w:r>
              <w:rPr>
                <w:sz w:val="17"/>
              </w:rPr>
              <w:t>DATOS PRINCIPALES</w:t>
              <w:br/>
            </w:r>
            <w:r>
              <w:rPr>
                <w:sz w:val="17"/>
              </w:rPr>
              <w:t>• Equipo afectado: Servidor de facturación (SRV-FACTURACION-01)</w:t>
              <w:br/>
            </w:r>
            <w:r>
              <w:rPr>
                <w:sz w:val="17"/>
              </w:rPr>
              <w:t>• Entorno: Producción</w:t>
              <w:br/>
            </w:r>
            <w:r>
              <w:rPr>
                <w:sz w:val="17"/>
              </w:rPr>
              <w:t>• Cuenta utilizada: administrador</w:t>
              <w:br/>
            </w:r>
            <w:r>
              <w:rPr>
                <w:sz w:val="17"/>
              </w:rPr>
              <w:t>• Tipo de acceso: Escritorio remoto</w:t>
              <w:br/>
            </w:r>
            <w:r>
              <w:rPr>
                <w:sz w:val="17"/>
              </w:rPr>
              <w:t>• Hora del acceso exitoso: 10:11 a. m.</w:t>
              <w:br/>
            </w:r>
            <w:r>
              <w:rPr>
                <w:sz w:val="17"/>
              </w:rPr>
              <w:t>• Intentos fallidos previos: 34</w:t>
              <w:br/>
            </w:r>
            <w:r>
              <w:rPr>
                <w:sz w:val="17"/>
              </w:rPr>
              <w:t>• Dirección de origen: 198.51.100.23</w:t>
              <w:br/>
            </w:r>
            <w:r>
              <w:rPr>
                <w:sz w:val="17"/>
              </w:rPr>
              <w:t>• Ubicación aproximada: fuera de la ubicación habitual</w:t>
              <w:br/>
            </w:r>
            <w:r>
              <w:rPr>
                <w:sz w:val="17"/>
              </w:rPr>
              <w:t>• Nivel de riesgo: Crítico</w:t>
              <w:br/>
            </w:r>
            <w:r>
              <w:rPr>
                <w:sz w:val="17"/>
              </w:rPr>
              <w:t>• Código del caso: KRP-2026-000145</w:t>
              <w:br/>
            </w:r>
            <w:r>
              <w:rPr>
                <w:sz w:val="17"/>
              </w:rPr>
              <w:br/>
            </w:r>
            <w:r>
              <w:rPr>
                <w:sz w:val="17"/>
              </w:rPr>
              <w:t>POR QUÉ REQUIERE ATENCIÓN</w:t>
              <w:br/>
            </w:r>
            <w:r>
              <w:rPr>
                <w:sz w:val="17"/>
              </w:rPr>
              <w:t>La alerta se considera crítica porque el acceso exitoso ocurrió después de numerosos intentos fallidos, se utilizó una cuenta administrativa, el equipo pertenece al entorno de producción y el origen no está registrado como autorizado.</w:t>
              <w:br/>
            </w:r>
            <w:r>
              <w:rPr>
                <w:sz w:val="17"/>
              </w:rPr>
              <w:br/>
            </w:r>
            <w:r>
              <w:rPr>
                <w:sz w:val="17"/>
              </w:rPr>
              <w:t>ACCIONES QUE DEBE REALIZAR AHORA</w:t>
              <w:br/>
            </w:r>
            <w:r>
              <w:rPr>
                <w:sz w:val="17"/>
              </w:rPr>
              <w:br/>
            </w:r>
            <w:r>
              <w:rPr>
                <w:sz w:val="17"/>
              </w:rPr>
              <w:t>1. Confirme internamente si algún trabajador o proveedor autorizado ingresó al servidor aproximadamente a las 10:11 a. m. Pregunte específicamente por la cuenta administrador, el equipo de origen y el acceso por Escritorio remoto.</w:t>
              <w:br/>
            </w:r>
            <w:r>
              <w:rPr>
                <w:sz w:val="17"/>
              </w:rPr>
              <w:br/>
            </w:r>
            <w:r>
              <w:rPr>
                <w:sz w:val="17"/>
              </w:rPr>
              <w:t>2. Mientras se confirma lo ocurrido, cambie la contraseña de la cuenta administrador desde un equipo seguro. La nueva contraseña debe ser única, no reutilizada y no debe enviarse por WhatsApp, correo o mensajes de texto.</w:t>
              <w:br/>
            </w:r>
            <w:r>
              <w:rPr>
                <w:sz w:val="17"/>
              </w:rPr>
              <w:br/>
            </w:r>
            <w:r>
              <w:rPr>
                <w:sz w:val="17"/>
              </w:rPr>
              <w:t>3. Solicite al responsable de sistemas cerrar todas las sesiones abiertas de la cuenta administrador. Cambiar la contraseña no siempre desconecta las sesiones que ya estaban activas.</w:t>
              <w:br/>
            </w:r>
            <w:r>
              <w:rPr>
                <w:sz w:val="17"/>
              </w:rPr>
              <w:br/>
            </w:r>
            <w:r>
              <w:rPr>
                <w:sz w:val="17"/>
              </w:rPr>
              <w:t>4. Suspenda temporalmente el acceso por Escritorio remoto desde Internet. Si es indispensable mantenerlo, permita únicamente las direcciones autorizadas de la empresa o del proveedor.</w:t>
              <w:br/>
            </w:r>
            <w:r>
              <w:rPr>
                <w:sz w:val="17"/>
              </w:rPr>
              <w:br/>
            </w:r>
            <w:r>
              <w:rPr>
                <w:sz w:val="17"/>
              </w:rPr>
              <w:t>5. Bloquee temporalmente la dirección 198.51.100.23 en el firewall o router mientras se realiza la revisión.</w:t>
              <w:br/>
            </w:r>
            <w:r>
              <w:rPr>
                <w:sz w:val="17"/>
              </w:rPr>
              <w:br/>
            </w:r>
            <w:r>
              <w:rPr>
                <w:sz w:val="17"/>
              </w:rPr>
              <w:t>6. Revise las actividades ejecutadas después de las 10:11 a. m. Verifique especialmente si se crearon usuarios, se cambiaron contraseñas, se instalaron programas, se descargaron o eliminaron archivos, se crearon tareas programadas, se modificó el firewall o se desactivó el antivirus.</w:t>
              <w:br/>
            </w:r>
            <w:r>
              <w:rPr>
                <w:sz w:val="17"/>
              </w:rPr>
              <w:br/>
            </w:r>
            <w:r>
              <w:rPr>
                <w:sz w:val="17"/>
              </w:rPr>
              <w:t>7. Revise si existen otras cuentas administrativas compartidas, antiguas o pertenecientes a extrabajadores. Las cuentas que ya no sean necesarias deben deshabilitarse.</w:t>
              <w:br/>
            </w:r>
            <w:r>
              <w:rPr>
                <w:sz w:val="17"/>
              </w:rPr>
              <w:br/>
            </w:r>
            <w:r>
              <w:rPr>
                <w:sz w:val="17"/>
              </w:rPr>
              <w:t>8. No apague, formatee ni reinstale el servidor antes de terminar la revisión. Estas acciones podrían eliminar información necesaria para determinar qué ocurrió. Si necesita aislarlo, desconéctelo de Internet sin apagarlo.</w:t>
              <w:br/>
            </w:r>
            <w:r>
              <w:rPr>
                <w:sz w:val="17"/>
              </w:rPr>
              <w:br/>
            </w:r>
            <w:r>
              <w:rPr>
                <w:sz w:val="17"/>
              </w:rPr>
              <w:t>9. Conserve los registros del servidor, firewall, antivirus y accesos remotos entre las 9:30 a. m. y las 11:00 a. m. No borre los registros aunque posteriormente se confirme que el acceso era autorizado.</w:t>
              <w:br/>
            </w:r>
            <w:r>
              <w:rPr>
                <w:sz w:val="17"/>
              </w:rPr>
              <w:br/>
            </w:r>
            <w:r>
              <w:rPr>
                <w:sz w:val="17"/>
              </w:rPr>
              <w:t>10. Responda a este correo indicando si reconoce el acceso, quién lo realizó, por qué motivo, qué acciones ya se ejecutaron y si se encontró algún cambio extraño en el servidor.</w:t>
              <w:br/>
            </w:r>
            <w:r>
              <w:rPr>
                <w:sz w:val="17"/>
              </w:rPr>
              <w:br/>
            </w:r>
            <w:r>
              <w:rPr>
                <w:sz w:val="17"/>
              </w:rPr>
              <w:t>Hasta confirmar lo ocurrido, recomendamos tratar este acceso como no autorizado.</w:t>
              <w:br/>
            </w:r>
            <w:r>
              <w:rPr>
                <w:sz w:val="17"/>
              </w:rPr>
              <w:br/>
            </w:r>
            <w:r>
              <w:rPr>
                <w:sz w:val="17"/>
              </w:rPr>
              <w:t>El caso permanecerá abierto hasta verificar que la contraseña haya sido cambiada, las sesiones estén cerradas y no exista nueva actividad sospechosa.</w:t>
              <w:br/>
            </w:r>
            <w:r>
              <w:rPr>
                <w:sz w:val="17"/>
              </w:rPr>
              <w:br/>
            </w:r>
            <w:r>
              <w:rPr>
                <w:sz w:val="17"/>
              </w:rPr>
              <w:t>Equipo Kriptome MiniSOC</w:t>
              <w:br/>
            </w:r>
            <w:r>
              <w:rPr>
                <w:sz w:val="17"/>
              </w:rPr>
              <w:t>Caso: KRP-2026-000145</w:t>
              <w:br/>
            </w:r>
          </w:p>
        </w:tc>
      </w:tr>
    </w:tbl>
    <w:p/>
    <w:p>
      <w:pPr>
        <w:pStyle w:val="Heading2"/>
      </w:pPr>
      <w:r>
        <w:t>16.6 Ejemplo de payload de salida</w:t>
      </w:r>
    </w:p>
    <w:p>
      <w:pPr>
        <w:jc w:val="both"/>
      </w:pPr>
      <w:r>
        <w:t>El siguiente objeto representa el output de comunicación. Se conserva como un solo mensaje y no incluye un bloque de opciones A/B/C. El texto puede ser generado mediante plantilla o IA, pero los hechos y las acciones provienen de objetos estructurados.</w:t>
      </w:r>
    </w:p>
    <w:p>
      <w:pPr>
        <w:ind w:left="340" w:right="340"/>
        <w:jc w:val="left"/>
      </w:pPr>
      <w:r>
        <w:rPr>
          <w:rFonts w:ascii="Liberation Mono" w:hAnsi="Liberation Mono"/>
          <w:sz w:val="16"/>
        </w:rPr>
        <w:t>{</w:t>
        <w:br/>
        <w:t xml:space="preserve">  "case_id": "KRP-2026-000145",</w:t>
        <w:br/>
        <w:t xml:space="preserve">  "tenant_id": "CLI-001",</w:t>
        <w:br/>
        <w:t xml:space="preserve">  "message_type": "alerta_inicial",</w:t>
        <w:br/>
        <w:t xml:space="preserve">  "priority_level": "critico",</w:t>
        <w:br/>
        <w:t xml:space="preserve">  "template_id": "AUTH_BRUTEFORCE_SUCCESS_v2",</w:t>
        <w:br/>
        <w:t xml:space="preserve">  "recipient_level": "ambos",</w:t>
        <w:br/>
        <w:t xml:space="preserve">  "message_key": "KRP-2026-000145:alerta_inicial:v2",</w:t>
        <w:br/>
        <w:t xml:space="preserve">  "subject": "[KRP-2026-000145] Alerta urgente: acceso inusual a su servidor de facturación",</w:t>
        <w:br/>
        <w:t xml:space="preserve">  "language": "es-PE",</w:t>
        <w:br/>
        <w:t xml:space="preserve">  "delivery_status": "draft",</w:t>
        <w:br/>
        <w:t xml:space="preserve">  "out_of_band_confirmation_required": true,</w:t>
        <w:br/>
        <w:t xml:space="preserve">  "incident_facts": {</w:t>
        <w:br/>
        <w:t xml:space="preserve">    "asset_alias": "Servidor de facturación",</w:t>
        <w:br/>
        <w:t xml:space="preserve">    "hostname": "SRV-FACTURACION-01",</w:t>
        <w:br/>
        <w:t xml:space="preserve">    "environment": "produccion",</w:t>
        <w:br/>
        <w:t xml:space="preserve">    "criticality": "alta",</w:t>
        <w:br/>
        <w:t xml:space="preserve">    "target_user": "administrador",</w:t>
        <w:br/>
        <w:t xml:space="preserve">    "source_ip": "198.51.100.23",</w:t>
        <w:br/>
        <w:t xml:space="preserve">    "access_type": "Escritorio remoto",</w:t>
        <w:br/>
        <w:t xml:space="preserve">    "first_seen_at": "2026-07-22T15:05:00-05:00",</w:t>
        <w:br/>
        <w:t xml:space="preserve">    "successful_login_at": "2026-07-22T15:11:00-05:00",</w:t>
        <w:br/>
        <w:t xml:space="preserve">    "failed_attempt_count": 34,</w:t>
        <w:br/>
        <w:t xml:space="preserve">    "successful_login_count": 1,</w:t>
        <w:br/>
        <w:t xml:space="preserve">    "geo_country": "no habitual",</w:t>
        <w:br/>
        <w:t xml:space="preserve">    "reputation_verdict": "sospechosa"</w:t>
        <w:br/>
        <w:t xml:space="preserve">  },</w:t>
        <w:br/>
        <w:t xml:space="preserve">  "risk": {</w:t>
        <w:br/>
        <w:t xml:space="preserve">    "risk_score": 92,</w:t>
        <w:br/>
        <w:t xml:space="preserve">    "risk_factors": [</w:t>
        <w:br/>
        <w:t xml:space="preserve">      "inicio de sesion exitoso despues de intentos fallidos",</w:t>
        <w:br/>
        <w:t xml:space="preserve">      "cuenta administrativa",</w:t>
        <w:br/>
        <w:t xml:space="preserve">      "activo de produccion",</w:t>
        <w:br/>
        <w:t xml:space="preserve">      "origen no autorizado"</w:t>
        <w:br/>
        <w:t xml:space="preserve">    ]</w:t>
        <w:br/>
        <w:t xml:space="preserve">  },</w:t>
        <w:br/>
        <w:t xml:space="preserve">  "action_plan": {</w:t>
        <w:br/>
        <w:t xml:space="preserve">    "customer_actions": [</w:t>
        <w:br/>
        <w:t xml:space="preserve">      "confirmar internamente el acceso",</w:t>
        <w:br/>
        <w:t xml:space="preserve">      "cambiar la contrasena",</w:t>
        <w:br/>
        <w:t xml:space="preserve">      "cerrar sesiones activas",</w:t>
        <w:br/>
        <w:t xml:space="preserve">      "restringir temporalmente RDP",</w:t>
        <w:br/>
        <w:t xml:space="preserve">      "bloquear temporalmente la IP",</w:t>
        <w:br/>
        <w:t xml:space="preserve">      "revisar cambios posteriores",</w:t>
        <w:br/>
        <w:t xml:space="preserve">      "preservar evidencia"</w:t>
        <w:br/>
        <w:t xml:space="preserve">    ],</w:t>
        <w:br/>
        <w:t xml:space="preserve">    "do_not_do": [</w:t>
        <w:br/>
        <w:t xml:space="preserve">      "no apagar",</w:t>
        <w:br/>
        <w:t xml:space="preserve">      "no formatear",</w:t>
        <w:br/>
        <w:t xml:space="preserve">      "no borrar registros"</w:t>
        <w:br/>
        <w:t xml:space="preserve">    ],</w:t>
        <w:br/>
        <w:t xml:space="preserve">    "recommended_deadline": "inmediato"</w:t>
        <w:br/>
        <w:t xml:space="preserve">  }</w:t>
        <w:br/>
        <w:t>}</w:t>
      </w:r>
    </w:p>
    <w:p>
      <w:pPr>
        <w:pStyle w:val="Heading2"/>
      </w:pPr>
      <w:r>
        <w:t>16.7 Alineamiento con el repositorio revisado</w:t>
      </w:r>
    </w:p>
    <w:p>
      <w:pPr>
        <w:jc w:val="both"/>
      </w:pPr>
      <w:r>
        <w:t>La revisión de la rama main confirma que el repositorio incorpora schemas, políticas de case types, estados normalizados y la regla CISA KEV fuera del flujo productivo. No obstante, el contrato actual de ClientNotification todavía hace referencia al documento antiguo y describe un bloque de respuesta A/B/C. Además, los schemas actuales no formalizan todos los campos necesarios para una notificación detallada.</w:t>
      </w:r>
      <w:r>
        <w:t xml:space="preserve"> También se verificó que enrichment_result.schema.json aún no incluye CISA KEV como tipo de enriquecimiento.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shd w:fill="D9E2F3"/>
            <w:vAlign w:val="center"/>
          </w:tcPr>
          <w:p>
            <w:r>
              <w:rPr>
                <w:b/>
                <w:sz w:val="15"/>
              </w:rPr>
              <w:t>Hallazgo en el repositorio</w:t>
            </w:r>
          </w:p>
        </w:tc>
        <w:tc>
          <w:tcPr>
            <w:tcW w:type="dxa" w:w="2880"/>
            <w:shd w:fill="D9E2F3"/>
            <w:vAlign w:val="center"/>
          </w:tcPr>
          <w:p>
            <w:r>
              <w:rPr>
                <w:b/>
                <w:sz w:val="15"/>
              </w:rPr>
              <w:t>Impacto</w:t>
            </w:r>
          </w:p>
        </w:tc>
        <w:tc>
          <w:tcPr>
            <w:tcW w:type="dxa" w:w="2880"/>
            <w:shd w:fill="D9E2F3"/>
            <w:vAlign w:val="center"/>
          </w:tcPr>
          <w:p>
            <w:r>
              <w:rPr>
                <w:b/>
                <w:sz w:val="15"/>
              </w:rPr>
              <w:t>Corrección recomendada</w:t>
            </w:r>
          </w:p>
        </w:tc>
      </w:tr>
      <w:tr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sz w:val="15"/>
              </w:rPr>
              <w:t>client_notification.schema.json conserva la descripción del bloque A/B/C.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sz w:val="15"/>
              </w:rPr>
              <w:t>Contradice la decisión de enviar un solo mensaje.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sz w:val="15"/>
              </w:rPr>
              <w:t>Eliminar la referencia A/B/C y formalizar incident_facts, action_plan, warnings y technical_appendix.</w:t>
            </w:r>
          </w:p>
        </w:tc>
      </w:tr>
      <w:tr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sz w:val="15"/>
              </w:rPr>
              <w:t>NormalizedEvent no contiene logon_type ni workstation_name.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sz w:val="15"/>
              </w:rPr>
              <w:t>El correo no puede indicar el tipo y equipo de origen usando solo el evento normalizado.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sz w:val="15"/>
              </w:rPr>
              <w:t>Crear AuthEvidence o ampliar un objeto de evidencia específico por familia.</w:t>
            </w:r>
          </w:p>
        </w:tc>
      </w:tr>
      <w:tr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sz w:val="15"/>
              </w:rPr>
              <w:t>Case contiene opened_at y event_count, pero no first_seen_at, last_seen_at ni contadores por tipo.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sz w:val="15"/>
              </w:rPr>
              <w:t>No se puede separar fallos, éxitos y cronología completa.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sz w:val="15"/>
              </w:rPr>
              <w:t>Añadir CaseSummary o campos agregados específicos.</w:t>
            </w:r>
          </w:p>
        </w:tc>
      </w:tr>
      <w:tr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sz w:val="15"/>
              </w:rPr>
              <w:t>Asset alias, hostname, environment y criticality no están en los schemas revisados.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sz w:val="15"/>
              </w:rPr>
              <w:t>El cliente recibiría un asset_id poco entendible.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sz w:val="15"/>
              </w:rPr>
              <w:t>Formalizar AssetContext obtenido desde CMDB.</w:t>
            </w:r>
          </w:p>
        </w:tc>
      </w:tr>
      <w:tr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sz w:val="15"/>
              </w:rPr>
              <w:t>No existe un RiskResult estructurado con score y factores.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sz w:val="15"/>
              </w:rPr>
              <w:t>La prioridad no puede explicarse de forma trazable.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sz w:val="15"/>
              </w:rPr>
              <w:t>Crear risk_result.schema.json.</w:t>
            </w:r>
          </w:p>
        </w:tc>
      </w:tr>
      <w:tr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sz w:val="15"/>
              </w:rPr>
              <w:t>No existe un contrato formal de Procedure con acciones, prohibiciones y plazo.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sz w:val="15"/>
              </w:rPr>
              <w:t>Las acciones podrían quedar como texto libre de IA.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sz w:val="15"/>
              </w:rPr>
              <w:t>Crear procedure.schema.json y versionar procedimientos.</w:t>
            </w:r>
          </w:p>
        </w:tc>
      </w:tr>
      <w:tr>
        <w:tc>
          <w:tcPr>
            <w:tcW w:type="dxa" w:w="2880"/>
          </w:tcPr>
          <w:p>
            <w:r>
              <w:rPr>
                <w:sz w:val="15"/>
              </w:rPr>
              <w:t>enrichment_result.schema.json no incluye cisa_kev en enrichment_type.</w:t>
            </w:r>
          </w:p>
        </w:tc>
        <w:tc>
          <w:tcPr>
            <w:tcW w:type="dxa" w:w="2880"/>
          </w:tcPr>
          <w:p>
            <w:r>
              <w:rPr>
                <w:sz w:val="15"/>
              </w:rPr>
              <w:t>El flujo KEV acordado no puede validarse contra el contrato actual.</w:t>
            </w:r>
          </w:p>
        </w:tc>
        <w:tc>
          <w:tcPr>
            <w:tcW w:type="dxa" w:w="2880"/>
          </w:tcPr>
          <w:p>
            <w:r>
              <w:rPr>
                <w:sz w:val="15"/>
              </w:rPr>
              <w:t>Añadir cisa_kev y formalizar los campos del catálogo versionado.</w:t>
            </w:r>
          </w:p>
        </w:tc>
      </w:tr>
    </w:tbl>
    <w:p/>
    <w:p>
      <w:pPr>
        <w:pStyle w:val="Heading1"/>
      </w:pPr>
      <w:r>
        <w:t>17. Ejemplo de digest semanal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57"/>
        <w:gridCol w:w="4957"/>
      </w:tblGrid>
      <w:tr>
        <w:trPr>
          <w:tblHeader w:val="true"/>
        </w:trPr>
        <w:tc>
          <w:tcPr>
            <w:tcW w:type="dxa" w:w="4957"/>
            <w:shd w:fill="D9E2F3"/>
          </w:tcPr>
          <w:p>
            <w:r>
              <w:rPr>
                <w:b/>
                <w:sz w:val="17"/>
              </w:rPr>
              <w:t>Sección</w:t>
            </w:r>
          </w:p>
        </w:tc>
        <w:tc>
          <w:tcPr>
            <w:tcW w:type="dxa" w:w="4957"/>
            <w:shd w:fill="D9E2F3"/>
          </w:tcPr>
          <w:p>
            <w:r>
              <w:rPr>
                <w:b/>
                <w:sz w:val="17"/>
              </w:rPr>
              <w:t>Contenido de ejemplo</w:t>
            </w:r>
          </w:p>
        </w:tc>
      </w:tr>
      <w:tr>
        <w:tc>
          <w:tcPr>
            <w:tcW w:type="dxa" w:w="4957"/>
          </w:tcPr>
          <w:p>
            <w:pPr>
              <w:jc w:val="left"/>
            </w:pPr>
            <w:r>
              <w:rPr>
                <w:sz w:val="17"/>
              </w:rPr>
              <w:t>Resumen</w:t>
            </w:r>
          </w:p>
        </w:tc>
        <w:tc>
          <w:tcPr>
            <w:tcW w:type="dxa" w:w="4957"/>
          </w:tcPr>
          <w:p>
            <w:pPr>
              <w:jc w:val="left"/>
            </w:pPr>
            <w:r>
              <w:rPr>
                <w:sz w:val="17"/>
              </w:rPr>
              <w:t>3 casos abiertos, 7 cerrados y 1 pendiente del cliente</w:t>
            </w:r>
          </w:p>
        </w:tc>
      </w:tr>
      <w:tr>
        <w:tc>
          <w:tcPr>
            <w:tcW w:type="dxa" w:w="4957"/>
          </w:tcPr>
          <w:p>
            <w:pPr>
              <w:jc w:val="left"/>
            </w:pPr>
            <w:r>
              <w:rPr>
                <w:sz w:val="17"/>
              </w:rPr>
              <w:t>Vulnerabilidades</w:t>
            </w:r>
          </w:p>
        </w:tc>
        <w:tc>
          <w:tcPr>
            <w:tcW w:type="dxa" w:w="4957"/>
          </w:tcPr>
          <w:p>
            <w:pPr>
              <w:jc w:val="left"/>
            </w:pPr>
            <w:r>
              <w:rPr>
                <w:sz w:val="17"/>
              </w:rPr>
              <w:t>2 CVE KEV en activos críticos, 5 altas no expuestas</w:t>
            </w:r>
          </w:p>
        </w:tc>
      </w:tr>
      <w:tr>
        <w:tc>
          <w:tcPr>
            <w:tcW w:type="dxa" w:w="4957"/>
          </w:tcPr>
          <w:p>
            <w:pPr>
              <w:jc w:val="left"/>
            </w:pPr>
            <w:r>
              <w:rPr>
                <w:sz w:val="17"/>
              </w:rPr>
              <w:t>Autenticación</w:t>
            </w:r>
          </w:p>
        </w:tc>
        <w:tc>
          <w:tcPr>
            <w:tcW w:type="dxa" w:w="4957"/>
          </w:tcPr>
          <w:p>
            <w:pPr>
              <w:jc w:val="left"/>
            </w:pPr>
            <w:r>
              <w:rPr>
                <w:sz w:val="17"/>
              </w:rPr>
              <w:t>1 caso crítico y 4 eventos consolidados</w:t>
            </w:r>
          </w:p>
        </w:tc>
      </w:tr>
      <w:tr>
        <w:tc>
          <w:tcPr>
            <w:tcW w:type="dxa" w:w="4957"/>
          </w:tcPr>
          <w:p>
            <w:pPr>
              <w:jc w:val="left"/>
            </w:pPr>
            <w:r>
              <w:rPr>
                <w:sz w:val="17"/>
              </w:rPr>
              <w:t>Agentes</w:t>
            </w:r>
          </w:p>
        </w:tc>
        <w:tc>
          <w:tcPr>
            <w:tcW w:type="dxa" w:w="4957"/>
          </w:tcPr>
          <w:p>
            <w:pPr>
              <w:jc w:val="left"/>
            </w:pPr>
            <w:r>
              <w:rPr>
                <w:sz w:val="17"/>
              </w:rPr>
              <w:t>2 desconexiones prolongadas</w:t>
            </w:r>
          </w:p>
        </w:tc>
      </w:tr>
      <w:tr>
        <w:tc>
          <w:tcPr>
            <w:tcW w:type="dxa" w:w="4957"/>
          </w:tcPr>
          <w:p>
            <w:pPr>
              <w:jc w:val="left"/>
            </w:pPr>
            <w:r>
              <w:rPr>
                <w:sz w:val="17"/>
              </w:rPr>
              <w:t>SCA/FIM</w:t>
            </w:r>
          </w:p>
        </w:tc>
        <w:tc>
          <w:tcPr>
            <w:tcW w:type="dxa" w:w="4957"/>
          </w:tcPr>
          <w:p>
            <w:pPr>
              <w:jc w:val="left"/>
            </w:pPr>
            <w:r>
              <w:rPr>
                <w:sz w:val="17"/>
              </w:rPr>
              <w:t>Regresiones y cambios relevantes</w:t>
            </w:r>
          </w:p>
        </w:tc>
      </w:tr>
      <w:tr>
        <w:tc>
          <w:tcPr>
            <w:tcW w:type="dxa" w:w="4957"/>
          </w:tcPr>
          <w:p>
            <w:pPr>
              <w:jc w:val="left"/>
            </w:pPr>
            <w:r>
              <w:rPr>
                <w:sz w:val="17"/>
              </w:rPr>
              <w:t>Acciones</w:t>
            </w:r>
          </w:p>
        </w:tc>
        <w:tc>
          <w:tcPr>
            <w:tcW w:type="dxa" w:w="4957"/>
          </w:tcPr>
          <w:p>
            <w:pPr>
              <w:jc w:val="left"/>
            </w:pPr>
            <w:r>
              <w:rPr>
                <w:sz w:val="17"/>
              </w:rPr>
              <w:t>Lista priorizada y responsable</w:t>
            </w:r>
          </w:p>
        </w:tc>
      </w:tr>
    </w:tbl>
    <w:p/>
    <w:p>
      <w:pPr>
        <w:jc w:val="both"/>
      </w:pPr>
      <w:r>
        <w:t>El digest no debe copiar todas las alertas. Resume tendencias, decisiones pendientes y cambios desde el periodo anterior. Cada elemento enlaza al case_id correspondiente.</w:t>
      </w:r>
    </w:p>
    <w:p>
      <w:pPr>
        <w:pStyle w:val="Heading1"/>
      </w:pPr>
      <w:r>
        <w:t>18. Ejemplo de reporte mensual</w:t>
      </w:r>
    </w:p>
    <w:p>
      <w:pPr>
        <w:jc w:val="both"/>
      </w:pPr>
      <w:r>
        <w:t>El reporte mensual combina información de negocio y técnica. Incluye volumen de alertas, reducción a casos, distribución por severidad, cumplimiento del SLA, falsos positivos, tiempo de analista, vulnerabilidades pendientes, disponibilidad de agentes y cambios de tuning. También debe explicar incidentes relevantes y recomendaciones.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05"/>
        <w:gridCol w:w="3305"/>
        <w:gridCol w:w="3305"/>
      </w:tblGrid>
      <w:tr>
        <w:trPr>
          <w:tblHeader w:val="true"/>
        </w:trPr>
        <w:tc>
          <w:tcPr>
            <w:tcW w:type="dxa" w:w="3305"/>
            <w:shd w:fill="D9E2F3"/>
          </w:tcPr>
          <w:p>
            <w:r>
              <w:rPr>
                <w:b/>
                <w:sz w:val="17"/>
              </w:rPr>
              <w:t>Indicador</w:t>
            </w:r>
          </w:p>
        </w:tc>
        <w:tc>
          <w:tcPr>
            <w:tcW w:type="dxa" w:w="3305"/>
            <w:shd w:fill="D9E2F3"/>
          </w:tcPr>
          <w:p>
            <w:r>
              <w:rPr>
                <w:b/>
                <w:sz w:val="17"/>
              </w:rPr>
              <w:t>Valor de ejemplo</w:t>
            </w:r>
          </w:p>
        </w:tc>
        <w:tc>
          <w:tcPr>
            <w:tcW w:type="dxa" w:w="3305"/>
            <w:shd w:fill="D9E2F3"/>
          </w:tcPr>
          <w:p>
            <w:r>
              <w:rPr>
                <w:b/>
                <w:sz w:val="17"/>
              </w:rPr>
              <w:t>Interpretación</w:t>
            </w:r>
          </w:p>
        </w:tc>
      </w:tr>
      <w:tr>
        <w:tc>
          <w:tcPr>
            <w:tcW w:type="dxa" w:w="3305"/>
          </w:tcPr>
          <w:p>
            <w:pPr>
              <w:jc w:val="left"/>
            </w:pPr>
            <w:r>
              <w:rPr>
                <w:sz w:val="17"/>
              </w:rPr>
              <w:t>Alertas recibidas</w:t>
            </w:r>
          </w:p>
        </w:tc>
        <w:tc>
          <w:tcPr>
            <w:tcW w:type="dxa" w:w="3305"/>
          </w:tcPr>
          <w:p>
            <w:pPr>
              <w:jc w:val="left"/>
            </w:pPr>
            <w:r>
              <w:rPr>
                <w:sz w:val="17"/>
              </w:rPr>
              <w:t>18 430</w:t>
            </w:r>
          </w:p>
        </w:tc>
        <w:tc>
          <w:tcPr>
            <w:tcW w:type="dxa" w:w="3305"/>
          </w:tcPr>
          <w:p>
            <w:pPr>
              <w:jc w:val="left"/>
            </w:pPr>
            <w:r>
              <w:rPr>
                <w:sz w:val="17"/>
              </w:rPr>
              <w:t>Volumen técnico</w:t>
            </w:r>
          </w:p>
        </w:tc>
      </w:tr>
      <w:tr>
        <w:tc>
          <w:tcPr>
            <w:tcW w:type="dxa" w:w="3305"/>
          </w:tcPr>
          <w:p>
            <w:pPr>
              <w:jc w:val="left"/>
            </w:pPr>
            <w:r>
              <w:rPr>
                <w:sz w:val="17"/>
              </w:rPr>
              <w:t>Casos creados</w:t>
            </w:r>
          </w:p>
        </w:tc>
        <w:tc>
          <w:tcPr>
            <w:tcW w:type="dxa" w:w="3305"/>
          </w:tcPr>
          <w:p>
            <w:pPr>
              <w:jc w:val="left"/>
            </w:pPr>
            <w:r>
              <w:rPr>
                <w:sz w:val="17"/>
              </w:rPr>
              <w:t>42</w:t>
            </w:r>
          </w:p>
        </w:tc>
        <w:tc>
          <w:tcPr>
            <w:tcW w:type="dxa" w:w="3305"/>
          </w:tcPr>
          <w:p>
            <w:pPr>
              <w:jc w:val="left"/>
            </w:pPr>
            <w:r>
              <w:rPr>
                <w:sz w:val="17"/>
              </w:rPr>
              <w:t>Reducción significativa de ruido</w:t>
            </w:r>
          </w:p>
        </w:tc>
      </w:tr>
      <w:tr>
        <w:tc>
          <w:tcPr>
            <w:tcW w:type="dxa" w:w="3305"/>
          </w:tcPr>
          <w:p>
            <w:pPr>
              <w:jc w:val="left"/>
            </w:pPr>
            <w:r>
              <w:rPr>
                <w:sz w:val="17"/>
              </w:rPr>
              <w:t>Casos críticos</w:t>
            </w:r>
          </w:p>
        </w:tc>
        <w:tc>
          <w:tcPr>
            <w:tcW w:type="dxa" w:w="3305"/>
          </w:tcPr>
          <w:p>
            <w:pPr>
              <w:jc w:val="left"/>
            </w:pPr>
            <w:r>
              <w:rPr>
                <w:sz w:val="17"/>
              </w:rPr>
              <w:t>4</w:t>
            </w:r>
          </w:p>
        </w:tc>
        <w:tc>
          <w:tcPr>
            <w:tcW w:type="dxa" w:w="3305"/>
          </w:tcPr>
          <w:p>
            <w:pPr>
              <w:jc w:val="left"/>
            </w:pPr>
            <w:r>
              <w:rPr>
                <w:sz w:val="17"/>
              </w:rPr>
              <w:t>Requirieron revisión</w:t>
            </w:r>
          </w:p>
        </w:tc>
      </w:tr>
      <w:tr>
        <w:tc>
          <w:tcPr>
            <w:tcW w:type="dxa" w:w="3305"/>
          </w:tcPr>
          <w:p>
            <w:pPr>
              <w:jc w:val="left"/>
            </w:pPr>
            <w:r>
              <w:rPr>
                <w:sz w:val="17"/>
              </w:rPr>
              <w:t>Falsos positivos</w:t>
            </w:r>
          </w:p>
        </w:tc>
        <w:tc>
          <w:tcPr>
            <w:tcW w:type="dxa" w:w="3305"/>
          </w:tcPr>
          <w:p>
            <w:pPr>
              <w:jc w:val="left"/>
            </w:pPr>
            <w:r>
              <w:rPr>
                <w:sz w:val="17"/>
              </w:rPr>
              <w:t>3</w:t>
            </w:r>
          </w:p>
        </w:tc>
        <w:tc>
          <w:tcPr>
            <w:tcW w:type="dxa" w:w="3305"/>
          </w:tcPr>
          <w:p>
            <w:pPr>
              <w:jc w:val="left"/>
            </w:pPr>
            <w:r>
              <w:rPr>
                <w:sz w:val="17"/>
              </w:rPr>
              <w:t>Necesitan tuning</w:t>
            </w:r>
          </w:p>
        </w:tc>
      </w:tr>
      <w:tr>
        <w:tc>
          <w:tcPr>
            <w:tcW w:type="dxa" w:w="3305"/>
          </w:tcPr>
          <w:p>
            <w:pPr>
              <w:jc w:val="left"/>
            </w:pPr>
            <w:r>
              <w:rPr>
                <w:sz w:val="17"/>
              </w:rPr>
              <w:t>SLA cumplido</w:t>
            </w:r>
          </w:p>
        </w:tc>
        <w:tc>
          <w:tcPr>
            <w:tcW w:type="dxa" w:w="3305"/>
          </w:tcPr>
          <w:p>
            <w:pPr>
              <w:jc w:val="left"/>
            </w:pPr>
            <w:r>
              <w:rPr>
                <w:sz w:val="17"/>
              </w:rPr>
              <w:t>96 %</w:t>
            </w:r>
          </w:p>
        </w:tc>
        <w:tc>
          <w:tcPr>
            <w:tcW w:type="dxa" w:w="3305"/>
          </w:tcPr>
          <w:p>
            <w:pPr>
              <w:jc w:val="left"/>
            </w:pPr>
            <w:r>
              <w:rPr>
                <w:sz w:val="17"/>
              </w:rPr>
              <w:t>Revisar dos incumplimientos</w:t>
            </w:r>
          </w:p>
        </w:tc>
      </w:tr>
      <w:tr>
        <w:tc>
          <w:tcPr>
            <w:tcW w:type="dxa" w:w="3305"/>
          </w:tcPr>
          <w:p>
            <w:pPr>
              <w:jc w:val="left"/>
            </w:pPr>
            <w:r>
              <w:rPr>
                <w:sz w:val="17"/>
              </w:rPr>
              <w:t>Minutos analista/caso</w:t>
            </w:r>
          </w:p>
        </w:tc>
        <w:tc>
          <w:tcPr>
            <w:tcW w:type="dxa" w:w="3305"/>
          </w:tcPr>
          <w:p>
            <w:pPr>
              <w:jc w:val="left"/>
            </w:pPr>
            <w:r>
              <w:rPr>
                <w:sz w:val="17"/>
              </w:rPr>
              <w:t>18</w:t>
            </w:r>
          </w:p>
        </w:tc>
        <w:tc>
          <w:tcPr>
            <w:tcW w:type="dxa" w:w="3305"/>
          </w:tcPr>
          <w:p>
            <w:pPr>
              <w:jc w:val="left"/>
            </w:pPr>
            <w:r>
              <w:rPr>
                <w:sz w:val="17"/>
              </w:rPr>
              <w:t>Base para costo</w:t>
            </w:r>
          </w:p>
        </w:tc>
      </w:tr>
    </w:tbl>
    <w:p/>
    <w:p>
      <w:pPr>
        <w:pStyle w:val="Heading1"/>
      </w:pPr>
      <w:r>
        <w:t>19. Catálogo de estados de outputs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57"/>
        <w:gridCol w:w="4957"/>
      </w:tblGrid>
      <w:tr>
        <w:trPr>
          <w:tblHeader w:val="true"/>
        </w:trPr>
        <w:tc>
          <w:tcPr>
            <w:tcW w:type="dxa" w:w="4957"/>
            <w:shd w:fill="D9E2F3"/>
          </w:tcPr>
          <w:p>
            <w:r>
              <w:rPr>
                <w:b/>
                <w:sz w:val="17"/>
              </w:rPr>
              <w:t>Output</w:t>
            </w:r>
          </w:p>
        </w:tc>
        <w:tc>
          <w:tcPr>
            <w:tcW w:type="dxa" w:w="4957"/>
            <w:shd w:fill="D9E2F3"/>
          </w:tcPr>
          <w:p>
            <w:r>
              <w:rPr>
                <w:b/>
                <w:sz w:val="17"/>
              </w:rPr>
              <w:t>Estados mínimos</w:t>
            </w:r>
          </w:p>
        </w:tc>
      </w:tr>
      <w:tr>
        <w:tc>
          <w:tcPr>
            <w:tcW w:type="dxa" w:w="4957"/>
          </w:tcPr>
          <w:p>
            <w:pPr>
              <w:jc w:val="left"/>
            </w:pPr>
            <w:r>
              <w:rPr>
                <w:sz w:val="17"/>
              </w:rPr>
              <w:t>Raw event</w:t>
            </w:r>
          </w:p>
        </w:tc>
        <w:tc>
          <w:tcPr>
            <w:tcW w:type="dxa" w:w="4957"/>
          </w:tcPr>
          <w:p>
            <w:pPr>
              <w:jc w:val="left"/>
            </w:pPr>
            <w:r>
              <w:rPr>
                <w:sz w:val="17"/>
              </w:rPr>
              <w:t>RECEIVED, PROCESSING, PROCESSED, FAILED</w:t>
            </w:r>
          </w:p>
        </w:tc>
      </w:tr>
      <w:tr>
        <w:tc>
          <w:tcPr>
            <w:tcW w:type="dxa" w:w="4957"/>
          </w:tcPr>
          <w:p>
            <w:pPr>
              <w:jc w:val="left"/>
            </w:pPr>
            <w:r>
              <w:rPr>
                <w:sz w:val="17"/>
              </w:rPr>
              <w:t>Tenant resolution</w:t>
            </w:r>
          </w:p>
        </w:tc>
        <w:tc>
          <w:tcPr>
            <w:tcW w:type="dxa" w:w="4957"/>
          </w:tcPr>
          <w:p>
            <w:pPr>
              <w:jc w:val="left"/>
            </w:pPr>
            <w:r>
              <w:rPr>
                <w:sz w:val="17"/>
              </w:rPr>
              <w:t>VALID, MISMATCH, UNKNOWN, INACTIVE</w:t>
            </w:r>
          </w:p>
        </w:tc>
      </w:tr>
      <w:tr>
        <w:tc>
          <w:tcPr>
            <w:tcW w:type="dxa" w:w="4957"/>
          </w:tcPr>
          <w:p>
            <w:pPr>
              <w:jc w:val="left"/>
            </w:pPr>
            <w:r>
              <w:rPr>
                <w:sz w:val="17"/>
              </w:rPr>
              <w:t>Enrichment</w:t>
            </w:r>
          </w:p>
        </w:tc>
        <w:tc>
          <w:tcPr>
            <w:tcW w:type="dxa" w:w="4957"/>
          </w:tcPr>
          <w:p>
            <w:pPr>
              <w:jc w:val="left"/>
            </w:pPr>
            <w:r>
              <w:rPr>
                <w:sz w:val="17"/>
              </w:rPr>
              <w:t>SUCCESS, NOT_FOUND, ERROR, STALE</w:t>
            </w:r>
          </w:p>
        </w:tc>
      </w:tr>
      <w:tr>
        <w:tc>
          <w:tcPr>
            <w:tcW w:type="dxa" w:w="4957"/>
          </w:tcPr>
          <w:p>
            <w:pPr>
              <w:jc w:val="left"/>
            </w:pPr>
            <w:r>
              <w:rPr>
                <w:sz w:val="17"/>
              </w:rPr>
              <w:t>AI execution</w:t>
            </w:r>
          </w:p>
        </w:tc>
        <w:tc>
          <w:tcPr>
            <w:tcW w:type="dxa" w:w="4957"/>
          </w:tcPr>
          <w:p>
            <w:pPr>
              <w:jc w:val="left"/>
            </w:pPr>
            <w:r>
              <w:rPr>
                <w:sz w:val="17"/>
              </w:rPr>
              <w:t>PENDING, VALID, INVALID, TIMEOUT, FALLBACK</w:t>
            </w:r>
          </w:p>
        </w:tc>
      </w:tr>
      <w:tr>
        <w:tc>
          <w:tcPr>
            <w:tcW w:type="dxa" w:w="4957"/>
          </w:tcPr>
          <w:p>
            <w:pPr>
              <w:jc w:val="left"/>
            </w:pPr>
            <w:r>
              <w:rPr>
                <w:sz w:val="17"/>
              </w:rPr>
              <w:t>Notification</w:t>
            </w:r>
          </w:p>
        </w:tc>
        <w:tc>
          <w:tcPr>
            <w:tcW w:type="dxa" w:w="4957"/>
          </w:tcPr>
          <w:p>
            <w:r>
              <w:t>DRAFT, QUEUED, SENT, FAILED, SUPPRESSED_QUIET_HOURS, SUPPRESSED_DUPLICATE</w:t>
            </w:r>
          </w:p>
        </w:tc>
      </w:tr>
      <w:tr>
        <w:tc>
          <w:tcPr>
            <w:tcW w:type="dxa" w:w="4957"/>
          </w:tcPr>
          <w:p>
            <w:pPr>
              <w:jc w:val="left"/>
            </w:pPr>
            <w:r>
              <w:rPr>
                <w:sz w:val="17"/>
              </w:rPr>
              <w:t>Case</w:t>
            </w:r>
          </w:p>
        </w:tc>
        <w:tc>
          <w:tcPr>
            <w:tcW w:type="dxa" w:w="4957"/>
          </w:tcPr>
          <w:p>
            <w:r>
              <w:t>OPEN, PENDING_HUMAN_REVIEW, PENDING_CLIENT_RESPONSE, CLOSED_RESOLVED, CLOSED_FALSE_POSITIVE, CLOSED_AUTO</w:t>
            </w:r>
          </w:p>
        </w:tc>
      </w:tr>
    </w:tbl>
    <w:p/>
    <w:p>
      <w:pPr>
        <w:jc w:val="both"/>
      </w:pPr>
      <w:r>
        <w:t>Los estados permiten medir y recuperar el sistema. No deben representarse únicamente como texto libre; se validan contra enumeraciones y toda transición genera auditoría.</w:t>
      </w:r>
    </w:p>
    <w:p>
      <w:pPr>
        <w:pStyle w:val="Heading1"/>
      </w:pPr>
      <w:r>
        <w:t>20. Requisitos de calidad de los outputs</w:t>
      </w:r>
    </w:p>
    <w:p>
      <w:pPr>
        <w:pStyle w:val="ListBullet"/>
        <w:jc w:val="left"/>
      </w:pPr>
      <w:r>
        <w:t>Todo output tiene identificador, tenant y timestamp.</w:t>
      </w:r>
    </w:p>
    <w:p>
      <w:pPr>
        <w:pStyle w:val="ListBullet"/>
        <w:jc w:val="left"/>
      </w:pPr>
      <w:r>
        <w:t>Toda transformación mantiene referencia a la entrada.</w:t>
      </w:r>
    </w:p>
    <w:p>
      <w:pPr>
        <w:pStyle w:val="ListBullet"/>
        <w:jc w:val="left"/>
      </w:pPr>
      <w:r>
        <w:t>Los formatos se validan con schemas versionados.</w:t>
      </w:r>
    </w:p>
    <w:p>
      <w:pPr>
        <w:pStyle w:val="ListBullet"/>
        <w:jc w:val="left"/>
      </w:pPr>
      <w:r>
        <w:t>Los campos sensibles se clasifican y minimizan.</w:t>
      </w:r>
    </w:p>
    <w:p>
      <w:pPr>
        <w:pStyle w:val="ListBullet"/>
        <w:jc w:val="left"/>
      </w:pPr>
      <w:r>
        <w:t>Los errores se representan explícitamente.</w:t>
      </w:r>
    </w:p>
    <w:p>
      <w:pPr>
        <w:pStyle w:val="ListBullet"/>
        <w:jc w:val="left"/>
      </w:pPr>
      <w:r>
        <w:t>Los outputs enviados al cliente son idempotentes.</w:t>
      </w:r>
    </w:p>
    <w:p>
      <w:pPr>
        <w:pStyle w:val="ListBullet"/>
        <w:jc w:val="left"/>
      </w:pPr>
      <w:r>
        <w:t>Las métricas se pueden calcular sin leer datos de otros tenants.</w:t>
      </w:r>
    </w:p>
    <w:p>
      <w:pPr>
        <w:pStyle w:val="Heading1"/>
      </w:pPr>
      <w:r>
        <w:t>21. Matriz de persistencia, retención y sensibilidad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3"/>
        <w:gridCol w:w="1983"/>
        <w:gridCol w:w="1983"/>
        <w:gridCol w:w="1983"/>
        <w:gridCol w:w="1983"/>
      </w:tblGrid>
      <w:tr>
        <w:trPr>
          <w:tblHeader w:val="true"/>
        </w:trPr>
        <w:tc>
          <w:tcPr>
            <w:tcW w:type="dxa" w:w="1983"/>
            <w:shd w:fill="D9E2F3"/>
          </w:tcPr>
          <w:p>
            <w:r>
              <w:rPr>
                <w:b/>
                <w:sz w:val="16"/>
              </w:rPr>
              <w:t>Output</w:t>
            </w:r>
          </w:p>
        </w:tc>
        <w:tc>
          <w:tcPr>
            <w:tcW w:type="dxa" w:w="1983"/>
            <w:shd w:fill="D9E2F3"/>
          </w:tcPr>
          <w:p>
            <w:r>
              <w:rPr>
                <w:b/>
                <w:sz w:val="16"/>
              </w:rPr>
              <w:t>Persistencia</w:t>
            </w:r>
          </w:p>
        </w:tc>
        <w:tc>
          <w:tcPr>
            <w:tcW w:type="dxa" w:w="1983"/>
            <w:shd w:fill="D9E2F3"/>
          </w:tcPr>
          <w:p>
            <w:r>
              <w:rPr>
                <w:b/>
                <w:sz w:val="16"/>
              </w:rPr>
              <w:t>Retención inicial</w:t>
            </w:r>
          </w:p>
        </w:tc>
        <w:tc>
          <w:tcPr>
            <w:tcW w:type="dxa" w:w="1983"/>
            <w:shd w:fill="D9E2F3"/>
          </w:tcPr>
          <w:p>
            <w:r>
              <w:rPr>
                <w:b/>
                <w:sz w:val="16"/>
              </w:rPr>
              <w:t>Sensibilidad</w:t>
            </w:r>
          </w:p>
        </w:tc>
        <w:tc>
          <w:tcPr>
            <w:tcW w:type="dxa" w:w="1983"/>
            <w:shd w:fill="D9E2F3"/>
          </w:tcPr>
          <w:p>
            <w:r>
              <w:rPr>
                <w:b/>
                <w:sz w:val="16"/>
              </w:rPr>
              <w:t>Acceso</w:t>
            </w:r>
          </w:p>
        </w:tc>
      </w:tr>
      <w:tr>
        <w:tc>
          <w:tcPr>
            <w:tcW w:type="dxa" w:w="1983"/>
          </w:tcPr>
          <w:p>
            <w:pPr>
              <w:jc w:val="left"/>
            </w:pPr>
            <w:r>
              <w:rPr>
                <w:sz w:val="16"/>
              </w:rPr>
              <w:t>Raw event</w:t>
            </w:r>
          </w:p>
        </w:tc>
        <w:tc>
          <w:tcPr>
            <w:tcW w:type="dxa" w:w="1983"/>
          </w:tcPr>
          <w:p>
            <w:pPr>
              <w:jc w:val="left"/>
            </w:pPr>
            <w:r>
              <w:rPr>
                <w:sz w:val="16"/>
              </w:rPr>
              <w:t>Base/objeto</w:t>
            </w:r>
          </w:p>
        </w:tc>
        <w:tc>
          <w:tcPr>
            <w:tcW w:type="dxa" w:w="1983"/>
          </w:tcPr>
          <w:p>
            <w:pPr>
              <w:jc w:val="left"/>
            </w:pPr>
            <w:r>
              <w:rPr>
                <w:sz w:val="16"/>
              </w:rPr>
              <w:t>Según política forense</w:t>
            </w:r>
          </w:p>
        </w:tc>
        <w:tc>
          <w:tcPr>
            <w:tcW w:type="dxa" w:w="1983"/>
          </w:tcPr>
          <w:p>
            <w:pPr>
              <w:jc w:val="left"/>
            </w:pPr>
            <w:r>
              <w:rPr>
                <w:sz w:val="16"/>
              </w:rPr>
              <w:t>Alta</w:t>
            </w:r>
          </w:p>
        </w:tc>
        <w:tc>
          <w:tcPr>
            <w:tcW w:type="dxa" w:w="1983"/>
          </w:tcPr>
          <w:p>
            <w:pPr>
              <w:jc w:val="left"/>
            </w:pPr>
            <w:r>
              <w:rPr>
                <w:sz w:val="16"/>
              </w:rPr>
              <w:t>SOC y auditoría</w:t>
            </w:r>
          </w:p>
        </w:tc>
      </w:tr>
      <w:tr>
        <w:tc>
          <w:tcPr>
            <w:tcW w:type="dxa" w:w="1983"/>
          </w:tcPr>
          <w:p>
            <w:pPr>
              <w:jc w:val="left"/>
            </w:pPr>
            <w:r>
              <w:rPr>
                <w:sz w:val="16"/>
              </w:rPr>
              <w:t>Normalized event</w:t>
            </w:r>
          </w:p>
        </w:tc>
        <w:tc>
          <w:tcPr>
            <w:tcW w:type="dxa" w:w="1983"/>
          </w:tcPr>
          <w:p>
            <w:pPr>
              <w:jc w:val="left"/>
            </w:pPr>
            <w:r>
              <w:rPr>
                <w:sz w:val="16"/>
              </w:rPr>
              <w:t>Base o referencia</w:t>
            </w:r>
          </w:p>
        </w:tc>
        <w:tc>
          <w:tcPr>
            <w:tcW w:type="dxa" w:w="1983"/>
          </w:tcPr>
          <w:p>
            <w:pPr>
              <w:jc w:val="left"/>
            </w:pPr>
            <w:r>
              <w:rPr>
                <w:sz w:val="16"/>
              </w:rPr>
              <w:t>Alineada al raw</w:t>
            </w:r>
          </w:p>
        </w:tc>
        <w:tc>
          <w:tcPr>
            <w:tcW w:type="dxa" w:w="1983"/>
          </w:tcPr>
          <w:p>
            <w:pPr>
              <w:jc w:val="left"/>
            </w:pPr>
            <w:r>
              <w:rPr>
                <w:sz w:val="16"/>
              </w:rPr>
              <w:t>Media/alta</w:t>
            </w:r>
          </w:p>
        </w:tc>
        <w:tc>
          <w:tcPr>
            <w:tcW w:type="dxa" w:w="1983"/>
          </w:tcPr>
          <w:p>
            <w:pPr>
              <w:jc w:val="left"/>
            </w:pPr>
            <w:r>
              <w:rPr>
                <w:sz w:val="16"/>
              </w:rPr>
              <w:t>Backend</w:t>
            </w:r>
          </w:p>
        </w:tc>
      </w:tr>
      <w:tr>
        <w:tc>
          <w:tcPr>
            <w:tcW w:type="dxa" w:w="1983"/>
          </w:tcPr>
          <w:p>
            <w:pPr>
              <w:jc w:val="left"/>
            </w:pPr>
            <w:r>
              <w:rPr>
                <w:sz w:val="16"/>
              </w:rPr>
              <w:t>Case</w:t>
            </w:r>
          </w:p>
        </w:tc>
        <w:tc>
          <w:tcPr>
            <w:tcW w:type="dxa" w:w="1983"/>
          </w:tcPr>
          <w:p>
            <w:pPr>
              <w:jc w:val="left"/>
            </w:pPr>
            <w:r>
              <w:rPr>
                <w:sz w:val="16"/>
              </w:rPr>
              <w:t>PostgreSQL</w:t>
            </w:r>
          </w:p>
        </w:tc>
        <w:tc>
          <w:tcPr>
            <w:tcW w:type="dxa" w:w="1983"/>
          </w:tcPr>
          <w:p>
            <w:pPr>
              <w:jc w:val="left"/>
            </w:pPr>
            <w:r>
              <w:rPr>
                <w:sz w:val="16"/>
              </w:rPr>
              <w:t>Vida del cliente + política</w:t>
            </w:r>
          </w:p>
        </w:tc>
        <w:tc>
          <w:tcPr>
            <w:tcW w:type="dxa" w:w="1983"/>
          </w:tcPr>
          <w:p>
            <w:pPr>
              <w:jc w:val="left"/>
            </w:pPr>
            <w:r>
              <w:rPr>
                <w:sz w:val="16"/>
              </w:rPr>
              <w:t>Alta</w:t>
            </w:r>
          </w:p>
        </w:tc>
        <w:tc>
          <w:tcPr>
            <w:tcW w:type="dxa" w:w="1983"/>
          </w:tcPr>
          <w:p>
            <w:pPr>
              <w:jc w:val="left"/>
            </w:pPr>
            <w:r>
              <w:rPr>
                <w:sz w:val="16"/>
              </w:rPr>
              <w:t>Roles asignados</w:t>
            </w:r>
          </w:p>
        </w:tc>
      </w:tr>
      <w:tr>
        <w:tc>
          <w:tcPr>
            <w:tcW w:type="dxa" w:w="1983"/>
          </w:tcPr>
          <w:p>
            <w:pPr>
              <w:jc w:val="left"/>
            </w:pPr>
            <w:r>
              <w:rPr>
                <w:sz w:val="16"/>
              </w:rPr>
              <w:t>Enrichment</w:t>
            </w:r>
          </w:p>
        </w:tc>
        <w:tc>
          <w:tcPr>
            <w:tcW w:type="dxa" w:w="1983"/>
          </w:tcPr>
          <w:p>
            <w:pPr>
              <w:jc w:val="left"/>
            </w:pPr>
            <w:r>
              <w:rPr>
                <w:sz w:val="16"/>
              </w:rPr>
              <w:t>Base/cache</w:t>
            </w:r>
          </w:p>
        </w:tc>
        <w:tc>
          <w:tcPr>
            <w:tcW w:type="dxa" w:w="1983"/>
          </w:tcPr>
          <w:p>
            <w:pPr>
              <w:jc w:val="left"/>
            </w:pPr>
            <w:r>
              <w:rPr>
                <w:sz w:val="16"/>
              </w:rPr>
              <w:t>Hasta expiración e historial</w:t>
            </w:r>
          </w:p>
        </w:tc>
        <w:tc>
          <w:tcPr>
            <w:tcW w:type="dxa" w:w="1983"/>
          </w:tcPr>
          <w:p>
            <w:pPr>
              <w:jc w:val="left"/>
            </w:pPr>
            <w:r>
              <w:rPr>
                <w:sz w:val="16"/>
              </w:rPr>
              <w:t>Media</w:t>
            </w:r>
          </w:p>
        </w:tc>
        <w:tc>
          <w:tcPr>
            <w:tcW w:type="dxa" w:w="1983"/>
          </w:tcPr>
          <w:p>
            <w:pPr>
              <w:jc w:val="left"/>
            </w:pPr>
            <w:r>
              <w:rPr>
                <w:sz w:val="16"/>
              </w:rPr>
              <w:t>Backend/SOC</w:t>
            </w:r>
          </w:p>
        </w:tc>
      </w:tr>
      <w:tr>
        <w:tc>
          <w:tcPr>
            <w:tcW w:type="dxa" w:w="1983"/>
          </w:tcPr>
          <w:p>
            <w:pPr>
              <w:jc w:val="left"/>
            </w:pPr>
            <w:r>
              <w:rPr>
                <w:sz w:val="16"/>
              </w:rPr>
              <w:t>AI execution</w:t>
            </w:r>
          </w:p>
        </w:tc>
        <w:tc>
          <w:tcPr>
            <w:tcW w:type="dxa" w:w="1983"/>
          </w:tcPr>
          <w:p>
            <w:pPr>
              <w:jc w:val="left"/>
            </w:pPr>
            <w:r>
              <w:rPr>
                <w:sz w:val="16"/>
              </w:rPr>
              <w:t>Base restringida</w:t>
            </w:r>
          </w:p>
        </w:tc>
        <w:tc>
          <w:tcPr>
            <w:tcW w:type="dxa" w:w="1983"/>
          </w:tcPr>
          <w:p>
            <w:pPr>
              <w:jc w:val="left"/>
            </w:pPr>
            <w:r>
              <w:rPr>
                <w:sz w:val="16"/>
              </w:rPr>
              <w:t>Según evaluación</w:t>
            </w:r>
          </w:p>
        </w:tc>
        <w:tc>
          <w:tcPr>
            <w:tcW w:type="dxa" w:w="1983"/>
          </w:tcPr>
          <w:p>
            <w:pPr>
              <w:jc w:val="left"/>
            </w:pPr>
            <w:r>
              <w:rPr>
                <w:sz w:val="16"/>
              </w:rPr>
              <w:t>Alta</w:t>
            </w:r>
          </w:p>
        </w:tc>
        <w:tc>
          <w:tcPr>
            <w:tcW w:type="dxa" w:w="1983"/>
          </w:tcPr>
          <w:p>
            <w:pPr>
              <w:jc w:val="left"/>
            </w:pPr>
            <w:r>
              <w:rPr>
                <w:sz w:val="16"/>
              </w:rPr>
              <w:t>Seguridad/desarrollo</w:t>
            </w:r>
          </w:p>
        </w:tc>
      </w:tr>
      <w:tr>
        <w:tc>
          <w:tcPr>
            <w:tcW w:type="dxa" w:w="1983"/>
          </w:tcPr>
          <w:p>
            <w:pPr>
              <w:jc w:val="left"/>
            </w:pPr>
            <w:r>
              <w:rPr>
                <w:sz w:val="16"/>
              </w:rPr>
              <w:t>Notification</w:t>
            </w:r>
          </w:p>
        </w:tc>
        <w:tc>
          <w:tcPr>
            <w:tcW w:type="dxa" w:w="1983"/>
          </w:tcPr>
          <w:p>
            <w:pPr>
              <w:jc w:val="left"/>
            </w:pPr>
            <w:r>
              <w:rPr>
                <w:sz w:val="16"/>
              </w:rPr>
              <w:t>Ledger</w:t>
            </w:r>
          </w:p>
        </w:tc>
        <w:tc>
          <w:tcPr>
            <w:tcW w:type="dxa" w:w="1983"/>
          </w:tcPr>
          <w:p>
            <w:pPr>
              <w:jc w:val="left"/>
            </w:pPr>
            <w:r>
              <w:rPr>
                <w:sz w:val="16"/>
              </w:rPr>
              <w:t>Según contrato</w:t>
            </w:r>
          </w:p>
        </w:tc>
        <w:tc>
          <w:tcPr>
            <w:tcW w:type="dxa" w:w="1983"/>
          </w:tcPr>
          <w:p>
            <w:pPr>
              <w:jc w:val="left"/>
            </w:pPr>
            <w:r>
              <w:rPr>
                <w:sz w:val="16"/>
              </w:rPr>
              <w:t>Alta</w:t>
            </w:r>
          </w:p>
        </w:tc>
        <w:tc>
          <w:tcPr>
            <w:tcW w:type="dxa" w:w="1983"/>
          </w:tcPr>
          <w:p>
            <w:pPr>
              <w:jc w:val="left"/>
            </w:pPr>
            <w:r>
              <w:rPr>
                <w:sz w:val="16"/>
              </w:rPr>
              <w:t>SOC/cliente</w:t>
            </w:r>
          </w:p>
        </w:tc>
      </w:tr>
      <w:tr>
        <w:tc>
          <w:tcPr>
            <w:tcW w:type="dxa" w:w="1983"/>
          </w:tcPr>
          <w:p>
            <w:pPr>
              <w:jc w:val="left"/>
            </w:pPr>
            <w:r>
              <w:rPr>
                <w:sz w:val="16"/>
              </w:rPr>
              <w:t>Audit event</w:t>
            </w:r>
          </w:p>
        </w:tc>
        <w:tc>
          <w:tcPr>
            <w:tcW w:type="dxa" w:w="1983"/>
          </w:tcPr>
          <w:p>
            <w:pPr>
              <w:jc w:val="left"/>
            </w:pPr>
            <w:r>
              <w:rPr>
                <w:sz w:val="16"/>
              </w:rPr>
              <w:t>Almacén inmutable</w:t>
            </w:r>
          </w:p>
        </w:tc>
        <w:tc>
          <w:tcPr>
            <w:tcW w:type="dxa" w:w="1983"/>
          </w:tcPr>
          <w:p>
            <w:pPr>
              <w:jc w:val="left"/>
            </w:pPr>
            <w:r>
              <w:rPr>
                <w:sz w:val="16"/>
              </w:rPr>
              <w:t>Periodo ampliado</w:t>
            </w:r>
          </w:p>
        </w:tc>
        <w:tc>
          <w:tcPr>
            <w:tcW w:type="dxa" w:w="1983"/>
          </w:tcPr>
          <w:p>
            <w:pPr>
              <w:jc w:val="left"/>
            </w:pPr>
            <w:r>
              <w:rPr>
                <w:sz w:val="16"/>
              </w:rPr>
              <w:t>Alta</w:t>
            </w:r>
          </w:p>
        </w:tc>
        <w:tc>
          <w:tcPr>
            <w:tcW w:type="dxa" w:w="1983"/>
          </w:tcPr>
          <w:p>
            <w:pPr>
              <w:jc w:val="left"/>
            </w:pPr>
            <w:r>
              <w:rPr>
                <w:sz w:val="16"/>
              </w:rPr>
              <w:t>Auditoría</w:t>
            </w:r>
          </w:p>
        </w:tc>
      </w:tr>
      <w:tr>
        <w:tc>
          <w:tcPr>
            <w:tcW w:type="dxa" w:w="1983"/>
          </w:tcPr>
          <w:p>
            <w:pPr>
              <w:jc w:val="left"/>
            </w:pPr>
            <w:r>
              <w:rPr>
                <w:sz w:val="16"/>
              </w:rPr>
              <w:t>Metrics</w:t>
            </w:r>
          </w:p>
        </w:tc>
        <w:tc>
          <w:tcPr>
            <w:tcW w:type="dxa" w:w="1983"/>
          </w:tcPr>
          <w:p>
            <w:pPr>
              <w:jc w:val="left"/>
            </w:pPr>
            <w:r>
              <w:rPr>
                <w:sz w:val="16"/>
              </w:rPr>
              <w:t>Serie temporal</w:t>
            </w:r>
          </w:p>
        </w:tc>
        <w:tc>
          <w:tcPr>
            <w:tcW w:type="dxa" w:w="1983"/>
          </w:tcPr>
          <w:p>
            <w:pPr>
              <w:jc w:val="left"/>
            </w:pPr>
            <w:r>
              <w:rPr>
                <w:sz w:val="16"/>
              </w:rPr>
              <w:t>Según análisis</w:t>
            </w:r>
          </w:p>
        </w:tc>
        <w:tc>
          <w:tcPr>
            <w:tcW w:type="dxa" w:w="1983"/>
          </w:tcPr>
          <w:p>
            <w:pPr>
              <w:jc w:val="left"/>
            </w:pPr>
            <w:r>
              <w:rPr>
                <w:sz w:val="16"/>
              </w:rPr>
              <w:t>Baja si agregada</w:t>
            </w:r>
          </w:p>
        </w:tc>
        <w:tc>
          <w:tcPr>
            <w:tcW w:type="dxa" w:w="1983"/>
          </w:tcPr>
          <w:p>
            <w:pPr>
              <w:jc w:val="left"/>
            </w:pPr>
            <w:r>
              <w:rPr>
                <w:sz w:val="16"/>
              </w:rPr>
              <w:t>Operación</w:t>
            </w:r>
          </w:p>
        </w:tc>
      </w:tr>
    </w:tbl>
    <w:p/>
    <w:p>
      <w:pPr>
        <w:jc w:val="both"/>
      </w:pPr>
      <w:r>
        <w:t>La retención exacta debe aprobarse por cliente y normativa. El raw event y la auditoría no deben eliminarse por una operación de cierre sin aplicar la política correspondiente. Las métricas agregadas deben evitar identificadores personales cuando no sean necesarios.</w:t>
      </w:r>
    </w:p>
    <w:p>
      <w:pPr>
        <w:pStyle w:val="Heading1"/>
      </w:pPr>
      <w:r>
        <w:t>22. Ejemplo de audit trail de un caso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79"/>
        <w:gridCol w:w="2479"/>
        <w:gridCol w:w="2479"/>
        <w:gridCol w:w="2479"/>
      </w:tblGrid>
      <w:tr>
        <w:trPr>
          <w:tblHeader w:val="true"/>
        </w:trPr>
        <w:tc>
          <w:tcPr>
            <w:tcW w:type="dxa" w:w="2479"/>
            <w:shd w:fill="D9E2F3"/>
          </w:tcPr>
          <w:p>
            <w:r>
              <w:rPr>
                <w:b/>
                <w:sz w:val="16"/>
              </w:rPr>
              <w:t>Hora</w:t>
            </w:r>
          </w:p>
        </w:tc>
        <w:tc>
          <w:tcPr>
            <w:tcW w:type="dxa" w:w="2479"/>
            <w:shd w:fill="D9E2F3"/>
          </w:tcPr>
          <w:p>
            <w:r>
              <w:rPr>
                <w:b/>
                <w:sz w:val="16"/>
              </w:rPr>
              <w:t>Actor</w:t>
            </w:r>
          </w:p>
        </w:tc>
        <w:tc>
          <w:tcPr>
            <w:tcW w:type="dxa" w:w="2479"/>
            <w:shd w:fill="D9E2F3"/>
          </w:tcPr>
          <w:p>
            <w:r>
              <w:rPr>
                <w:b/>
                <w:sz w:val="16"/>
              </w:rPr>
              <w:t>Acción</w:t>
            </w:r>
          </w:p>
        </w:tc>
        <w:tc>
          <w:tcPr>
            <w:tcW w:type="dxa" w:w="2479"/>
            <w:shd w:fill="D9E2F3"/>
          </w:tcPr>
          <w:p>
            <w:r>
              <w:rPr>
                <w:b/>
                <w:sz w:val="16"/>
              </w:rPr>
              <w:t>Resultado</w:t>
            </w:r>
          </w:p>
        </w:tc>
      </w:tr>
      <w:tr>
        <w:tc>
          <w:tcPr>
            <w:tcW w:type="dxa" w:w="2479"/>
          </w:tcPr>
          <w:p>
            <w:pPr>
              <w:jc w:val="left"/>
            </w:pPr>
            <w:r>
              <w:rPr>
                <w:sz w:val="16"/>
              </w:rPr>
              <w:t>10:05</w:t>
            </w:r>
          </w:p>
        </w:tc>
        <w:tc>
          <w:tcPr>
            <w:tcW w:type="dxa" w:w="2479"/>
          </w:tcPr>
          <w:p>
            <w:pPr>
              <w:jc w:val="left"/>
            </w:pPr>
            <w:r>
              <w:rPr>
                <w:sz w:val="16"/>
              </w:rPr>
              <w:t>worker-cases</w:t>
            </w:r>
          </w:p>
        </w:tc>
        <w:tc>
          <w:tcPr>
            <w:tcW w:type="dxa" w:w="2479"/>
          </w:tcPr>
          <w:p>
            <w:pPr>
              <w:jc w:val="left"/>
            </w:pPr>
            <w:r>
              <w:rPr>
                <w:sz w:val="16"/>
              </w:rPr>
              <w:t>CASE_CREATED</w:t>
            </w:r>
          </w:p>
        </w:tc>
        <w:tc>
          <w:tcPr>
            <w:tcW w:type="dxa" w:w="2479"/>
          </w:tcPr>
          <w:p>
            <w:pPr>
              <w:jc w:val="left"/>
            </w:pPr>
            <w:r>
              <w:rPr>
                <w:sz w:val="16"/>
              </w:rPr>
              <w:t>KRP-2026-000145 NEW</w:t>
            </w:r>
          </w:p>
        </w:tc>
      </w:tr>
      <w:tr>
        <w:tc>
          <w:tcPr>
            <w:tcW w:type="dxa" w:w="2479"/>
          </w:tcPr>
          <w:p>
            <w:pPr>
              <w:jc w:val="left"/>
            </w:pPr>
            <w:r>
              <w:rPr>
                <w:sz w:val="16"/>
              </w:rPr>
              <w:t>10:11</w:t>
            </w:r>
          </w:p>
        </w:tc>
        <w:tc>
          <w:tcPr>
            <w:tcW w:type="dxa" w:w="2479"/>
          </w:tcPr>
          <w:p>
            <w:pPr>
              <w:jc w:val="left"/>
            </w:pPr>
            <w:r>
              <w:rPr>
                <w:sz w:val="16"/>
              </w:rPr>
              <w:t>worker-cases</w:t>
            </w:r>
          </w:p>
        </w:tc>
        <w:tc>
          <w:tcPr>
            <w:tcW w:type="dxa" w:w="2479"/>
          </w:tcPr>
          <w:p>
            <w:pPr>
              <w:jc w:val="left"/>
            </w:pPr>
            <w:r>
              <w:rPr>
                <w:sz w:val="16"/>
              </w:rPr>
              <w:t>MATERIAL_CHANGE</w:t>
            </w:r>
          </w:p>
        </w:tc>
        <w:tc>
          <w:tcPr>
            <w:tcW w:type="dxa" w:w="2479"/>
          </w:tcPr>
          <w:p>
            <w:pPr>
              <w:jc w:val="left"/>
            </w:pPr>
            <w:r>
              <w:rPr>
                <w:sz w:val="16"/>
              </w:rPr>
              <w:t>SUCCESSFUL_LOGIN</w:t>
            </w:r>
          </w:p>
        </w:tc>
      </w:tr>
      <w:tr>
        <w:tc>
          <w:tcPr>
            <w:tcW w:type="dxa" w:w="2479"/>
          </w:tcPr>
          <w:p>
            <w:pPr>
              <w:jc w:val="left"/>
            </w:pPr>
            <w:r>
              <w:rPr>
                <w:sz w:val="16"/>
              </w:rPr>
              <w:t>10:12</w:t>
            </w:r>
          </w:p>
        </w:tc>
        <w:tc>
          <w:tcPr>
            <w:tcW w:type="dxa" w:w="2479"/>
          </w:tcPr>
          <w:p>
            <w:pPr>
              <w:jc w:val="left"/>
            </w:pPr>
            <w:r>
              <w:rPr>
                <w:sz w:val="16"/>
              </w:rPr>
              <w:t>risk-engine</w:t>
            </w:r>
          </w:p>
        </w:tc>
        <w:tc>
          <w:tcPr>
            <w:tcW w:type="dxa" w:w="2479"/>
          </w:tcPr>
          <w:p>
            <w:pPr>
              <w:jc w:val="left"/>
            </w:pPr>
            <w:r>
              <w:rPr>
                <w:sz w:val="16"/>
              </w:rPr>
              <w:t>RISK_SCORED</w:t>
            </w:r>
          </w:p>
        </w:tc>
        <w:tc>
          <w:tcPr>
            <w:tcW w:type="dxa" w:w="2479"/>
          </w:tcPr>
          <w:p>
            <w:pPr>
              <w:jc w:val="left"/>
            </w:pPr>
            <w:r>
              <w:rPr>
                <w:sz w:val="16"/>
              </w:rPr>
              <w:t>CRITICAL 92</w:t>
            </w:r>
          </w:p>
        </w:tc>
      </w:tr>
      <w:tr>
        <w:tc>
          <w:tcPr>
            <w:tcW w:type="dxa" w:w="2479"/>
          </w:tcPr>
          <w:p>
            <w:pPr>
              <w:jc w:val="left"/>
            </w:pPr>
            <w:r>
              <w:rPr>
                <w:sz w:val="16"/>
              </w:rPr>
              <w:t>10:13</w:t>
            </w:r>
          </w:p>
        </w:tc>
        <w:tc>
          <w:tcPr>
            <w:tcW w:type="dxa" w:w="2479"/>
          </w:tcPr>
          <w:p>
            <w:pPr>
              <w:jc w:val="left"/>
            </w:pPr>
            <w:r>
              <w:rPr>
                <w:sz w:val="16"/>
              </w:rPr>
              <w:t>procedure-engine</w:t>
            </w:r>
          </w:p>
        </w:tc>
        <w:tc>
          <w:tcPr>
            <w:tcW w:type="dxa" w:w="2479"/>
          </w:tcPr>
          <w:p>
            <w:pPr>
              <w:jc w:val="left"/>
            </w:pPr>
            <w:r>
              <w:rPr>
                <w:sz w:val="16"/>
              </w:rPr>
              <w:t>PROCEDURE_SELECTED</w:t>
            </w:r>
          </w:p>
        </w:tc>
        <w:tc>
          <w:tcPr>
            <w:tcW w:type="dxa" w:w="2479"/>
          </w:tcPr>
          <w:p>
            <w:pPr>
              <w:jc w:val="left"/>
            </w:pPr>
            <w:r>
              <w:rPr>
                <w:sz w:val="16"/>
              </w:rPr>
              <w:t>PR-AUTH-003 v1.2</w:t>
            </w:r>
          </w:p>
        </w:tc>
      </w:tr>
      <w:tr>
        <w:tc>
          <w:tcPr>
            <w:tcW w:type="dxa" w:w="2479"/>
          </w:tcPr>
          <w:p>
            <w:pPr>
              <w:jc w:val="left"/>
            </w:pPr>
            <w:r>
              <w:rPr>
                <w:sz w:val="16"/>
              </w:rPr>
              <w:t>10:16</w:t>
            </w:r>
          </w:p>
        </w:tc>
        <w:tc>
          <w:tcPr>
            <w:tcW w:type="dxa" w:w="2479"/>
          </w:tcPr>
          <w:p>
            <w:pPr>
              <w:jc w:val="left"/>
            </w:pPr>
            <w:r>
              <w:rPr>
                <w:sz w:val="16"/>
              </w:rPr>
              <w:t>analista-01</w:t>
            </w:r>
          </w:p>
        </w:tc>
        <w:tc>
          <w:tcPr>
            <w:tcW w:type="dxa" w:w="2479"/>
          </w:tcPr>
          <w:p>
            <w:pPr>
              <w:jc w:val="left"/>
            </w:pPr>
            <w:r>
              <w:rPr>
                <w:sz w:val="16"/>
              </w:rPr>
              <w:t>NOTIFICATION_APPROVED</w:t>
            </w:r>
          </w:p>
        </w:tc>
        <w:tc>
          <w:tcPr>
            <w:tcW w:type="dxa" w:w="2479"/>
          </w:tcPr>
          <w:p>
            <w:pPr>
              <w:jc w:val="left"/>
            </w:pPr>
            <w:r>
              <w:rPr>
                <w:sz w:val="16"/>
              </w:rPr>
              <w:t>Versión 2</w:t>
            </w:r>
          </w:p>
        </w:tc>
      </w:tr>
      <w:tr>
        <w:tc>
          <w:tcPr>
            <w:tcW w:type="dxa" w:w="2479"/>
          </w:tcPr>
          <w:p>
            <w:pPr>
              <w:jc w:val="left"/>
            </w:pPr>
            <w:r>
              <w:rPr>
                <w:sz w:val="16"/>
              </w:rPr>
              <w:t>10:18</w:t>
            </w:r>
          </w:p>
        </w:tc>
        <w:tc>
          <w:tcPr>
            <w:tcW w:type="dxa" w:w="2479"/>
          </w:tcPr>
          <w:p>
            <w:pPr>
              <w:jc w:val="left"/>
            </w:pPr>
            <w:r>
              <w:rPr>
                <w:sz w:val="16"/>
              </w:rPr>
              <w:t>worker-mail</w:t>
            </w:r>
          </w:p>
        </w:tc>
        <w:tc>
          <w:tcPr>
            <w:tcW w:type="dxa" w:w="2479"/>
          </w:tcPr>
          <w:p>
            <w:pPr>
              <w:jc w:val="left"/>
            </w:pPr>
            <w:r>
              <w:rPr>
                <w:sz w:val="16"/>
              </w:rPr>
              <w:t>NOTIFICATION_SENT</w:t>
            </w:r>
          </w:p>
        </w:tc>
        <w:tc>
          <w:tcPr>
            <w:tcW w:type="dxa" w:w="2479"/>
          </w:tcPr>
          <w:p>
            <w:pPr>
              <w:jc w:val="left"/>
            </w:pPr>
            <w:r>
              <w:rPr>
                <w:sz w:val="16"/>
              </w:rPr>
              <w:t>message-882</w:t>
            </w:r>
          </w:p>
        </w:tc>
      </w:tr>
      <w:tr>
        <w:tc>
          <w:tcPr>
            <w:tcW w:type="dxa" w:w="2479"/>
          </w:tcPr>
          <w:p>
            <w:pPr>
              <w:jc w:val="left"/>
            </w:pPr>
            <w:r>
              <w:rPr>
                <w:sz w:val="16"/>
              </w:rPr>
              <w:t>10:25</w:t>
            </w:r>
          </w:p>
        </w:tc>
        <w:tc>
          <w:tcPr>
            <w:tcW w:type="dxa" w:w="2479"/>
          </w:tcPr>
          <w:p>
            <w:pPr>
              <w:jc w:val="left"/>
            </w:pPr>
            <w:r>
              <w:rPr>
                <w:sz w:val="16"/>
              </w:rPr>
              <w:t>cliente-admin</w:t>
            </w:r>
          </w:p>
        </w:tc>
        <w:tc>
          <w:tcPr>
            <w:tcW w:type="dxa" w:w="2479"/>
          </w:tcPr>
          <w:p>
            <w:r>
              <w:t>CLIENT_REPLY_RECEIVED</w:t>
            </w:r>
          </w:p>
        </w:tc>
        <w:tc>
          <w:tcPr>
            <w:tcW w:type="dxa" w:w="2479"/>
          </w:tcPr>
          <w:p>
            <w:r>
              <w:t>Cliente no reconoce el acceso</w:t>
            </w:r>
          </w:p>
        </w:tc>
      </w:tr>
      <w:tr>
        <w:tc>
          <w:tcPr>
            <w:tcW w:type="dxa" w:w="2479"/>
          </w:tcPr>
          <w:p>
            <w:pPr>
              <w:jc w:val="left"/>
            </w:pPr>
            <w:r>
              <w:rPr>
                <w:sz w:val="16"/>
              </w:rPr>
              <w:t>11:40</w:t>
            </w:r>
          </w:p>
        </w:tc>
        <w:tc>
          <w:tcPr>
            <w:tcW w:type="dxa" w:w="2479"/>
          </w:tcPr>
          <w:p>
            <w:pPr>
              <w:jc w:val="left"/>
            </w:pPr>
            <w:r>
              <w:rPr>
                <w:sz w:val="16"/>
              </w:rPr>
              <w:t>analista-01</w:t>
            </w:r>
          </w:p>
        </w:tc>
        <w:tc>
          <w:tcPr>
            <w:tcW w:type="dxa" w:w="2479"/>
          </w:tcPr>
          <w:p>
            <w:pPr>
              <w:jc w:val="left"/>
            </w:pPr>
            <w:r>
              <w:rPr>
                <w:sz w:val="16"/>
              </w:rPr>
              <w:t>CASE_RESOLVED</w:t>
            </w:r>
          </w:p>
        </w:tc>
        <w:tc>
          <w:tcPr>
            <w:tcW w:type="dxa" w:w="2479"/>
          </w:tcPr>
          <w:p>
            <w:pPr>
              <w:jc w:val="left"/>
            </w:pPr>
            <w:r>
              <w:rPr>
                <w:sz w:val="16"/>
              </w:rPr>
              <w:t>Credencial rotada</w:t>
            </w:r>
          </w:p>
        </w:tc>
      </w:tr>
    </w:tbl>
    <w:p/>
    <w:p>
      <w:pPr>
        <w:jc w:val="both"/>
      </w:pPr>
      <w:r>
        <w:t>El audit trail no debe depender de una descripción manual. Cada componente genera eventos estructurados. La cronología permite reconstruir qué datos existían cuando se tomó una decisión.</w:t>
      </w:r>
    </w:p>
    <w:p>
      <w:pPr>
        <w:pStyle w:val="Heading1"/>
      </w:pPr>
      <w:r>
        <w:t>23. Entregables documentales del servicio</w:t>
      </w:r>
    </w:p>
    <w:p>
      <w:pPr>
        <w:pStyle w:val="ListBullet"/>
        <w:jc w:val="left"/>
      </w:pPr>
      <w:r>
        <w:t>Informe de onboarding y activos.</w:t>
      </w:r>
    </w:p>
    <w:p>
      <w:pPr>
        <w:pStyle w:val="ListBullet"/>
        <w:jc w:val="left"/>
      </w:pPr>
      <w:r>
        <w:t>Catálogo de procedimientos aplicables al cliente.</w:t>
      </w:r>
    </w:p>
    <w:p>
      <w:pPr>
        <w:pStyle w:val="ListBullet"/>
        <w:jc w:val="left"/>
      </w:pPr>
      <w:r>
        <w:t>Digest periódico.</w:t>
      </w:r>
    </w:p>
    <w:p>
      <w:pPr>
        <w:pStyle w:val="ListBullet"/>
        <w:jc w:val="left"/>
      </w:pPr>
      <w:r>
        <w:t>Reporte mensual de servicio.</w:t>
      </w:r>
    </w:p>
    <w:p>
      <w:pPr>
        <w:pStyle w:val="ListBullet"/>
        <w:jc w:val="left"/>
      </w:pPr>
      <w:r>
        <w:t>Informe de incidente relevante.</w:t>
      </w:r>
    </w:p>
    <w:p>
      <w:pPr>
        <w:pStyle w:val="ListBullet"/>
        <w:jc w:val="left"/>
      </w:pPr>
      <w:r>
        <w:t>Reporte de vulnerabilidades y KEV.</w:t>
      </w:r>
    </w:p>
    <w:p>
      <w:pPr>
        <w:pStyle w:val="ListBullet"/>
        <w:jc w:val="left"/>
      </w:pPr>
      <w:r>
        <w:t>Reporte de tuning y cambios.</w:t>
      </w:r>
    </w:p>
    <w:p>
      <w:pPr>
        <w:pStyle w:val="ListBullet"/>
        <w:jc w:val="left"/>
      </w:pPr>
      <w:r>
        <w:t>Evidencia de SLA y auditoría.</w:t>
      </w:r>
    </w:p>
    <w:p>
      <w:pPr>
        <w:pStyle w:val="ListBullet"/>
        <w:jc w:val="left"/>
      </w:pPr>
      <w:r>
        <w:t>Informe de cierre o aceptación de riesgo.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907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6464"/>
        <w:sz w:val="16"/>
      </w:rPr>
      <w:t xml:space="preserve">Versión documental 3.0 | 22 de julio de 2026 | </w:t>
    </w:r>
    <w:r>
      <w:t xml:space="preserve">Página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KRIPTOME MINISOC | OUTPUTS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  <w:jc w:val="both"/>
    </w:pPr>
    <w:rPr>
      <w:rFonts w:ascii="Liberation Sans" w:hAnsi="Liberation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F3854"/>
      <w:sz w:val="3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2E547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46464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b/>
      <w:color w:val="1F3854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</w:pPr>
    <w:rPr>
      <w:rFonts w:asciiTheme="majorHAnsi" w:eastAsiaTheme="majorEastAsia" w:hAnsiTheme="majorHAnsi" w:cstheme="majorBidi" w:ascii="Liberation Sans" w:hAnsi="Liberation Sans"/>
      <w:b w:val="0"/>
      <w:i/>
      <w:iCs/>
      <w:color w:val="555555"/>
      <w:spacing w:val="15"/>
      <w:sz w:val="2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