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Microlearning Design Guide (Dummy)</w:t>
      </w:r>
    </w:p>
    <w:p>
      <w:r>
        <w:t>Dokumen ini adalah data sintetis (dummy). Tidak merepresentasikan organisasi nyata.</w:t>
      </w:r>
    </w:p>
    <w:p>
      <w:pPr>
        <w:pStyle w:val="Heading2"/>
      </w:pPr>
      <w:r>
        <w:t>Prinsip Microlearning</w:t>
      </w:r>
    </w:p>
    <w:p>
      <w:r>
        <w:t>1 modul = 1 tujuan spesifik</w:t>
      </w:r>
    </w:p>
    <w:p>
      <w:r>
        <w:t>Durasi 5–15 menit</w:t>
      </w:r>
    </w:p>
    <w:p>
      <w:r>
        <w:t>Fokus pada aktivitas dan contoh nyata</w:t>
      </w:r>
    </w:p>
    <w:p>
      <w:r>
        <w:t>Ada evaluasi cepat (quiz/ceklist)</w:t>
      </w:r>
    </w:p>
    <w:p>
      <w:pPr>
        <w:pStyle w:val="Heading2"/>
      </w:pPr>
      <w:r>
        <w:t>Format yang Disarankan</w:t>
      </w:r>
    </w:p>
    <w:p>
      <w:r>
        <w:t>Video singkat, reading ringkas, hands-on mini task, case snippet, dan quiz.</w:t>
      </w:r>
    </w:p>
    <w:p>
      <w:pPr>
        <w:pStyle w:val="Heading2"/>
      </w:pPr>
      <w:r>
        <w:t>Aturan Dekomposisi Materi Besar</w:t>
      </w:r>
    </w:p>
    <w:p>
      <w:r>
        <w:t>Pecah berdasarkan: konsep, skill, tools, dan skenario. Pastikan tiap modul bisa berdiri sendiri dan bisa dirangkai menjadi learning path.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