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Data</w:t>
      </w:r>
      <w:r>
        <w:t xml:space="preserve"> </w:t>
      </w:r>
      <w:r>
        <w:t xml:space="preserve">Law</w:t>
      </w:r>
      <w:r>
        <w:t xml:space="preserve"> </w:t>
      </w:r>
      <w:r>
        <w:t xml:space="preserve">and</w:t>
      </w:r>
      <w:r>
        <w:t xml:space="preserve"> </w:t>
      </w:r>
      <w:r>
        <w:t xml:space="preserve">Licensing</w:t>
      </w:r>
    </w:p>
    <w:bookmarkStart w:id="21" w:name="introduction"/>
    <w:p>
      <w:pPr>
        <w:pStyle w:val="Heading2"/>
      </w:pPr>
      <w:r>
        <w:t xml:space="preserve">Introduction</w:t>
      </w:r>
    </w:p>
    <w:bookmarkEnd w:id="21"/>
    <w:p>
      <w:r>
        <w:t xml:space="preserve">This handout is intended to accompany my talk on open data law and licensing. It does not follow the order of the slides and is intended to cover more material than it would be possible to discuss in a relatively short training session.</w:t>
      </w:r>
    </w:p>
    <w:p>
      <w:r>
        <w:t xml:space="preserve">Some previous attendees of this course have given feedback that the subtle interplay between court decisions and the law was not something they were familiar with. I have included a rough guide to jurisdiction and the creation of law in a section at the end.</w:t>
      </w:r>
    </w:p>
    <w:p>
      <w:r>
        <w:t xml:space="preserve">In this talk, I will be focussing particuarly on the law of England and Wales where I practice, but much of what I say will be applicable throughout Europe and, in some cases, internationally.</w:t>
      </w:r>
    </w:p>
    <w:bookmarkStart w:id="22" w:name="ownership-of-data"/>
    <w:p>
      <w:pPr>
        <w:pStyle w:val="Heading2"/>
      </w:pPr>
      <w:r>
        <w:t xml:space="preserve">Ownership of data</w:t>
      </w:r>
    </w:p>
    <w:bookmarkEnd w:id="22"/>
    <w:p>
      <w:r>
        <w:t xml:space="preserve">Strictly speaking it is impossible to “own” data in the sense of having a property right in factual information.</w:t>
      </w:r>
      <w:r>
        <w:rPr>
          <w:rStyle w:val="FootnoteRef"/>
        </w:rPr>
        <w:footnoteReference w:id="23"/>
      </w:r>
      <w:r>
        <w:t xml:space="preserve"> </w:t>
      </w:r>
      <w:r>
        <w:t xml:space="preserve">Nevertheless it is possible to own:</w:t>
      </w:r>
    </w:p>
    <w:p>
      <w:pPr>
        <w:pStyle w:val="Compact"/>
        <w:numPr>
          <w:numId w:val="2"/>
          <w:ilvl w:val="0"/>
        </w:numPr>
      </w:pPr>
      <w:r>
        <w:t xml:space="preserve">copyright in the</w:t>
      </w:r>
      <w:r>
        <w:t xml:space="preserve"> </w:t>
      </w:r>
      <w:r>
        <w:rPr>
          <w:i/>
        </w:rPr>
        <w:t xml:space="preserve">expression</w:t>
      </w:r>
      <w:r>
        <w:t xml:space="preserve"> </w:t>
      </w:r>
      <w:r>
        <w:t xml:space="preserve">of information (eg in a map or diagram)</w:t>
      </w:r>
    </w:p>
    <w:p>
      <w:pPr>
        <w:pStyle w:val="Compact"/>
        <w:numPr>
          <w:numId w:val="2"/>
          <w:ilvl w:val="0"/>
        </w:numPr>
      </w:pPr>
      <w:r>
        <w:t xml:space="preserve">database copyright in the selection or arrangement of a collection of data</w:t>
      </w:r>
    </w:p>
    <w:p>
      <w:pPr>
        <w:pStyle w:val="Compact"/>
        <w:numPr>
          <w:numId w:val="2"/>
          <w:ilvl w:val="0"/>
        </w:numPr>
      </w:pPr>
      <w:r>
        <w:t xml:space="preserve">database right in the investment in obtaining, verifying or presenting a database.</w:t>
      </w:r>
    </w:p>
    <w:p>
      <w:r>
        <w:t xml:space="preserve">For this course I will mostly be concerned with rights in the database rather than rights in other expressions of information, but in considering how to license a database you should consider how you will deal with:</w:t>
      </w:r>
    </w:p>
    <w:p>
      <w:pPr>
        <w:pStyle w:val="Compact"/>
        <w:numPr>
          <w:numId w:val="3"/>
          <w:ilvl w:val="0"/>
        </w:numPr>
      </w:pPr>
      <w:r>
        <w:t xml:space="preserve">the</w:t>
      </w:r>
      <w:r>
        <w:t xml:space="preserve"> </w:t>
      </w:r>
      <w:r>
        <w:rPr>
          <w:i/>
        </w:rPr>
        <w:t xml:space="preserve">contents</w:t>
      </w:r>
      <w:r>
        <w:t xml:space="preserve"> </w:t>
      </w:r>
      <w:r>
        <w:t xml:space="preserve">of the database</w:t>
      </w:r>
    </w:p>
    <w:p>
      <w:pPr>
        <w:pStyle w:val="Compact"/>
        <w:numPr>
          <w:numId w:val="3"/>
          <w:ilvl w:val="0"/>
        </w:numPr>
      </w:pPr>
      <w:r>
        <w:t xml:space="preserve">the</w:t>
      </w:r>
      <w:r>
        <w:t xml:space="preserve"> </w:t>
      </w:r>
      <w:r>
        <w:rPr>
          <w:i/>
        </w:rPr>
        <w:t xml:space="preserve">database itself</w:t>
      </w:r>
    </w:p>
    <w:bookmarkStart w:id="25" w:name="copyright"/>
    <w:p>
      <w:pPr>
        <w:pStyle w:val="Heading3"/>
      </w:pPr>
      <w:r>
        <w:t xml:space="preserve">Copyright</w:t>
      </w:r>
    </w:p>
    <w:bookmarkEnd w:id="25"/>
    <w:bookmarkStart w:id="26" w:name="some-history"/>
    <w:p>
      <w:pPr>
        <w:pStyle w:val="Heading4"/>
      </w:pPr>
      <w:r>
        <w:t xml:space="preserve">Some history</w:t>
      </w:r>
    </w:p>
    <w:bookmarkEnd w:id="26"/>
    <w:p>
      <w:r>
        <w:t xml:space="preserve">Copyright began in Great Britain as a protection for “books and other writings”. It restricted the right to copy the books or other writings (hence the term “copyright”) to the authors of the books for 14 years from publication.</w:t>
      </w:r>
    </w:p>
    <w:p>
      <w:r>
        <w:t xml:space="preserve">Over time copyright protection was extended to many other forms of expression, for example paintings, sculptures, plays and photographs. These are collectively known as “works”. As protection extended it became unclear what exactly copyright protected. It was generally understood that copyright shouldn’t be able to protect facts. But that it should be able to protect adaptation of a work, eg translations into another language, dramatizations of a literary work. But it was not clear precisely where the line should be drawn</w:t>
      </w:r>
    </w:p>
    <w:p>
      <w:r>
        <w:t xml:space="preserve">For example, there were some early cases where judges were unsure about whether maps could be protected since they simply represent what is already out there. There were also questions over drawings of plants and (later) photographs. Eventually it was accepted that copyright could protect all these kinds of work.</w:t>
      </w:r>
    </w:p>
    <w:p>
      <w:r>
        <w:t xml:space="preserve">The courts converged on a distinction between “ideas” – which were not protected – and the “expression” of those ideas – which was protected. This is known as the “idea/expression” dichotomy. You could take facts recorded in someone’s work, provided you did not copy the expression of the work.</w:t>
      </w:r>
    </w:p>
    <w:p>
      <w:r>
        <w:t xml:space="preserve">Sometimes this caused difficulties where the work was, say, a table of information or a compilation. The courts settled on the idea that a compilation of facts might be protected by copyright even if the facts themselves were not.</w:t>
      </w:r>
    </w:p>
    <w:p>
      <w:r>
        <w:t xml:space="preserve">In English law the concept of “originality” acted as a kind of gate-keeper to prevent copyright being too extensive. If a work was not original, there was no copyright in it.</w:t>
      </w:r>
    </w:p>
    <w:p>
      <w:r>
        <w:t xml:space="preserve">At first it wasn’t clear what kind of originality was required. In particular was it enough to put a lot of effort into a work where that work was not, necessarily, particularly creative. For example, creating a directory of streets in London requires a lot of effort, but it is not particularly original since anyone could go out and do it. Should copyright protect that data collection effort?</w:t>
      </w:r>
    </w:p>
    <w:bookmarkStart w:id="27" w:name="european-harmonisation"/>
    <w:p>
      <w:pPr>
        <w:pStyle w:val="Heading3"/>
      </w:pPr>
      <w:r>
        <w:t xml:space="preserve">European harmonisation</w:t>
      </w:r>
    </w:p>
    <w:bookmarkEnd w:id="27"/>
    <w:p>
      <w:r>
        <w:t xml:space="preserve">All that argument, though very interesting for academics, is now past. In Europe, whether or not a work is protected by copyright (the “subsistence” of copyright) has been harmonized by three directives:</w:t>
      </w:r>
    </w:p>
    <w:p>
      <w:pPr>
        <w:numPr>
          <w:numId w:val="4"/>
          <w:ilvl w:val="0"/>
        </w:numPr>
      </w:pPr>
      <w:r>
        <w:t xml:space="preserve">the software directive – for computer programs</w:t>
      </w:r>
    </w:p>
    <w:p>
      <w:pPr>
        <w:numPr>
          <w:numId w:val="4"/>
          <w:ilvl w:val="0"/>
        </w:numPr>
      </w:pPr>
      <w:r>
        <w:t xml:space="preserve">the database directive – for databases</w:t>
      </w:r>
    </w:p>
    <w:p>
      <w:pPr>
        <w:numPr>
          <w:numId w:val="4"/>
          <w:ilvl w:val="0"/>
        </w:numPr>
      </w:pPr>
      <w:r>
        <w:t xml:space="preserve">the information society directive – for everything else.</w:t>
      </w:r>
    </w:p>
    <w:p>
      <w:r>
        <w:t xml:space="preserve">In all cases the criterion (replacing the English conception of “originality”) is that a work is protected if it is its author’s “own intellectual creation”.</w:t>
      </w:r>
      <w:r>
        <w:rPr>
          <w:rStyle w:val="FootnoteRef"/>
        </w:rPr>
        <w:footnoteReference w:id="28"/>
      </w:r>
      <w:r>
        <w:t xml:space="preserve"> </w:t>
      </w:r>
      <w:r>
        <w:t xml:space="preserve">The ECJ has explained that “own intellectual creation” implies a creative choice made by the author. They must make use of “formative freedom” so that the author puts the stamp of their personality on work. If there is no “formative freedom” – eg if there is only really one way to express something – then there can be no copyright.</w:t>
      </w:r>
    </w:p>
    <w:p>
      <w:r>
        <w:t xml:space="preserve">Even under the new EU criterion a lot of things are capable of being protected by copyright. For example some (sufficiently creative) newspaper headlines might be protected.</w:t>
      </w:r>
    </w:p>
    <w:p>
      <w:r>
        <w:t xml:space="preserve">How copyright protects the structure of databases will be dealt with next, but open data may involve copyright works as the</w:t>
      </w:r>
      <w:r>
        <w:t xml:space="preserve"> </w:t>
      </w:r>
      <w:r>
        <w:rPr>
          <w:b/>
        </w:rPr>
        <w:t xml:space="preserve">contents</w:t>
      </w:r>
      <w:r>
        <w:t xml:space="preserve"> </w:t>
      </w:r>
      <w:r>
        <w:t xml:space="preserve">of a database. In an open data context there is probably a contrast between:</w:t>
      </w:r>
    </w:p>
    <w:p>
      <w:pPr>
        <w:numPr>
          <w:numId w:val="5"/>
          <w:ilvl w:val="0"/>
        </w:numPr>
      </w:pPr>
      <w:r>
        <w:t xml:space="preserve">pure data – eg temperature values or GPS co-ordinates (almost certainly not protected individually)</w:t>
      </w:r>
    </w:p>
    <w:p>
      <w:pPr>
        <w:numPr>
          <w:numId w:val="5"/>
          <w:ilvl w:val="0"/>
        </w:numPr>
      </w:pPr>
      <w:r>
        <w:t xml:space="preserve">copyrightable works – eg images, user comments</w:t>
      </w:r>
    </w:p>
    <w:bookmarkStart w:id="29" w:name="general-features-of-copyright"/>
    <w:p>
      <w:pPr>
        <w:pStyle w:val="Heading3"/>
      </w:pPr>
      <w:r>
        <w:t xml:space="preserve">General features of copyright</w:t>
      </w:r>
    </w:p>
    <w:bookmarkEnd w:id="29"/>
    <w:p>
      <w:r>
        <w:t xml:space="preserve">Some useful general features of copyright are worth noting:</w:t>
      </w:r>
    </w:p>
    <w:p>
      <w:pPr>
        <w:numPr>
          <w:numId w:val="6"/>
          <w:ilvl w:val="0"/>
        </w:numPr>
      </w:pPr>
      <w:r>
        <w:t xml:space="preserve">no formalities are required – copyright “just happens” when a work is created, you do not have to register or claim it in any way</w:t>
      </w:r>
      <w:r>
        <w:rPr>
          <w:rStyle w:val="FootnoteRef"/>
        </w:rPr>
        <w:footnoteReference w:id="30"/>
      </w:r>
    </w:p>
    <w:p>
      <w:pPr>
        <w:numPr>
          <w:numId w:val="6"/>
          <w:ilvl w:val="0"/>
        </w:numPr>
      </w:pPr>
      <w:r>
        <w:t xml:space="preserve">you do not even have to mark your work with a copyright notice (C) or something similar</w:t>
      </w:r>
    </w:p>
    <w:p>
      <w:pPr>
        <w:numPr>
          <w:numId w:val="6"/>
          <w:ilvl w:val="0"/>
        </w:numPr>
      </w:pPr>
      <w:r>
        <w:t xml:space="preserve">copyright belongs to the author in most cases (films and sound recordings being an exception)</w:t>
      </w:r>
    </w:p>
    <w:p>
      <w:pPr>
        <w:numPr>
          <w:numId w:val="6"/>
          <w:ilvl w:val="0"/>
        </w:numPr>
      </w:pPr>
      <w:r>
        <w:rPr>
          <w:b/>
        </w:rPr>
        <w:t xml:space="preserve">unless</w:t>
      </w:r>
      <w:r>
        <w:t xml:space="preserve"> </w:t>
      </w:r>
      <w:r>
        <w:t xml:space="preserve">the author creates the work in the course of employment, when it will first belong to the employer</w:t>
      </w:r>
    </w:p>
    <w:bookmarkStart w:id="31" w:name="infringement-of-copyright"/>
    <w:p>
      <w:pPr>
        <w:pStyle w:val="Heading3"/>
      </w:pPr>
      <w:r>
        <w:t xml:space="preserve">Infringement of copyright</w:t>
      </w:r>
    </w:p>
    <w:bookmarkEnd w:id="31"/>
    <w:p>
      <w:r>
        <w:t xml:space="preserve">Copyright in a work is infringed by doing any of the following without permission of the copyright owner:</w:t>
      </w:r>
    </w:p>
    <w:p>
      <w:pPr>
        <w:numPr>
          <w:numId w:val="7"/>
          <w:ilvl w:val="0"/>
        </w:numPr>
      </w:pPr>
      <w:r>
        <w:t xml:space="preserve">reproducing the work (i.e. copying it)</w:t>
      </w:r>
    </w:p>
    <w:p>
      <w:pPr>
        <w:numPr>
          <w:numId w:val="7"/>
          <w:ilvl w:val="0"/>
        </w:numPr>
      </w:pPr>
      <w:r>
        <w:t xml:space="preserve">distributing the work</w:t>
      </w:r>
    </w:p>
    <w:p>
      <w:pPr>
        <w:numPr>
          <w:numId w:val="7"/>
          <w:ilvl w:val="0"/>
        </w:numPr>
      </w:pPr>
      <w:r>
        <w:t xml:space="preserve">communicating the work to the public (eg publishing it on a web page or via an API)</w:t>
      </w:r>
    </w:p>
    <w:bookmarkStart w:id="32" w:name="modern-database-protection"/>
    <w:p>
      <w:pPr>
        <w:pStyle w:val="Heading3"/>
      </w:pPr>
      <w:r>
        <w:t xml:space="preserve">Modern database protection</w:t>
      </w:r>
    </w:p>
    <w:bookmarkEnd w:id="32"/>
    <w:p>
      <w:r>
        <w:t xml:space="preserve">For the purpose of the database directive, a “database” is</w:t>
      </w:r>
    </w:p>
    <w:p>
      <w:r>
        <w:t xml:space="preserve">"a collection of independent works, data or other materials which (a) are arranged in a systematic or methodical way, and (b) are individually accessible by electronic or other means"</w:t>
      </w:r>
    </w:p>
    <w:p>
      <w:r>
        <w:t xml:space="preserve">Thus a “database” is what a computer scientist might call a “data set”. A database does not have to be held on a computer. Examples of databases which are not electronic might be:</w:t>
      </w:r>
    </w:p>
    <w:p>
      <w:pPr>
        <w:numPr>
          <w:numId w:val="8"/>
          <w:ilvl w:val="0"/>
        </w:numPr>
      </w:pPr>
      <w:r>
        <w:t xml:space="preserve">a library (arranged according to the Dewey Decimal system)</w:t>
      </w:r>
    </w:p>
    <w:p>
      <w:pPr>
        <w:numPr>
          <w:numId w:val="8"/>
          <w:ilvl w:val="0"/>
        </w:numPr>
      </w:pPr>
      <w:r>
        <w:t xml:space="preserve">an anthology of poems organised by author (and date)</w:t>
      </w:r>
    </w:p>
    <w:p>
      <w:pPr>
        <w:numPr>
          <w:numId w:val="8"/>
          <w:ilvl w:val="0"/>
        </w:numPr>
      </w:pPr>
      <w:r>
        <w:t xml:space="preserve">a parish register (arranged by date)</w:t>
      </w:r>
    </w:p>
    <w:p>
      <w:r>
        <w:t xml:space="preserve">If a database is held on a computer, the computer software that manages the database is not a part of the “database” for IP purposes. It would usually be protected by copyright law as a computer program. Copyright operates slightly differently for computer programs than it does for databases and is probably off-topic for this handout.</w:t>
      </w:r>
    </w:p>
    <w:bookmarkStart w:id="33" w:name="database-right"/>
    <w:p>
      <w:pPr>
        <w:pStyle w:val="Heading3"/>
      </w:pPr>
      <w:r>
        <w:t xml:space="preserve">Database right</w:t>
      </w:r>
    </w:p>
    <w:bookmarkEnd w:id="33"/>
    <w:p>
      <w:r>
        <w:t xml:space="preserve">I deal with database right first, because it was the first of the two rights in databases to be dealt with by the European Court of Justice.</w:t>
      </w:r>
    </w:p>
    <w:p>
      <w:r>
        <w:t xml:space="preserve">Database right is quite unlike copyright. It aims not to reward authorship, but to reward</w:t>
      </w:r>
      <w:r>
        <w:t xml:space="preserve"> </w:t>
      </w:r>
      <w:r>
        <w:rPr>
          <w:i/>
        </w:rPr>
        <w:t xml:space="preserve">investment</w:t>
      </w:r>
      <w:r>
        <w:t xml:space="preserve">. It was created by the European Union in a, possibly mistaken, hope that it would encourage investment in the creation of a database infrastructure. The database right is sometimes referred to in EU circles as the “sui generis right” because it is not like any other kind of right.</w:t>
      </w:r>
    </w:p>
    <w:p>
      <w:r>
        <w:t xml:space="preserve">The database right is also unknown in the US and generally internationally. This means that a database protected by database right in the EU will not enjoy that protection in the US. This has important implications for European institutions publishing databases to the internet. It means that a US based institution might be able to appropriate the database and use it in the US without worrying about database right.</w:t>
      </w:r>
    </w:p>
    <w:p>
      <w:r>
        <w:t xml:space="preserve">The database right applies to a database where there has been a substantial investment in one or more of three factors:</w:t>
      </w:r>
    </w:p>
    <w:p>
      <w:pPr>
        <w:numPr>
          <w:numId w:val="9"/>
          <w:ilvl w:val="0"/>
        </w:numPr>
      </w:pPr>
      <w:r>
        <w:t xml:space="preserve">obtaining</w:t>
      </w:r>
    </w:p>
    <w:p>
      <w:pPr>
        <w:numPr>
          <w:numId w:val="9"/>
          <w:ilvl w:val="0"/>
        </w:numPr>
      </w:pPr>
      <w:r>
        <w:t xml:space="preserve">verifying</w:t>
      </w:r>
    </w:p>
    <w:p>
      <w:pPr>
        <w:numPr>
          <w:numId w:val="9"/>
          <w:ilvl w:val="0"/>
        </w:numPr>
      </w:pPr>
      <w:r>
        <w:t xml:space="preserve">presenting</w:t>
      </w:r>
    </w:p>
    <w:p>
      <w:r>
        <w:t xml:space="preserve">the contents of the database. Here “substantial” can mean either quantitatively substantial – for example lots of time or money; or qualitatively substantial – for example the use of experts to collect the data (as happened in</w:t>
      </w:r>
      <w:r>
        <w:t xml:space="preserve"> </w:t>
      </w:r>
      <w:r>
        <w:rPr>
          <w:i/>
        </w:rPr>
        <w:t xml:space="preserve">Football Dataco v Stan James below</w:t>
      </w:r>
      <w:r>
        <w:t xml:space="preserve">).</w:t>
      </w:r>
    </w:p>
    <w:bookmarkStart w:id="35" w:name="fixtures-marketing-v-organismos-prognostikon-agonon-podosfairou8"/>
    <w:p>
      <w:pPr>
        <w:pStyle w:val="Heading4"/>
      </w:pPr>
      <w:r>
        <w:t xml:space="preserve">Fixtures Marketing v Organismos prognostikon agonon podosfairou</w:t>
      </w:r>
      <w:r>
        <w:rPr>
          <w:rStyle w:val="FootnoteRef"/>
        </w:rPr>
        <w:footnoteReference w:id="34"/>
      </w:r>
    </w:p>
    <w:bookmarkEnd w:id="35"/>
    <w:p>
      <w:r>
        <w:t xml:space="preserve">The Court of Justice explained that “obtaining” was different from “creating”. The football leagues of England and Scotland claimed they had a database right in the list of football “fixtures”, i.e. which teams would play each other on particular dates and in particular venues. The court decided that what the leagues were doing was “creating” data. It was they that decided whether or not two teams would play one another. They could not be said to be “obtaining” it.</w:t>
      </w:r>
    </w:p>
    <w:p>
      <w:r>
        <w:t xml:space="preserve">This conclusion surprised quite a few commentators. Databases like the football league’s fixtures list may even have been in lawmakers’ minds when the database directive was drafted. The court of justice explained that the purpose of the database right was to encourage the investment in creating database infrastructure. The football league needed no encouragement via the database right to invest in their database of fixtures lists. They would have created such a thing anyway.</w:t>
      </w:r>
    </w:p>
    <w:bookmarkStart w:id="37" w:name="football-dataco-v-stan-james9"/>
    <w:p>
      <w:pPr>
        <w:pStyle w:val="Heading4"/>
      </w:pPr>
      <w:r>
        <w:t xml:space="preserve">Football Dataco v Stan James</w:t>
      </w:r>
      <w:r>
        <w:rPr>
          <w:rStyle w:val="FootnoteRef"/>
        </w:rPr>
        <w:footnoteReference w:id="36"/>
      </w:r>
    </w:p>
    <w:bookmarkEnd w:id="37"/>
    <w:p>
      <w:r>
        <w:t xml:space="preserve">Where is the line drawn between “obtaining” and “creating”? Some academics have suggested that a common form of data collection – going out and measuring data (eg meteorological data, mapping data for Open Street Map) – was really “creating” the data on the theory that the data doesn’t exist before it is actually recorded. The Court of Appeal of England and Wales has rejected this view in no uncertain terms. It is not certain that the Court of Justice would take the same view, but the question hasn’t been asked them. For the moment a substantial investment in measuring data would give the database right in English law.</w:t>
      </w:r>
    </w:p>
    <w:bookmarkStart w:id="38" w:name="apis-hristovich-v-lakorda-c-54507"/>
    <w:p>
      <w:pPr>
        <w:pStyle w:val="Heading4"/>
      </w:pPr>
      <w:r>
        <w:t xml:space="preserve">Apis-Hristovich v Lakorda C-545/07</w:t>
      </w:r>
    </w:p>
    <w:bookmarkEnd w:id="38"/>
    <w:p>
      <w:r>
        <w:t xml:space="preserve">This was a case about databases of public legal information. For an open data perspective, the most interesting part of the decision was that simply because information is collected form publicly accessible data sources does not preclude it from being protected by the database right.</w:t>
      </w:r>
      <w:r>
        <w:rPr>
          <w:rStyle w:val="FootnoteRef"/>
        </w:rPr>
        <w:footnoteReference w:id="39"/>
      </w:r>
    </w:p>
    <w:p>
      <w:r>
        <w:t xml:space="preserve">The court (re)-iterated a few other points that are worth remembering:</w:t>
      </w:r>
    </w:p>
    <w:p>
      <w:pPr>
        <w:numPr>
          <w:numId w:val="10"/>
          <w:ilvl w:val="0"/>
        </w:numPr>
      </w:pPr>
      <w:r>
        <w:t xml:space="preserve">“Extraction” (see below) relies on a transfer of the contents of the database. The purpose of that transfer is irrelevant.</w:t>
      </w:r>
    </w:p>
    <w:p>
      <w:pPr>
        <w:numPr>
          <w:numId w:val="10"/>
          <w:ilvl w:val="0"/>
        </w:numPr>
      </w:pPr>
      <w:r>
        <w:t xml:space="preserve">It may be that the contents of database B resemble those of an earlier database A. That may be because of a transfer of the contents of A to B but there may be other good explanations. There is no rule B infringes A just because it looks the same.</w:t>
      </w:r>
    </w:p>
    <w:bookmarkStart w:id="40" w:name="infringement"/>
    <w:p>
      <w:pPr>
        <w:pStyle w:val="Heading3"/>
      </w:pPr>
      <w:r>
        <w:t xml:space="preserve">Infringement</w:t>
      </w:r>
    </w:p>
    <w:bookmarkEnd w:id="40"/>
    <w:p>
      <w:r>
        <w:t xml:space="preserve">The database right protects the owner against three things being done without their permission. The first two are:</w:t>
      </w:r>
    </w:p>
    <w:p>
      <w:pPr>
        <w:numPr>
          <w:numId w:val="11"/>
          <w:ilvl w:val="0"/>
        </w:numPr>
      </w:pPr>
      <w:r>
        <w:t xml:space="preserve">extraction; or</w:t>
      </w:r>
    </w:p>
    <w:p>
      <w:pPr>
        <w:numPr>
          <w:numId w:val="11"/>
          <w:ilvl w:val="0"/>
        </w:numPr>
      </w:pPr>
      <w:r>
        <w:t xml:space="preserve">re-utilisation</w:t>
      </w:r>
    </w:p>
    <w:p>
      <w:r>
        <w:t xml:space="preserve">of a substantial part of the database.</w:t>
      </w:r>
    </w:p>
    <w:p>
      <w:r>
        <w:t xml:space="preserve">But the authors of the directive were also clearly worried about the possibility of taking “little and often”. The directive also makes conduct an infringement of the database right if it consists of all of the following:</w:t>
      </w:r>
    </w:p>
    <w:p>
      <w:pPr>
        <w:numPr>
          <w:numId w:val="12"/>
          <w:ilvl w:val="0"/>
        </w:numPr>
      </w:pPr>
      <w:r>
        <w:t xml:space="preserve">repeated and systematic;</w:t>
      </w:r>
    </w:p>
    <w:p>
      <w:pPr>
        <w:numPr>
          <w:numId w:val="12"/>
          <w:ilvl w:val="0"/>
        </w:numPr>
      </w:pPr>
      <w:r>
        <w:t xml:space="preserve">extraction and/or re-­utilisation of</w:t>
      </w:r>
      <w:r>
        <w:t xml:space="preserve"> </w:t>
      </w:r>
      <w:r>
        <w:rPr>
          <w:b/>
        </w:rPr>
        <w:t xml:space="preserve">insubstantial</w:t>
      </w:r>
      <w:r>
        <w:t xml:space="preserve"> </w:t>
      </w:r>
      <w:r>
        <w:t xml:space="preserve">parts of the contents of the database;</w:t>
      </w:r>
    </w:p>
    <w:p>
      <w:pPr>
        <w:pStyle w:val="Compact"/>
        <w:numPr>
          <w:numId w:val="12"/>
          <w:ilvl w:val="0"/>
        </w:numPr>
      </w:pPr>
      <w:r>
        <w:t xml:space="preserve">implying acts which:</w:t>
      </w:r>
    </w:p>
    <w:p>
      <w:pPr>
        <w:pStyle w:val="Compact"/>
        <w:numPr>
          <w:numId w:val="13"/>
          <w:ilvl w:val="1"/>
        </w:numPr>
      </w:pPr>
      <w:r>
        <w:t xml:space="preserve">conflict with a normal exploitation of that database</w:t>
      </w:r>
    </w:p>
    <w:p>
      <w:pPr>
        <w:pStyle w:val="Compact"/>
        <w:numPr>
          <w:numId w:val="13"/>
          <w:ilvl w:val="1"/>
        </w:numPr>
      </w:pPr>
      <w:r>
        <w:t xml:space="preserve">or which unreasonably prejudice the legitimate interests of the maker</w:t>
      </w:r>
      <w:r>
        <w:rPr>
          <w:rStyle w:val="FootnoteRef"/>
        </w:rPr>
        <w:footnoteReference w:id="41"/>
      </w:r>
    </w:p>
    <w:p>
      <w:r>
        <w:t xml:space="preserve">An</w:t>
      </w:r>
      <w:r>
        <w:t xml:space="preserve"> </w:t>
      </w:r>
      <w:r>
        <w:rPr>
          <w:b/>
        </w:rPr>
        <w:t xml:space="preserve">extraction</w:t>
      </w:r>
      <w:r>
        <w:t xml:space="preserve"> </w:t>
      </w:r>
      <w:r>
        <w:t xml:space="preserve">is involved when the database appears in a new medium. It does not matter if there has been human intervention – even selective intervention – in between.</w:t>
      </w:r>
    </w:p>
    <w:p>
      <w:r>
        <w:t xml:space="preserve">For example in the Directmedia Case,</w:t>
      </w:r>
      <w:r>
        <w:rPr>
          <w:rStyle w:val="FootnoteRef"/>
        </w:rPr>
        <w:footnoteReference w:id="42"/>
      </w:r>
      <w:r>
        <w:t xml:space="preserve"> </w:t>
      </w:r>
      <w:r>
        <w:t xml:space="preserve">a University owned a database of the “100 most important poems in German literature between 1730 and 1900. Directmedia created their own anthology, using the database as a guide to which poems to select from that period. They were selective and did not use all the poems. The Court of Justice decided that could be an “extraction”.</w:t>
      </w:r>
    </w:p>
    <w:p>
      <w:r>
        <w:rPr>
          <w:b/>
        </w:rPr>
        <w:t xml:space="preserve">Re-utilisation</w:t>
      </w:r>
      <w:r>
        <w:t xml:space="preserve"> </w:t>
      </w:r>
      <w:r>
        <w:t xml:space="preserve">means making (a substantial part of) the database available for members of the public to access.</w:t>
      </w:r>
    </w:p>
    <w:p>
      <w:r>
        <w:t xml:space="preserve">For example in the Innoweb Case,</w:t>
      </w:r>
      <w:r>
        <w:rPr>
          <w:rStyle w:val="FootnoteRef"/>
        </w:rPr>
        <w:footnoteReference w:id="43"/>
      </w:r>
      <w:r>
        <w:t xml:space="preserve"> </w:t>
      </w:r>
      <w:r>
        <w:t xml:space="preserve">a meta search engine (“GasPedaal”) would, in response to a user query, make its own queries to a number of automotive websites and in particular one known as Autotrack. A member of the public could, in principle, access a substantial part of Auotrack’s database by using GasPedaal and hence the meta search engine’s activities constituted “re-utilisation”.</w:t>
      </w:r>
    </w:p>
    <w:bookmarkStart w:id="44" w:name="derived-works"/>
    <w:p>
      <w:pPr>
        <w:pStyle w:val="Heading3"/>
      </w:pPr>
      <w:r>
        <w:t xml:space="preserve">Derived works</w:t>
      </w:r>
    </w:p>
    <w:bookmarkEnd w:id="44"/>
    <w:p>
      <w:r>
        <w:t xml:space="preserve">What the database right does not seem to protect is a non-database work that has been created using a database – for example a graphic (such as a map or info-graphic) or a report summarising the results in a database. This is a subtle point because, if the derived work contains sufficient information that was in the original database to count as a “substantial part”, then creating the derived work will be an “extraction”, which would require permission of the database right owner.</w:t>
      </w:r>
    </w:p>
    <w:p>
      <w:r>
        <w:t xml:space="preserve">But in many cases the derived work will not contain a copy of a substantial part of the information in the database and so there will be no extraction or re-utilization of the database.</w:t>
      </w:r>
    </w:p>
    <w:p>
      <w:r>
        <w:t xml:space="preserve">This means that the degree to which a database right owner can use the database right to control the</w:t>
      </w:r>
      <w:r>
        <w:t xml:space="preserve"> </w:t>
      </w:r>
      <w:r>
        <w:rPr>
          <w:i/>
        </w:rPr>
        <w:t xml:space="preserve">use</w:t>
      </w:r>
      <w:r>
        <w:t xml:space="preserve"> </w:t>
      </w:r>
      <w:r>
        <w:t xml:space="preserve">to which their data is subsequently put is limited.</w:t>
      </w:r>
    </w:p>
    <w:bookmarkStart w:id="45" w:name="copyright-in-databases"/>
    <w:p>
      <w:pPr>
        <w:pStyle w:val="Heading3"/>
      </w:pPr>
      <w:r>
        <w:t xml:space="preserve">Copyright in databases</w:t>
      </w:r>
    </w:p>
    <w:bookmarkEnd w:id="45"/>
    <w:p>
      <w:r>
        <w:t xml:space="preserve">Copyright in a database is a right independent of any database right. In other words it is possible for either copyright or database right to exist in a database as well as both or neither. Neither right is “superior” to the other.</w:t>
      </w:r>
    </w:p>
    <w:p>
      <w:r>
        <w:t xml:space="preserve">To obtain copyright a database must be original, in that one of two things must be the author’s “own intellectual creation”. Either the:</w:t>
      </w:r>
    </w:p>
    <w:p>
      <w:pPr>
        <w:numPr>
          <w:numId w:val="14"/>
          <w:ilvl w:val="0"/>
        </w:numPr>
      </w:pPr>
      <w:r>
        <w:t xml:space="preserve">selection or</w:t>
      </w:r>
    </w:p>
    <w:p>
      <w:pPr>
        <w:numPr>
          <w:numId w:val="14"/>
          <w:ilvl w:val="0"/>
        </w:numPr>
      </w:pPr>
      <w:r>
        <w:t xml:space="preserve">arrangement.</w:t>
      </w:r>
    </w:p>
    <w:p>
      <w:r>
        <w:t xml:space="preserve">For example the 100 most important poems in German literature between 1730 and 1900 could claim copyright on the basis of the selection of the poems to include. This would apply to many anthologies. Wherever what is and is not in the database is the result of the exercise of the author’s “own intellectual creation”.</w:t>
      </w:r>
    </w:p>
    <w:bookmarkStart w:id="46" w:name="playlists-and-cds"/>
    <w:p>
      <w:pPr>
        <w:pStyle w:val="Heading3"/>
      </w:pPr>
      <w:r>
        <w:t xml:space="preserve">Playlists and CD’s</w:t>
      </w:r>
    </w:p>
    <w:bookmarkEnd w:id="46"/>
    <w:p>
      <w:r>
        <w:t xml:space="preserve">It has been widely reported that the Ministry of Sound have sued the music streaming company Spotify for infringement of copyright in their playlists. Oddly, the database directive specifically mentions this sort of situation in recital 19 which says:</w:t>
      </w:r>
    </w:p>
    <w:p>
      <w:r>
        <w:t xml:space="preserve">“Whereas, as a rule, the compilation of several recordings of musical performances on a CD does not come within the scope of this Directive, both because, as a compilation, it does not meet the conditions for copyright protection and because it does not represent a substantial enough investment to be eligible under the sui generis right”</w:t>
      </w:r>
    </w:p>
    <w:p>
      <w:r>
        <w:t xml:space="preserve">In other words: no database right or database copyright for you. The phrase “as a rule” means that there may be some exceptions, but the drafters of the directive clearly though that a typical CD could not normally attract either database right or database copyright.</w:t>
      </w:r>
    </w:p>
    <w:bookmarkStart w:id="47" w:name="other-rights"/>
    <w:p>
      <w:pPr>
        <w:pStyle w:val="Heading3"/>
      </w:pPr>
      <w:r>
        <w:t xml:space="preserve">Other rights</w:t>
      </w:r>
    </w:p>
    <w:bookmarkEnd w:id="47"/>
    <w:p>
      <w:r>
        <w:t xml:space="preserve">There are a few other rights that might protect information alone, which I will deal with briefly here.</w:t>
      </w:r>
    </w:p>
    <w:p>
      <w:pPr>
        <w:numPr>
          <w:numId w:val="15"/>
          <w:ilvl w:val="0"/>
        </w:numPr>
      </w:pPr>
      <w:r>
        <w:t xml:space="preserve">Confidential information – if information is given in confidence then it is a</w:t>
      </w:r>
      <w:r>
        <w:t xml:space="preserve"> </w:t>
      </w:r>
      <w:r>
        <w:rPr>
          <w:i/>
        </w:rPr>
        <w:t xml:space="preserve">breach of confidence</w:t>
      </w:r>
      <w:r>
        <w:t xml:space="preserve"> </w:t>
      </w:r>
      <w:r>
        <w:t xml:space="preserve">to communicate it to someone else. Information that has been published will almost never be confidential. The law of confidential information is fairly common-sense. For open data the take-home is to make sure that data you publish hasn’t been obtained in breach of confidence or been the subject of confidence at some point.</w:t>
      </w:r>
    </w:p>
    <w:p>
      <w:pPr>
        <w:numPr>
          <w:numId w:val="15"/>
          <w:ilvl w:val="0"/>
        </w:numPr>
      </w:pPr>
      <w:r>
        <w:t xml:space="preserve">“Hot news”</w:t>
      </w:r>
      <w:r>
        <w:rPr>
          <w:rStyle w:val="FootnoteRef"/>
        </w:rPr>
        <w:footnoteReference w:id="48"/>
      </w:r>
      <w:r>
        <w:t xml:space="preserve"> </w:t>
      </w:r>
      <w:r>
        <w:t xml:space="preserve">– this is an idea that had some currency in the US for a while, though it is probably now much less important</w:t>
      </w:r>
      <w:r>
        <w:rPr>
          <w:rStyle w:val="FootnoteRef"/>
        </w:rPr>
        <w:footnoteReference w:id="49"/>
      </w:r>
      <w:r>
        <w:t xml:space="preserve"> </w:t>
      </w:r>
      <w:r>
        <w:t xml:space="preserve">– it was a doctrine that protected “hot” (i.e. time critical) news.</w:t>
      </w:r>
    </w:p>
    <w:p>
      <w:pPr>
        <w:numPr>
          <w:numId w:val="15"/>
          <w:ilvl w:val="0"/>
        </w:numPr>
      </w:pPr>
      <w:r>
        <w:t xml:space="preserve">German Leistungsschutzrecht für Presseverlege (aka “Lex Google”) a right over news content for one year.</w:t>
      </w:r>
    </w:p>
    <w:bookmarkStart w:id="50" w:name="effective-technological-measures"/>
    <w:p>
      <w:pPr>
        <w:pStyle w:val="Heading3"/>
      </w:pPr>
      <w:r>
        <w:t xml:space="preserve">Effective technological measures</w:t>
      </w:r>
    </w:p>
    <w:bookmarkEnd w:id="50"/>
    <w:p>
      <w:r>
        <w:t xml:space="preserve">Database may also be protected by various forms of digital rights management, passwords or other forms of technology intended to control their use. These are known as “effective technical measures” in EU law. In many situations, circumventing an effective technological measure can be treated as the equivalent of an infringement of copyright and in some cases is a criminal offence.</w:t>
      </w:r>
    </w:p>
    <w:p>
      <w:r>
        <w:t xml:space="preserve">It should be unusual to meet ETM’s in the context of open data.</w:t>
      </w:r>
    </w:p>
    <w:bookmarkStart w:id="51" w:name="open-licensing"/>
    <w:p>
      <w:pPr>
        <w:pStyle w:val="Heading2"/>
      </w:pPr>
      <w:r>
        <w:t xml:space="preserve">Open licensing</w:t>
      </w:r>
    </w:p>
    <w:bookmarkEnd w:id="51"/>
    <w:bookmarkStart w:id="52" w:name="what-is-a-licence"/>
    <w:p>
      <w:pPr>
        <w:pStyle w:val="Heading3"/>
      </w:pPr>
      <w:r>
        <w:t xml:space="preserve">What is a licence?</w:t>
      </w:r>
    </w:p>
    <w:bookmarkEnd w:id="52"/>
    <w:p>
      <w:r>
        <w:t xml:space="preserve">Note that in UK English “licence” is a noun and “license” a verb. In US English both are “license”. The US usage is very common online and some licences thus have names that look odd to an English lawyer’s eye, eg the Creative Commons License.</w:t>
      </w:r>
    </w:p>
    <w:p>
      <w:r>
        <w:t xml:space="preserve">A licence is just a permission to someone (“the licensee”) to do something for which they would need the permission of someone else (“the licensor”). It need not – and often is not – be a contract.</w:t>
      </w:r>
    </w:p>
    <w:p>
      <w:r>
        <w:t xml:space="preserve">For example: the postal worker who delivers our post walks up our driveway. If they did not have our permission to do so they would be a trespasser. The law implies a licence for lawful visitors to go to the front door of a house or building. This is clearly not a contract and could be revoked by telling a visitor to go away. The licence would not be implied where there was a clear notice forbidding entrance (eg “no hawkers”).</w:t>
      </w:r>
    </w:p>
    <w:p>
      <w:r>
        <w:t xml:space="preserve">In the context of copyright, a copyright licence gives permission to do one or more of the acts restricted by copyright (eg reproduction or communication to the public). A licence may have conditions attached. Breach of the conditions would withdraw the permission given by the licence. In many cases this would result in the licensee in breach of conditions of the licence infringing copyright.</w:t>
      </w:r>
    </w:p>
    <w:p>
      <w:r>
        <w:t xml:space="preserve">Licences may also be restricted in various ways, eg they may be</w:t>
      </w:r>
    </w:p>
    <w:p>
      <w:pPr>
        <w:numPr>
          <w:numId w:val="16"/>
          <w:ilvl w:val="0"/>
        </w:numPr>
      </w:pPr>
      <w:r>
        <w:t xml:space="preserve">exclusive or non-exclusive</w:t>
      </w:r>
    </w:p>
    <w:p>
      <w:pPr>
        <w:numPr>
          <w:numId w:val="16"/>
          <w:ilvl w:val="0"/>
        </w:numPr>
      </w:pPr>
      <w:r>
        <w:t xml:space="preserve">limited by jurisdiction (eg a UK licence)</w:t>
      </w:r>
    </w:p>
    <w:p>
      <w:pPr>
        <w:numPr>
          <w:numId w:val="16"/>
          <w:ilvl w:val="0"/>
        </w:numPr>
      </w:pPr>
      <w:r>
        <w:t xml:space="preserve">limited by time</w:t>
      </w:r>
    </w:p>
    <w:p>
      <w:pPr>
        <w:numPr>
          <w:numId w:val="16"/>
          <w:ilvl w:val="0"/>
        </w:numPr>
      </w:pPr>
      <w:r>
        <w:t xml:space="preserve">revocable in certain circumstances (or simply at the choice of the licensor)</w:t>
      </w:r>
    </w:p>
    <w:p>
      <w:pPr>
        <w:numPr>
          <w:numId w:val="16"/>
          <w:ilvl w:val="0"/>
        </w:numPr>
      </w:pPr>
      <w:r>
        <w:t xml:space="preserve">subject to the making of regular payments or payments calculated by some use made by the licensee (eg royalties)</w:t>
      </w:r>
    </w:p>
    <w:p>
      <w:r>
        <w:t xml:space="preserve">Hence a common bit of boilerplate one sees is:</w:t>
      </w:r>
    </w:p>
    <w:p>
      <w:r>
        <w:t xml:space="preserve">“a non-exclusive irrevocable, perpetual, royalty-free worldwide</w:t>
      </w:r>
      <w:r>
        <w:rPr>
          <w:rStyle w:val="FootnoteRef"/>
        </w:rPr>
        <w:footnoteReference w:id="53"/>
      </w:r>
      <w:r>
        <w:t xml:space="preserve"> </w:t>
      </w:r>
      <w:r>
        <w:t xml:space="preserve">licence …”</w:t>
      </w:r>
    </w:p>
    <w:bookmarkStart w:id="54" w:name="what-is-open"/>
    <w:p>
      <w:pPr>
        <w:pStyle w:val="Heading3"/>
      </w:pPr>
      <w:r>
        <w:t xml:space="preserve">What is “open”?</w:t>
      </w:r>
    </w:p>
    <w:bookmarkEnd w:id="54"/>
    <w:p>
      <w:r>
        <w:t xml:space="preserve">The word “open” is used (or mis-used) by different groups to mean different things. For the ODI and for the purposes of today’s talk, “open” follows the Open Definition:</w:t>
      </w:r>
    </w:p>
    <w:p>
      <w:pPr>
        <w:pStyle w:val="BlockQuote"/>
      </w:pPr>
      <w:r>
        <w:t xml:space="preserve">"A piece of data or content is open if anyone is free to use, reuse, and redistribute it — subject only, at most, to the requirement to attribute and/or share-alike.”</w:t>
      </w:r>
      <w:r>
        <w:rPr>
          <w:rStyle w:val="FootnoteRef"/>
        </w:rPr>
        <w:footnoteReference w:id="55"/>
      </w:r>
    </w:p>
    <w:bookmarkStart w:id="57" w:name="share-alike-viral-licensing"/>
    <w:p>
      <w:pPr>
        <w:pStyle w:val="Heading3"/>
      </w:pPr>
      <w:r>
        <w:t xml:space="preserve">Share-alike / viral licensing</w:t>
      </w:r>
    </w:p>
    <w:bookmarkEnd w:id="57"/>
    <w:p>
      <w:r>
        <w:t xml:space="preserve">One of the pioneers of open licensing was Richard Stallman, the founder of the GNU project.</w:t>
      </w:r>
      <w:r>
        <w:rPr>
          <w:rStyle w:val="FootnoteRef"/>
        </w:rPr>
        <w:footnoteReference w:id="58"/>
      </w:r>
      <w:r>
        <w:t xml:space="preserve"> </w:t>
      </w:r>
      <w:r>
        <w:t xml:space="preserve">For Stallman it was important that users of software had access to the source code so they could make their own modifications and alterations to it. Those changes might then be used to create better software for everyone, not just the person who made the modifications. The problem was if he simply released the source code into the public domain, then anyone making modifications could keep any changes to themselves and not contribute back to the general community.</w:t>
      </w:r>
    </w:p>
    <w:p>
      <w:r>
        <w:t xml:space="preserve">His solution was to create a licence that permitted others to use his software, along with the source code, but on condition that if they passed the software on to others – whether they sold it or not was irrelevant – they had to do make the source code available and do so under the same licence. The licence would then spread “virally” to all adaptations of the original.</w:t>
      </w:r>
    </w:p>
    <w:p>
      <w:r>
        <w:t xml:space="preserve">Stallman used the term “free software” for his product. Not that it was free to buy, but that it was free for others to use a re-use. “Free as in speech, not as in beer” is how he put it.</w:t>
      </w:r>
    </w:p>
    <w:bookmarkStart w:id="59" w:name="examples"/>
    <w:p>
      <w:pPr>
        <w:pStyle w:val="Heading4"/>
      </w:pPr>
      <w:r>
        <w:t xml:space="preserve">Examples:</w:t>
      </w:r>
    </w:p>
    <w:bookmarkEnd w:id="59"/>
    <w:p>
      <w:pPr>
        <w:numPr>
          <w:numId w:val="17"/>
          <w:ilvl w:val="0"/>
        </w:numPr>
      </w:pPr>
      <w:r>
        <w:t xml:space="preserve">GPL (GNU Public Licence) – open source software</w:t>
      </w:r>
    </w:p>
    <w:p>
      <w:pPr>
        <w:numPr>
          <w:numId w:val="17"/>
          <w:ilvl w:val="0"/>
        </w:numPr>
      </w:pPr>
      <w:r>
        <w:t xml:space="preserve">CC-BY-SA (Creative Commons Attribution Share-Alike) – for works of art, literature etc</w:t>
      </w:r>
    </w:p>
    <w:p>
      <w:pPr>
        <w:numPr>
          <w:numId w:val="17"/>
          <w:ilvl w:val="0"/>
        </w:numPr>
      </w:pPr>
      <w:r>
        <w:t xml:space="preserve">ODbL (Open Database License) – for collections of data</w:t>
      </w:r>
    </w:p>
    <w:p>
      <w:r>
        <w:t xml:space="preserve">There are many non-viral licences. For example:</w:t>
      </w:r>
    </w:p>
    <w:p>
      <w:pPr>
        <w:numPr>
          <w:numId w:val="18"/>
          <w:ilvl w:val="0"/>
        </w:numPr>
      </w:pPr>
      <w:r>
        <w:t xml:space="preserve">CC0</w:t>
      </w:r>
    </w:p>
    <w:p>
      <w:pPr>
        <w:numPr>
          <w:numId w:val="18"/>
          <w:ilvl w:val="0"/>
        </w:numPr>
      </w:pPr>
      <w:r>
        <w:t xml:space="preserve">CC-BY</w:t>
      </w:r>
    </w:p>
    <w:p>
      <w:pPr>
        <w:numPr>
          <w:numId w:val="18"/>
          <w:ilvl w:val="0"/>
        </w:numPr>
      </w:pPr>
      <w:r>
        <w:t xml:space="preserve">PPDL</w:t>
      </w:r>
    </w:p>
    <w:p>
      <w:pPr>
        <w:numPr>
          <w:numId w:val="18"/>
          <w:ilvl w:val="0"/>
        </w:numPr>
      </w:pPr>
      <w:r>
        <w:t xml:space="preserve">Open Government Licence</w:t>
      </w:r>
    </w:p>
    <w:bookmarkStart w:id="60" w:name="multiple-licences"/>
    <w:p>
      <w:pPr>
        <w:pStyle w:val="Heading3"/>
      </w:pPr>
      <w:r>
        <w:t xml:space="preserve">Multiple licences</w:t>
      </w:r>
    </w:p>
    <w:bookmarkEnd w:id="60"/>
    <w:p>
      <w:r>
        <w:t xml:space="preserve">Where a work is subject to more than one licence any user of that work will have to consider both licences and try to comply with any conditions they impose.</w:t>
      </w:r>
    </w:p>
    <w:p>
      <w:r>
        <w:t xml:space="preserve">For share-alike restrictions, the rule is usually that the same or a “compatible” licence is used on any derived work. If a number of works – or in the case of data, data sources – are mixed together then there is a danger of</w:t>
      </w:r>
      <w:r>
        <w:t xml:space="preserve"> </w:t>
      </w:r>
      <w:r>
        <w:rPr>
          <w:b/>
        </w:rPr>
        <w:t xml:space="preserve">licence incompatibility</w:t>
      </w:r>
      <w:r>
        <w:t xml:space="preserve">. This could make it difficult or impossible to mix together incompatibly licensed material.</w:t>
      </w:r>
    </w:p>
    <w:p>
      <w:r>
        <w:t xml:space="preserve">A useful tool (which I haven’t checked for legal accuracy) for discovering whether it is possible to mix licences can be found here at</w:t>
      </w:r>
      <w:r>
        <w:t xml:space="preserve"> </w:t>
      </w:r>
      <w:hyperlink r:id="rId61">
        <w:r>
          <w:rPr>
            <w:rStyle w:val="Link"/>
          </w:rPr>
          <w:t xml:space="preserve">http://clipol.org/tools/compatibility</w:t>
        </w:r>
      </w:hyperlink>
      <w:r>
        <w:t xml:space="preserve">. The ODI also makes available information about licence compatibility at</w:t>
      </w:r>
      <w:r>
        <w:t xml:space="preserve"> </w:t>
      </w:r>
      <w:hyperlink r:id="rId62">
        <w:r>
          <w:rPr>
            <w:rStyle w:val="Link"/>
          </w:rPr>
          <w:t xml:space="preserve">https://github.com/theodi/open-data-licensing/blob/master/guides/licence-compatibility.md</w:t>
        </w:r>
      </w:hyperlink>
    </w:p>
    <w:p>
      <w:r>
        <w:t xml:space="preserve">For that reason, writing your own open licence from scratch is a bad idea. It is unlikely to be compatible with other open data licences and will almost certainly create more problems than it solves.</w:t>
      </w:r>
    </w:p>
    <w:p>
      <w:r>
        <w:t xml:space="preserve">Rule 1 of open licensing</w:t>
      </w:r>
      <w:r>
        <w:br w:type="textWrapping"/>
      </w:r>
      <w:r>
        <w:t xml:space="preserve"> </w:t>
      </w:r>
      <w:r>
        <w:rPr>
          <w:b/>
        </w:rPr>
        <w:t xml:space="preserve">Never write your own open licence.</w:t>
      </w:r>
    </w:p>
    <w:bookmarkStart w:id="63" w:name="which-licence"/>
    <w:p>
      <w:pPr>
        <w:pStyle w:val="Heading2"/>
      </w:pPr>
      <w:r>
        <w:t xml:space="preserve">Which licence?</w:t>
      </w:r>
    </w:p>
    <w:bookmarkEnd w:id="63"/>
    <w:p>
      <w:r>
        <w:t xml:space="preserve">Remember that items of data may be protected by copyright. The whole collection of data may be protected by database copyright and database right. You may want to use a different licence for the contents of your database than for the database as a whole. You might even have to do that if the contents were licensed to you under specific open licences.</w:t>
      </w:r>
    </w:p>
    <w:p>
      <w:r>
        <w:t xml:space="preserve">Government – OGL (now in version 2.0</w:t>
      </w:r>
      <w:r>
        <w:rPr>
          <w:rStyle w:val="FootnoteRef"/>
        </w:rPr>
        <w:footnoteReference w:id="64"/>
      </w:r>
      <w:r>
        <w:t xml:space="preserve">)</w:t>
      </w:r>
    </w:p>
    <w:bookmarkStart w:id="65" w:name="pure-public-domain"/>
    <w:p>
      <w:pPr>
        <w:pStyle w:val="Heading3"/>
      </w:pPr>
      <w:r>
        <w:t xml:space="preserve">Pure public domain</w:t>
      </w:r>
    </w:p>
    <w:bookmarkEnd w:id="65"/>
    <w:p>
      <w:r>
        <w:t xml:space="preserve">Both CC0 and the PDDL are strong statements that attempt to give up all rights in the material licenced. Both cover the database right as well as database copyright.</w:t>
      </w:r>
    </w:p>
    <w:bookmarkStart w:id="66" w:name="creative-commons"/>
    <w:p>
      <w:pPr>
        <w:pStyle w:val="Heading2"/>
      </w:pPr>
      <w:r>
        <w:t xml:space="preserve">Creative Commons</w:t>
      </w:r>
    </w:p>
    <w:bookmarkEnd w:id="66"/>
    <w:p>
      <w:r>
        <w:t xml:space="preserve">Creative commons offers a number of options</w:t>
      </w:r>
    </w:p>
    <w:p>
      <w:pPr>
        <w:numPr>
          <w:numId w:val="19"/>
          <w:ilvl w:val="0"/>
        </w:numPr>
      </w:pPr>
      <w:r>
        <w:t xml:space="preserve">use restrictions: none, or non-commercial (NC)</w:t>
      </w:r>
    </w:p>
    <w:p>
      <w:pPr>
        <w:numPr>
          <w:numId w:val="19"/>
          <w:ilvl w:val="0"/>
        </w:numPr>
      </w:pPr>
      <w:r>
        <w:t xml:space="preserve">re-use restrictions: none, share-alike (SA) or no derivatives (ND)</w:t>
      </w:r>
    </w:p>
    <w:p>
      <w:r>
        <w:t xml:space="preserve">All options (other than CC0 above) require attribution (BY). Which results in 6 possible variants:</w:t>
      </w:r>
    </w:p>
    <w:p>
      <w:pPr>
        <w:numPr>
          <w:numId w:val="20"/>
          <w:ilvl w:val="0"/>
        </w:numPr>
      </w:pPr>
      <w:r>
        <w:t xml:space="preserve">BY</w:t>
      </w:r>
    </w:p>
    <w:p>
      <w:pPr>
        <w:numPr>
          <w:numId w:val="20"/>
          <w:ilvl w:val="0"/>
        </w:numPr>
      </w:pPr>
      <w:r>
        <w:t xml:space="preserve">BY-ND</w:t>
      </w:r>
    </w:p>
    <w:p>
      <w:pPr>
        <w:numPr>
          <w:numId w:val="20"/>
          <w:ilvl w:val="0"/>
        </w:numPr>
      </w:pPr>
      <w:r>
        <w:t xml:space="preserve">BY-SA</w:t>
      </w:r>
    </w:p>
    <w:p>
      <w:pPr>
        <w:numPr>
          <w:numId w:val="20"/>
          <w:ilvl w:val="0"/>
        </w:numPr>
      </w:pPr>
      <w:r>
        <w:t xml:space="preserve">BY-NC</w:t>
      </w:r>
    </w:p>
    <w:p>
      <w:pPr>
        <w:numPr>
          <w:numId w:val="20"/>
          <w:ilvl w:val="0"/>
        </w:numPr>
      </w:pPr>
      <w:r>
        <w:t xml:space="preserve">BY-NC-ND</w:t>
      </w:r>
    </w:p>
    <w:p>
      <w:pPr>
        <w:numPr>
          <w:numId w:val="20"/>
          <w:ilvl w:val="0"/>
        </w:numPr>
      </w:pPr>
      <w:r>
        <w:t xml:space="preserve">BY-NC-SA</w:t>
      </w:r>
    </w:p>
    <w:p>
      <w:r>
        <w:t xml:space="preserve">Both NC and ND are</w:t>
      </w:r>
      <w:r>
        <w:t xml:space="preserve"> </w:t>
      </w:r>
      <w:r>
        <w:rPr>
          <w:b/>
        </w:rPr>
        <w:t xml:space="preserve">not</w:t>
      </w:r>
      <w:r>
        <w:t xml:space="preserve"> </w:t>
      </w:r>
      <w:r>
        <w:t xml:space="preserve">open licence choices since they impose further restrictions on use. NC is particularly unhelpful because it is so unclear what counts as “commercial” use. Eg, does it apply to a website which is monetized by advertising? Thus only CC-BY and CC-BY-SA are “open” licences.</w:t>
      </w:r>
    </w:p>
    <w:p>
      <w:r>
        <w:t xml:space="preserve">Creative Commons have recently introduced version 4.0 of their licence suite,</w:t>
      </w:r>
      <w:r>
        <w:rPr>
          <w:rStyle w:val="FootnoteRef"/>
        </w:rPr>
        <w:footnoteReference w:id="67"/>
      </w:r>
      <w:r>
        <w:t xml:space="preserve"> </w:t>
      </w:r>
      <w:r>
        <w:t xml:space="preserve">which now covers the database right (and analogous rights in other jurisdictions) as well as copyright. A CC licence may be applied to any licensed work – so it may be applied simply to the structure of a database and not its contents (in much the same way as ODC licences) – but unless otherwise noted a CC licence applied to a database is likely to apply to both the contents and the (structure, collection etc of the) database.</w:t>
      </w:r>
    </w:p>
    <w:bookmarkStart w:id="69" w:name="open-data-commons21"/>
    <w:p>
      <w:pPr>
        <w:pStyle w:val="Heading3"/>
      </w:pPr>
      <w:r>
        <w:t xml:space="preserve">Open Data Commons</w:t>
      </w:r>
      <w:r>
        <w:rPr>
          <w:rStyle w:val="FootnoteRef"/>
        </w:rPr>
        <w:footnoteReference w:id="68"/>
      </w:r>
    </w:p>
    <w:bookmarkEnd w:id="69"/>
    <w:p>
      <w:r>
        <w:t xml:space="preserve">As well as the PDDL the ODC offers two database licences:</w:t>
      </w:r>
    </w:p>
    <w:p>
      <w:pPr>
        <w:numPr>
          <w:numId w:val="21"/>
          <w:ilvl w:val="0"/>
        </w:numPr>
      </w:pPr>
      <w:r>
        <w:t xml:space="preserve">ODC-By (attribution)</w:t>
      </w:r>
    </w:p>
    <w:p>
      <w:pPr>
        <w:numPr>
          <w:numId w:val="21"/>
          <w:ilvl w:val="0"/>
        </w:numPr>
      </w:pPr>
      <w:r>
        <w:t xml:space="preserve">ODC-ODbL (attribution and share-alike)</w:t>
      </w:r>
    </w:p>
    <w:p>
      <w:r>
        <w:t xml:space="preserve">These apply only to the database and not its contents. If the contents may contain copyrightable material, you should consider an open licence for the contents as well – eg CC-BY or CC-BY-SA.</w:t>
      </w:r>
    </w:p>
    <w:p>
      <w:r>
        <w:t xml:space="preserve">This means that both ODC-ODbL and CC-BY-SA v4.0 may be used for the share-alike licensing of a database.</w:t>
      </w:r>
    </w:p>
    <w:bookmarkStart w:id="70" w:name="creative-commons-v-open-data-commons"/>
    <w:p>
      <w:pPr>
        <w:pStyle w:val="Heading3"/>
      </w:pPr>
      <w:r>
        <w:t xml:space="preserve">Creative Commons v Open Data Commons?</w:t>
      </w:r>
    </w:p>
    <w:bookmarkEnd w:id="70"/>
    <w:p>
      <w:r>
        <w:t xml:space="preserve">CC and ODC’s share-alike licences (CC-BY-SA and ODC-ODbL) do not operate in precisely the same way.</w:t>
      </w:r>
    </w:p>
    <w:p>
      <w:r>
        <w:t xml:space="preserve">In principle, both try to impose a duty to share-alike (i.e. share under a suitable licence) any work derived from the licensed work, so that licensee are forced to share back into the commons the fruits of using the licensed work. But the two licences do so differently.</w:t>
      </w:r>
    </w:p>
    <w:p>
      <w:r>
        <w:t xml:space="preserve">ODC-ODbL, contemplates three different kinds of derived work: “derivative databases”, “collective databases” and “produced works”:</w:t>
      </w:r>
    </w:p>
    <w:p>
      <w:pPr>
        <w:numPr>
          <w:numId w:val="22"/>
          <w:ilvl w:val="0"/>
        </w:numPr>
      </w:pPr>
      <w:r>
        <w:t xml:space="preserve">a “derivative database” is just a new database based on the licensed database (eg by modifying, translating or otherwise adapting it)</w:t>
      </w:r>
    </w:p>
    <w:p>
      <w:pPr>
        <w:numPr>
          <w:numId w:val="22"/>
          <w:ilvl w:val="0"/>
        </w:numPr>
      </w:pPr>
      <w:r>
        <w:t xml:space="preserve">a “collective database” is a larger database containing the licensed database in unmodified form but combined with other independent databases</w:t>
      </w:r>
    </w:p>
    <w:p>
      <w:pPr>
        <w:numPr>
          <w:numId w:val="22"/>
          <w:ilvl w:val="0"/>
        </w:numPr>
      </w:pPr>
      <w:r>
        <w:t xml:space="preserve">a “produced work” is some other work (eg a report or info-graphic) derived from the licensed database (or a derivative database or collective database containing the licensed database).</w:t>
      </w:r>
    </w:p>
    <w:p>
      <w:r>
        <w:t xml:space="preserve">Publishing a “produced work” requires identification of the original licensed database  (as part of attribution). If the produced work was produced from a derivative database requires that a copy of the derivative database (or a practical machine-readable copy of the differences) is published.</w:t>
      </w:r>
    </w:p>
    <w:p>
      <w:r>
        <w:t xml:space="preserve">By contrast, CC relies on a concept it calls “adapted material”. Adapted material is restricted to material that would have required the licensor’s permission to create from the CC-licensed work. As already discussed, the database right does not restrict the production of non-database derived works (such as info-graphics) and so such things would not be “adapted material”. This means that no share-alike or attribution obligations attach to that material.</w:t>
      </w:r>
    </w:p>
    <w:p>
      <w:r>
        <w:t xml:space="preserve">In other words, ODC-ODBL takes a more aggressive approach to “share alike” than CC-BY-SA for non-database works derived from databases.</w:t>
      </w:r>
    </w:p>
    <w:bookmarkStart w:id="71" w:name="applying-a-licence"/>
    <w:p>
      <w:pPr>
        <w:pStyle w:val="Heading2"/>
      </w:pPr>
      <w:r>
        <w:t xml:space="preserve">Applying a licence</w:t>
      </w:r>
    </w:p>
    <w:bookmarkEnd w:id="71"/>
    <w:p>
      <w:r>
        <w:t xml:space="preserve">Applying a licence should be relatively straightforward. From an intellectual property point of view, you do not need to prove that someone using your material has agreed to a licence. Rather if they are using it, they would have to show that they had a licence.</w:t>
      </w:r>
    </w:p>
    <w:p>
      <w:r>
        <w:t xml:space="preserve">All that is needed is:</w:t>
      </w:r>
    </w:p>
    <w:p>
      <w:pPr>
        <w:numPr>
          <w:numId w:val="23"/>
          <w:ilvl w:val="0"/>
        </w:numPr>
      </w:pPr>
      <w:r>
        <w:t xml:space="preserve">reference to the licensing information in a clear place (eg the footer of a website)</w:t>
      </w:r>
    </w:p>
    <w:p>
      <w:pPr>
        <w:numPr>
          <w:numId w:val="23"/>
          <w:ilvl w:val="0"/>
        </w:numPr>
      </w:pPr>
      <w:r>
        <w:t xml:space="preserve">a clear statement of what is licensed and what (if anything) is not</w:t>
      </w:r>
    </w:p>
    <w:p>
      <w:r>
        <w:t xml:space="preserve">Both CC and ODC licences have clear instructions on how to apply their licences.</w:t>
      </w:r>
    </w:p>
    <w:bookmarkStart w:id="72" w:name="non-proprietary-protection"/>
    <w:p>
      <w:pPr>
        <w:pStyle w:val="Heading2"/>
      </w:pPr>
      <w:r>
        <w:t xml:space="preserve">Non-proprietary protection</w:t>
      </w:r>
    </w:p>
    <w:bookmarkEnd w:id="72"/>
    <w:p>
      <w:r>
        <w:t xml:space="preserve">Even where data is not “owned” or capable of ownership, the proprietor of a site making the data available may be able to make it difficult for others to use the data ways undesirable to the proprietor.</w:t>
      </w:r>
    </w:p>
    <w:bookmarkStart w:id="73" w:name="computer-misuse"/>
    <w:p>
      <w:pPr>
        <w:pStyle w:val="Heading3"/>
      </w:pPr>
      <w:r>
        <w:t xml:space="preserve">Computer Misuse</w:t>
      </w:r>
    </w:p>
    <w:bookmarkEnd w:id="73"/>
    <w:p>
      <w:r>
        <w:t xml:space="preserve">In the UK it is an offence</w:t>
      </w:r>
      <w:r>
        <w:rPr>
          <w:rStyle w:val="FootnoteRef"/>
        </w:rPr>
        <w:footnoteReference w:id="74"/>
      </w:r>
      <w:r>
        <w:t xml:space="preserve"> </w:t>
      </w:r>
      <w:r>
        <w:t xml:space="preserve">to access any computer in order to obtain access to data where:</w:t>
      </w:r>
    </w:p>
    <w:p>
      <w:pPr>
        <w:numPr>
          <w:numId w:val="24"/>
          <w:ilvl w:val="0"/>
        </w:numPr>
      </w:pPr>
      <w:r>
        <w:t xml:space="preserve">access to the data is unauthorised</w:t>
      </w:r>
    </w:p>
    <w:p>
      <w:pPr>
        <w:numPr>
          <w:numId w:val="24"/>
          <w:ilvl w:val="0"/>
        </w:numPr>
      </w:pPr>
      <w:r>
        <w:t xml:space="preserve">the offender knows that it is unauthorised</w:t>
      </w:r>
    </w:p>
    <w:p>
      <w:r>
        <w:t xml:space="preserve">This is particularly relevant to those involved in “scraping” data – that is automatically simulating the action of a web browser and extracting data from the web pages read. This might, in appropriate circumstances, extend to accessing a website intending to use the data there in a way not authorised by the website owner.</w:t>
      </w:r>
    </w:p>
    <w:p>
      <w:r>
        <w:t xml:space="preserve">The offence is moderately serious – leading to a maximum prison sentence of 2 years. It may also be committed at least partially across jurisdictional boundaries. Provided some part of the offence happens within the UK (eg if either the computer accessed, or the person attempting the access is UK based) then there is an offence within the UK.</w:t>
      </w:r>
    </w:p>
    <w:p>
      <w:r>
        <w:t xml:space="preserve">This has implications if you use data from an online data source without the permission of the data provider. It may also be a problem if data you are supplied withhas been obtained in that way. As a practical matter, if you run a business relying on data provided by someone else you should strongly consider negotiating licence terms with them so you have some confidence their data source will continue to exist or be provided in a particular way.</w:t>
      </w:r>
    </w:p>
    <w:p>
      <w:r>
        <w:t xml:space="preserve">The take away lesson for licensing of open data on a website or otherwise on the internet is that:</w:t>
      </w:r>
    </w:p>
    <w:p>
      <w:pPr>
        <w:numPr>
          <w:numId w:val="25"/>
          <w:ilvl w:val="0"/>
        </w:numPr>
      </w:pPr>
      <w:r>
        <w:t xml:space="preserve">your licence should be clear about what kind of access is allowed</w:t>
      </w:r>
    </w:p>
    <w:p>
      <w:pPr>
        <w:numPr>
          <w:numId w:val="25"/>
          <w:ilvl w:val="0"/>
        </w:numPr>
      </w:pPr>
      <w:r>
        <w:t xml:space="preserve">you can, in principle, prevent particular people using your data by expressly prohibiting it in your licence and making it clear that you consider any breach of those terms a criminal act.</w:t>
      </w:r>
    </w:p>
    <w:bookmarkStart w:id="77" w:name="other-use-restrictions"/>
    <w:p>
      <w:pPr>
        <w:pStyle w:val="Heading3"/>
      </w:pPr>
      <w:r>
        <w:t xml:space="preserve">Other use restrictions</w:t>
      </w:r>
    </w:p>
    <w:bookmarkEnd w:id="77"/>
    <w:p>
      <w:r>
        <w:t xml:space="preserve">The most significant other situation in which a restriction on use may affect the lawfulness of open data is where doing so is in breach of contract. Eg where someone signs up to terms and conditions on a website and then downloads data to use in a way forbidden by those terms and conditions.</w:t>
      </w:r>
    </w:p>
    <w:p>
      <w:r>
        <w:t xml:space="preserve">That would be a breach of contract for which the website owner could sue. They might also be able to obtain an injunction (that is, a court order) to prevent the user from breaching the conditions of the contract.</w:t>
      </w:r>
    </w:p>
    <w:bookmarkStart w:id="78" w:name="liability-for-data"/>
    <w:p>
      <w:pPr>
        <w:pStyle w:val="Heading2"/>
      </w:pPr>
      <w:r>
        <w:t xml:space="preserve">Liability for data</w:t>
      </w:r>
    </w:p>
    <w:bookmarkEnd w:id="78"/>
    <w:p>
      <w:r>
        <w:t xml:space="preserve">Some forms of open data may create liability for the publisher. The subject of liability for online content is too broad to be covered in this course. It is possible, for example, for an open data set to contain information that amounts to a defamatory statement and thus risk defamation liability, itself a highly complex subject. Situations of that kind ought to be rare.</w:t>
      </w:r>
    </w:p>
    <w:bookmarkStart w:id="79" w:name="personal-data-protection"/>
    <w:p>
      <w:pPr>
        <w:pStyle w:val="Heading3"/>
      </w:pPr>
      <w:r>
        <w:t xml:space="preserve">Personal Data protection</w:t>
      </w:r>
    </w:p>
    <w:bookmarkEnd w:id="79"/>
    <w:p>
      <w:r>
        <w:t xml:space="preserve">Open data may also be personal data. Personal data protection law is mostly harmonised across the EU by the Data Protection Directive.</w:t>
      </w:r>
      <w:r>
        <w:rPr>
          <w:rStyle w:val="FootnoteRef"/>
        </w:rPr>
        <w:footnoteReference w:id="80"/>
      </w:r>
      <w:r>
        <w:t xml:space="preserve"> </w:t>
      </w:r>
      <w:r>
        <w:t xml:space="preserve">In the UK personal data is governed by the Data Protection Act 1998. In the directive, “personal data” is defined as:</w:t>
      </w:r>
    </w:p>
    <w:p>
      <w:r>
        <w:t xml:space="preserve">“any information relating to an identified or identifiable natural person”</w:t>
      </w:r>
    </w:p>
    <w:p>
      <w:r>
        <w:t xml:space="preserve">“an identifiable person is one who can be identified, directly or indirectly, in particular by reference to an identification number or to one or more factors specific to his physical, physiological, mental, economic, cultural or social identity”</w:t>
      </w:r>
    </w:p>
    <w:p>
      <w:r>
        <w:t xml:space="preserve">This means the following are likely to be personal data:</w:t>
      </w:r>
    </w:p>
    <w:p>
      <w:pPr>
        <w:numPr>
          <w:numId w:val="26"/>
          <w:ilvl w:val="0"/>
        </w:numPr>
      </w:pPr>
      <w:r>
        <w:t xml:space="preserve">email addresses</w:t>
      </w:r>
    </w:p>
    <w:p>
      <w:pPr>
        <w:numPr>
          <w:numId w:val="26"/>
          <w:ilvl w:val="0"/>
        </w:numPr>
      </w:pPr>
      <w:r>
        <w:t xml:space="preserve">patient data with the patient’s name removed</w:t>
      </w:r>
    </w:p>
    <w:p>
      <w:pPr>
        <w:numPr>
          <w:numId w:val="26"/>
          <w:ilvl w:val="0"/>
        </w:numPr>
      </w:pPr>
      <w:r>
        <w:t xml:space="preserve">chatty blog posts saying things like “I met my friend Pete today”</w:t>
      </w:r>
    </w:p>
    <w:p>
      <w:r>
        <w:t xml:space="preserve">Personal data law is too complex to deal with in a morning’s talk. There is considerable guidance on the Information Commissioner’s website (possibly too much) and elsewhere. The take-away for open data is that:</w:t>
      </w:r>
    </w:p>
    <w:p>
      <w:pPr>
        <w:numPr>
          <w:numId w:val="27"/>
          <w:ilvl w:val="0"/>
        </w:numPr>
      </w:pPr>
      <w:r>
        <w:t xml:space="preserve">processing personal data requires the satisfying of numerous legal requirements contained in the Data Protection Act 1998</w:t>
      </w:r>
    </w:p>
    <w:p>
      <w:pPr>
        <w:numPr>
          <w:numId w:val="27"/>
          <w:ilvl w:val="0"/>
        </w:numPr>
      </w:pPr>
      <w:r>
        <w:t xml:space="preserve">many of these can be avoided with the</w:t>
      </w:r>
      <w:r>
        <w:t xml:space="preserve"> </w:t>
      </w:r>
      <w:r>
        <w:rPr>
          <w:b/>
        </w:rPr>
        <w:t xml:space="preserve">informed</w:t>
      </w:r>
      <w:r>
        <w:t xml:space="preserve"> </w:t>
      </w:r>
      <w:r>
        <w:t xml:space="preserve">consent of the data subject</w:t>
      </w:r>
    </w:p>
    <w:p>
      <w:pPr>
        <w:numPr>
          <w:numId w:val="27"/>
          <w:ilvl w:val="0"/>
        </w:numPr>
      </w:pPr>
      <w:r>
        <w:t xml:space="preserve">suitably anonymising data – which may also require aggregation –  will prevent it being personal data</w:t>
      </w:r>
    </w:p>
    <w:p>
      <w:r>
        <w:t xml:space="preserve">Removing personal identifiers is not usually enough, because the natural person may still be identifiable. For example removing a patient’s name from patient records but leaving an identification number that could be used to identify them would not prevent the data from being personal data. In practice anonymisation will usually require some form of aggregation of information or some other way to remove any practical possibility of “re-identifying” the data subject.</w:t>
      </w:r>
    </w:p>
    <w:p>
      <w:r>
        <w:t xml:space="preserve">The Information Commissioner publishes a code of practice on anonymisation.</w:t>
      </w:r>
      <w:r>
        <w:rPr>
          <w:rStyle w:val="FootnoteRef"/>
        </w:rPr>
        <w:footnoteReference w:id="82"/>
      </w:r>
      <w:r>
        <w:t xml:space="preserve"> </w:t>
      </w:r>
      <w:r>
        <w:t xml:space="preserve">An Open Data Institute sponsored initiative the “UK Anonymisation Network”</w:t>
      </w:r>
      <w:r>
        <w:rPr>
          <w:rStyle w:val="FootnoteRef"/>
        </w:rPr>
        <w:footnoteReference w:id="83"/>
      </w:r>
      <w:r>
        <w:t xml:space="preserve"> </w:t>
      </w:r>
      <w:r>
        <w:t xml:space="preserve">can give advice on anonymisation.</w:t>
      </w:r>
    </w:p>
    <w:p>
      <w:r>
        <w:t xml:space="preserve">Take away for licensing: in most cases ensure that your data does not contain personal data or that it is properly anonymised.</w:t>
      </w:r>
    </w:p>
    <w:bookmarkStart w:id="84" w:name="accuracy-of-data"/>
    <w:p>
      <w:pPr>
        <w:pStyle w:val="Heading3"/>
      </w:pPr>
      <w:r>
        <w:t xml:space="preserve">Accuracy of data</w:t>
      </w:r>
    </w:p>
    <w:bookmarkEnd w:id="84"/>
    <w:p>
      <w:r>
        <w:t xml:space="preserve">Delegates to this course have expressed concern about their liability for publishing inaccurate data. If the data is supplied under a contract – for example where there is a paid-for API – then there may be a risk of liability if the contract does not properly make clear the problems that there may be with data quality. A clearly worded statement together with a disclaimer of liability should be sufficient.</w:t>
      </w:r>
    </w:p>
    <w:p>
      <w:r>
        <w:t xml:space="preserve">It is also possible to be liable for inaccuracies in information under the common law tort of “negligent misstatement”. If an inaccurate statement is made such that:</w:t>
      </w:r>
    </w:p>
    <w:p>
      <w:pPr>
        <w:numPr>
          <w:numId w:val="28"/>
          <w:ilvl w:val="0"/>
        </w:numPr>
      </w:pPr>
      <w:r>
        <w:t xml:space="preserve">someone – the recipient – relies on that statement for some particular purpose</w:t>
      </w:r>
    </w:p>
    <w:p>
      <w:pPr>
        <w:numPr>
          <w:numId w:val="28"/>
          <w:ilvl w:val="0"/>
        </w:numPr>
      </w:pPr>
      <w:r>
        <w:t xml:space="preserve">it was reasonable for them to rely on the statement for that purpose</w:t>
      </w:r>
    </w:p>
    <w:p>
      <w:pPr>
        <w:numPr>
          <w:numId w:val="28"/>
          <w:ilvl w:val="0"/>
        </w:numPr>
      </w:pPr>
      <w:r>
        <w:t xml:space="preserve">the maker of the statement intended the recipient to rely on the statement in that way</w:t>
      </w:r>
    </w:p>
    <w:p>
      <w:pPr>
        <w:numPr>
          <w:numId w:val="28"/>
          <w:ilvl w:val="0"/>
        </w:numPr>
      </w:pPr>
      <w:r>
        <w:t xml:space="preserve">the recipient suffers economic loss as a result of their reliance on the statement</w:t>
      </w:r>
    </w:p>
    <w:p>
      <w:r>
        <w:t xml:space="preserve">Then the maker of the statement</w:t>
      </w:r>
      <w:r>
        <w:t xml:space="preserve"> </w:t>
      </w:r>
      <w:r>
        <w:rPr>
          <w:b/>
        </w:rPr>
        <w:t xml:space="preserve">may</w:t>
      </w:r>
      <w:r>
        <w:t xml:space="preserve"> </w:t>
      </w:r>
      <w:r>
        <w:t xml:space="preserve">be liable for the recipient’s loss. The list of criteria is fairly tough. The courts will generally not think that it is fair to impose a liability unless the relationship of the parties is fairly close. In most of the reported cases the maker of the statement is found not to be liable.</w:t>
      </w:r>
    </w:p>
    <w:p>
      <w:r>
        <w:t xml:space="preserve">For example, although auditors of a company’s accounts may owe limited duties of care to the shareholders, they do not owe that duty to third-party investors who may be misled into investing as a result of an inaccurate statement.</w:t>
      </w:r>
      <w:r>
        <w:rPr>
          <w:rStyle w:val="FootnoteRef"/>
        </w:rPr>
        <w:footnoteReference w:id="85"/>
      </w:r>
    </w:p>
    <w:p>
      <w:r>
        <w:t xml:space="preserve">My view is that this is an unlikely form of liability to occur, but it may be avoided by attacking the “reasonable reliance” criterion. When publishing data that may contain inaccuracies (the almost invariable rule) a warning that the data may contain inaccuracies etc in much the same way as a disclaimer in a contract described above, should make it very unlikely for liability to be found.</w:t>
      </w:r>
    </w:p>
    <w:bookmarkStart w:id="86" w:name="jurisdiction-and-sources-of-law"/>
    <w:p>
      <w:pPr>
        <w:pStyle w:val="Heading2"/>
      </w:pPr>
      <w:r>
        <w:t xml:space="preserve">Jurisdiction and sources of law</w:t>
      </w:r>
    </w:p>
    <w:bookmarkEnd w:id="86"/>
    <w:p>
      <w:r>
        <w:t xml:space="preserve">Some So this section offers some very brief notes on the point. Readers who are already familiar with the law in general (including lawyers) should jump to the next section.</w:t>
      </w:r>
    </w:p>
    <w:bookmarkStart w:id="87" w:name="jurisdiction"/>
    <w:p>
      <w:pPr>
        <w:pStyle w:val="Heading3"/>
      </w:pPr>
      <w:r>
        <w:t xml:space="preserve">Jurisdiction</w:t>
      </w:r>
    </w:p>
    <w:bookmarkEnd w:id="87"/>
    <w:p>
      <w:r>
        <w:t xml:space="preserve">The legal world is, broadly speaking, divided into “jurisdictions”. In each jurisdiction the law is different and interpreted by different sets of courts. In the UK the jurisdictions are:</w:t>
      </w:r>
    </w:p>
    <w:p>
      <w:pPr>
        <w:numPr>
          <w:numId w:val="29"/>
          <w:ilvl w:val="0"/>
        </w:numPr>
      </w:pPr>
      <w:r>
        <w:t xml:space="preserve">England and Wales</w:t>
      </w:r>
    </w:p>
    <w:p>
      <w:pPr>
        <w:numPr>
          <w:numId w:val="29"/>
          <w:ilvl w:val="0"/>
        </w:numPr>
      </w:pPr>
      <w:r>
        <w:t xml:space="preserve">Scotland</w:t>
      </w:r>
    </w:p>
    <w:p>
      <w:pPr>
        <w:numPr>
          <w:numId w:val="29"/>
          <w:ilvl w:val="0"/>
        </w:numPr>
      </w:pPr>
      <w:r>
        <w:t xml:space="preserve">Northern Ireland</w:t>
      </w:r>
    </w:p>
    <w:p>
      <w:r>
        <w:t xml:space="preserve">Scots law is much less like the law of the rest of the UK, but it still has a great deal in common with English law.</w:t>
      </w:r>
    </w:p>
    <w:p>
      <w:r>
        <w:t xml:space="preserve">Some legislation in the UK is UK-wide: for example copyright and immigration law. Other legislation is specific to only parts of the UK (eg Scotland and England and Wales share the same employment law).</w:t>
      </w:r>
    </w:p>
    <w:p>
      <w:r>
        <w:t xml:space="preserve">Some countries contain a single jurisdiction – eg France. In other countries quite the reverse is true. The UK, with 3, is an example. Another is the United States where there are 51 different jurisdictions (one per state plus the District of Columbia).</w:t>
      </w:r>
    </w:p>
    <w:p>
      <w:r>
        <w:t xml:space="preserve">In the UK there is also an overlapping jurisdiction, that of the European Union. Where EU law and UK law conflict, EU law takes precedence. This has similarities with Federal law in the US which is overlaps (and overrides) state law.</w:t>
      </w:r>
    </w:p>
    <w:bookmarkStart w:id="88" w:name="sources-of-law"/>
    <w:p>
      <w:pPr>
        <w:pStyle w:val="Heading3"/>
      </w:pPr>
      <w:r>
        <w:t xml:space="preserve">Sources of Law</w:t>
      </w:r>
    </w:p>
    <w:bookmarkEnd w:id="88"/>
    <w:p>
      <w:r>
        <w:t xml:space="preserve">Law consists mostly of a combination of two things.</w:t>
      </w:r>
    </w:p>
    <w:p>
      <w:r>
        <w:t xml:space="preserve">First written statements of the law by legislators. In the UK these include Acts of Parliament (also known as “statutes”) as well as a motley collection of what is known as “secondary” legislation with titles such as regulations, rules, orders and so on. Most (but not all) forms of secondary legislation are made in a standard form known as a “statutory instrument” which requires unique numbering and publication.</w:t>
      </w:r>
    </w:p>
    <w:p>
      <w:r>
        <w:t xml:space="preserve">In Scotland the Scottish Parliament can also make its own “Acts of the Scottish Parliament”.</w:t>
      </w:r>
    </w:p>
    <w:p>
      <w:r>
        <w:t xml:space="preserve">The other significant component of law is the interpretation of the law by the courts.</w:t>
      </w:r>
      <w:r>
        <w:rPr>
          <w:rStyle w:val="FootnoteRef"/>
        </w:rPr>
        <w:footnoteReference w:id="89"/>
      </w:r>
      <w:r>
        <w:t xml:space="preserve"> </w:t>
      </w:r>
      <w:r>
        <w:t xml:space="preserve">In the UK a great deal of law was once made entirely by the courts working from various first principles and without any legislation to go on. For example the law of breach of confidence was entirely made up by the courts of England and Wales without help from any legislators. On the other hand, copyright and database rights are entirely based in legislation, though they have been subsequently interpreted by the courts in some cases in great detail.</w:t>
      </w:r>
    </w:p>
    <w:p>
      <w:r>
        <w:t xml:space="preserve">A substantial amount of the law relating to databases is part of European law. For our purposes, European law (the law of the European Union) consists primarily of three forms of legislation: the treaties setting up the EU, regulations and directives. In theory regulations are laws that apply directly in member states and directives are laws that need to be “transposed” into the law of a member state. The idea being that a directive will set out a template for the law, but some detail will be left to the legislators in each member state to fill in.</w:t>
      </w:r>
    </w:p>
    <w:p>
      <w:r>
        <w:t xml:space="preserve">For example, the Database Directive</w:t>
      </w:r>
      <w:r>
        <w:rPr>
          <w:rStyle w:val="FootnoteRef"/>
        </w:rPr>
        <w:footnoteReference w:id="90"/>
      </w:r>
      <w:r>
        <w:t xml:space="preserve"> </w:t>
      </w:r>
      <w:r>
        <w:t xml:space="preserve">was transposed into UK law by the Copyright and Rights in Databases Regulations 1997.</w:t>
      </w:r>
      <w:r>
        <w:rPr>
          <w:rStyle w:val="FootnoteRef"/>
        </w:rPr>
        <w:footnoteReference w:id="92"/>
      </w:r>
    </w:p>
    <w:bookmarkStart w:id="93" w:name="precedent"/>
    <w:p>
      <w:pPr>
        <w:pStyle w:val="Heading3"/>
      </w:pPr>
      <w:r>
        <w:t xml:space="preserve">Precedent</w:t>
      </w:r>
    </w:p>
    <w:bookmarkEnd w:id="93"/>
    <w:p>
      <w:r>
        <w:t xml:space="preserve">In the UK, courts adopt a system known as “precedent”. This arranges the courts into a hierarchy. If a court higher up the hierarchy makes a decision about a point of law, courts lower in the hierarchy are bound by that decision and cannot depart from it. Courts at the same level will usually follow earlier decisions of courts at their level (though the law on whether they have to do so is extremely complex and not easy to describe in a short series of notes).</w:t>
      </w:r>
    </w:p>
    <w:p>
      <w:r>
        <w:t xml:space="preserve">In England and Wales the hierarchy is:</w:t>
      </w:r>
    </w:p>
    <w:p>
      <w:pPr>
        <w:numPr>
          <w:numId w:val="30"/>
          <w:ilvl w:val="0"/>
        </w:numPr>
      </w:pPr>
      <w:r>
        <w:t xml:space="preserve">The Supreme Court (formerly the House of Lords)</w:t>
      </w:r>
    </w:p>
    <w:p>
      <w:pPr>
        <w:numPr>
          <w:numId w:val="30"/>
          <w:ilvl w:val="0"/>
        </w:numPr>
      </w:pPr>
      <w:r>
        <w:t xml:space="preserve">The Court of Appeal</w:t>
      </w:r>
    </w:p>
    <w:p>
      <w:pPr>
        <w:numPr>
          <w:numId w:val="30"/>
          <w:ilvl w:val="0"/>
        </w:numPr>
      </w:pPr>
      <w:r>
        <w:t xml:space="preserve">The High Court (and some superior tribunals)</w:t>
      </w:r>
    </w:p>
    <w:p>
      <w:r>
        <w:t xml:space="preserve">Below the high court are various other courts (magistrates’ courts and county courts) which are not sufficiently important to set precedents at all.</w:t>
      </w:r>
    </w:p>
    <w:p>
      <w:r>
        <w:t xml:space="preserve">Courts will still take seriously decisions made by other courts which they respect.</w:t>
      </w:r>
    </w:p>
    <w:bookmarkStart w:id="94" w:name="the-european-court-of-justice"/>
    <w:p>
      <w:pPr>
        <w:pStyle w:val="Heading3"/>
      </w:pPr>
      <w:r>
        <w:t xml:space="preserve">The European Court of Justice</w:t>
      </w:r>
    </w:p>
    <w:bookmarkEnd w:id="94"/>
    <w:p>
      <w:r>
        <w:t xml:space="preserve">The European Court of Justice (ECJ or sometimes now CJEU for Court of Justice of the European Union) has an unusual role. Although it can and does adjudicate disputes between member states and individuals with the EU, but its most significant role is in answering questions referred to it by courts in the Member States.</w:t>
      </w:r>
    </w:p>
    <w:p>
      <w:r>
        <w:t xml:space="preserve">For example, in the</w:t>
      </w:r>
      <w:r>
        <w:t xml:space="preserve"> </w:t>
      </w:r>
      <w:r>
        <w:rPr>
          <w:i/>
        </w:rPr>
        <w:t xml:space="preserve">Fixtures Marketing</w:t>
      </w:r>
      <w:r>
        <w:t xml:space="preserve"> </w:t>
      </w:r>
      <w:r>
        <w:t xml:space="preserve">case (see below), a court in Athens asked the ECJ three questions about the database right. The ECJ answered them and left the final decision on the case to the court in Athens.</w:t>
      </w:r>
    </w:p>
    <w:p>
      <w:r>
        <w:t xml:space="preserve">The ECJ is often asked to decide questions that depend on the particular facts of the case and it routinely makes clear that it is up to the national court to make those decisions. All the ECJ does is to clarify points of EU law that are referred to it.</w:t>
      </w:r>
    </w:p>
    <w:p>
      <w:r>
        <w:t xml:space="preserve">The ECJ’s decisions on EU law bind all courts in the Member States. It does not consider itself bound by its own previous decisions but it would be unusual for it to depart from a clear line of case law it had established.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Response Ltd v Datateam Business Media Ltd</w:t>
      </w:r>
      <w:r>
        <w:t xml:space="preserve"> </w:t>
      </w:r>
      <w:hyperlink r:id="rId24">
        <w:r>
          <w:rPr>
            <w:rStyle w:val="Link"/>
          </w:rPr>
          <w:t xml:space="preserve">[2014] EWCA Civ 281</w:t>
        </w:r>
      </w:hyperlink>
    </w:p>
  </w:footnote>
  <w:footnote w:id="28">
    <w:p>
      <w:pPr>
        <w:pStyle w:val="FootnoteText"/>
      </w:pPr>
      <w:r>
        <w:rPr>
          <w:rStyle w:val="FootnoteRef"/>
        </w:rPr>
        <w:footnoteRef/>
      </w:r>
      <w:r>
        <w:t xml:space="preserve">Some English courts seem to have been slow to catch up with this and you will still find decisions talking about “originality”. There are some subtleties here – particularly for photographs and images – but for our purposes we can treat the only criterion that applies as “own intellectual creation”.</w:t>
      </w:r>
    </w:p>
  </w:footnote>
  <w:footnote w:id="30">
    <w:p>
      <w:pPr>
        <w:pStyle w:val="FootnoteText"/>
      </w:pPr>
      <w:r>
        <w:rPr>
          <w:rStyle w:val="FootnoteRef"/>
        </w:rPr>
        <w:footnoteRef/>
      </w:r>
      <w:r>
        <w:t xml:space="preserve">In the US, registration of copyright is optional, if a work that has been registered is infringed, the owner may be able to obtain a much higher award of damages for the infringement.</w:t>
      </w:r>
    </w:p>
  </w:footnote>
  <w:footnote w:id="34">
    <w:p>
      <w:pPr>
        <w:pStyle w:val="FootnoteText"/>
      </w:pPr>
      <w:r>
        <w:rPr>
          <w:rStyle w:val="FootnoteRef"/>
        </w:rPr>
        <w:footnoteRef/>
      </w:r>
      <w:r>
        <w:t xml:space="preserve">C-444/02 (European Court of Justice)</w:t>
      </w:r>
    </w:p>
  </w:footnote>
  <w:footnote w:id="36">
    <w:p>
      <w:pPr>
        <w:pStyle w:val="FootnoteText"/>
      </w:pPr>
      <w:r>
        <w:rPr>
          <w:rStyle w:val="FootnoteRef"/>
        </w:rPr>
        <w:footnoteRef/>
      </w:r>
      <w:r>
        <w:t xml:space="preserve">[2013] EWCA Civ 27, followed in</w:t>
      </w:r>
      <w:r>
        <w:t xml:space="preserve"> </w:t>
      </w:r>
      <w:r>
        <w:rPr>
          <w:i/>
        </w:rPr>
        <w:t xml:space="preserve">Calor v Flogas</w:t>
      </w:r>
      <w:r>
        <w:t xml:space="preserve"> </w:t>
      </w:r>
      <w:r>
        <w:t xml:space="preserve">[2013] EWHC 3060 (Ch) where even the parts of Calor’s customer database that were created anew by Calor were thought to be protected</w:t>
      </w:r>
    </w:p>
  </w:footnote>
  <w:footnote w:id="39">
    <w:p>
      <w:pPr>
        <w:pStyle w:val="FootnoteText"/>
      </w:pPr>
      <w:r>
        <w:rPr>
          <w:rStyle w:val="FootnoteRef"/>
        </w:rPr>
        <w:footnoteRef/>
      </w:r>
      <w:r>
        <w:t xml:space="preserve">Indeed publicly created data might even be subject to the database right of the public body that is curating it, see http://www.techdirt.com/articles/20130211/08050521945/europes-database-right-could-throttle-open-data-moves-there.shtml</w:t>
      </w:r>
    </w:p>
  </w:footnote>
  <w:footnote w:id="41">
    <w:p>
      <w:pPr>
        <w:pStyle w:val="FootnoteText"/>
      </w:pPr>
      <w:r>
        <w:rPr>
          <w:rStyle w:val="FootnoteRef"/>
        </w:rPr>
        <w:footnoteRef/>
      </w:r>
      <w:r>
        <w:t xml:space="preserve">Article 7(5)</w:t>
      </w:r>
    </w:p>
  </w:footnote>
  <w:footnote w:id="42">
    <w:p>
      <w:pPr>
        <w:pStyle w:val="FootnoteText"/>
      </w:pPr>
      <w:r>
        <w:rPr>
          <w:rStyle w:val="FootnoteRef"/>
        </w:rPr>
        <w:footnoteRef/>
      </w:r>
      <w:r>
        <w:t xml:space="preserve">Directmedia Publishing v Albert-Ludwigs-Universität Freiburg C-304/07</w:t>
      </w:r>
    </w:p>
  </w:footnote>
  <w:footnote w:id="43">
    <w:p>
      <w:pPr>
        <w:pStyle w:val="FootnoteText"/>
      </w:pPr>
      <w:r>
        <w:rPr>
          <w:rStyle w:val="FootnoteRef"/>
        </w:rPr>
        <w:footnoteRef/>
      </w:r>
      <w:r>
        <w:t xml:space="preserve">Innoweb v Wegener ICT Media BV C-202/12</w:t>
      </w:r>
    </w:p>
  </w:footnote>
  <w:footnote w:id="48">
    <w:p>
      <w:pPr>
        <w:pStyle w:val="FootnoteText"/>
      </w:pPr>
      <w:r>
        <w:rPr>
          <w:rStyle w:val="FootnoteRef"/>
        </w:rPr>
        <w:footnoteRef/>
      </w:r>
      <w:r>
        <w:t xml:space="preserve">International News Service v. Associated Press, 248 U.S. 215 (1918)</w:t>
      </w:r>
    </w:p>
  </w:footnote>
  <w:footnote w:id="49">
    <w:p>
      <w:pPr>
        <w:pStyle w:val="FootnoteText"/>
      </w:pPr>
      <w:r>
        <w:rPr>
          <w:rStyle w:val="FootnoteRef"/>
        </w:rPr>
        <w:footnoteRef/>
      </w:r>
      <w:r>
        <w:t xml:space="preserve">EFF: The "Hot News" Doctrine After Fly On the Wall: Surviving, But On Life Support (at https://www.eff.org/deeplinks/2011/06/hot-news-doctrine-surviving-life-support)</w:t>
      </w:r>
    </w:p>
  </w:footnote>
  <w:footnote w:id="53">
    <w:p>
      <w:pPr>
        <w:pStyle w:val="FootnoteText"/>
      </w:pPr>
      <w:r>
        <w:rPr>
          <w:rStyle w:val="FootnoteRef"/>
        </w:rPr>
        <w:footnoteRef/>
      </w:r>
      <w:r>
        <w:t xml:space="preserve">We are beginning to see (rightly in my view) the adoption of a practice long existing in Hollywood which is to spell out that the licence extends beyond planet Earth.</w:t>
      </w:r>
    </w:p>
  </w:footnote>
  <w:footnote w:id="55">
    <w:p>
      <w:pPr>
        <w:pStyle w:val="FootnoteText"/>
      </w:pPr>
      <w:r>
        <w:rPr>
          <w:rStyle w:val="FootnoteRef"/>
        </w:rPr>
        <w:footnoteRef/>
      </w:r>
      <w:r>
        <w:t xml:space="preserve">See</w:t>
      </w:r>
      <w:r>
        <w:t xml:space="preserve"> </w:t>
      </w:r>
      <w:hyperlink r:id="rId56">
        <w:r>
          <w:rPr>
            <w:rStyle w:val="Link"/>
          </w:rPr>
          <w:t xml:space="preserve">http://opendefinition.org/</w:t>
        </w:r>
      </w:hyperlink>
      <w:r>
        <w:t xml:space="preserve"> </w:t>
      </w:r>
      <w:r>
        <w:t xml:space="preserve">The Open Definition is curated by the Open Knowledge Foundation (OKF). I declare an interest in that I frequently act for the OKF.</w:t>
      </w:r>
    </w:p>
  </w:footnote>
  <w:footnote w:id="58">
    <w:p>
      <w:pPr>
        <w:pStyle w:val="FootnoteText"/>
      </w:pPr>
      <w:r>
        <w:rPr>
          <w:rStyle w:val="FootnoteRef"/>
        </w:rPr>
        <w:footnoteRef/>
      </w:r>
      <w:r>
        <w:t xml:space="preserve">GNU is a recursive acronym for Gnu’s Not Unix. This is a computer science joke.</w:t>
      </w:r>
    </w:p>
  </w:footnote>
  <w:footnote w:id="64">
    <w:p>
      <w:pPr>
        <w:pStyle w:val="FootnoteText"/>
      </w:pPr>
      <w:r>
        <w:rPr>
          <w:rStyle w:val="FootnoteRef"/>
        </w:rPr>
        <w:footnoteRef/>
      </w:r>
      <w:r>
        <w:t xml:space="preserve">See https://www.nationalarchives.gov.uk/doc/open-government-licence/version/2/</w:t>
      </w:r>
    </w:p>
  </w:footnote>
  <w:footnote w:id="67">
    <w:p>
      <w:pPr>
        <w:pStyle w:val="FootnoteText"/>
      </w:pPr>
      <w:r>
        <w:rPr>
          <w:rStyle w:val="FootnoteRef"/>
        </w:rPr>
        <w:footnoteRef/>
      </w:r>
      <w:r>
        <w:t xml:space="preserve">http://creativecommons.org/</w:t>
      </w:r>
    </w:p>
  </w:footnote>
  <w:footnote w:id="68">
    <w:p>
      <w:pPr>
        <w:pStyle w:val="FootnoteText"/>
      </w:pPr>
      <w:r>
        <w:rPr>
          <w:rStyle w:val="FootnoteRef"/>
        </w:rPr>
        <w:footnoteRef/>
      </w:r>
      <w:r>
        <w:t xml:space="preserve">Part of the OKF</w:t>
      </w:r>
    </w:p>
  </w:footnote>
  <w:footnote w:id="74">
    <w:p>
      <w:pPr>
        <w:pStyle w:val="FootnoteText"/>
      </w:pPr>
      <w:r>
        <w:rPr>
          <w:rStyle w:val="FootnoteRef"/>
        </w:rPr>
        <w:footnoteRef/>
      </w:r>
      <w:hyperlink r:id="rId75">
        <w:r>
          <w:rPr>
            <w:rStyle w:val="Link"/>
          </w:rPr>
          <w:t xml:space="preserve">Section 1</w:t>
        </w:r>
      </w:hyperlink>
      <w:r>
        <w:t xml:space="preserve">,</w:t>
      </w:r>
      <w:r>
        <w:t xml:space="preserve"> </w:t>
      </w:r>
      <w:hyperlink r:id="rId76">
        <w:r>
          <w:rPr>
            <w:rStyle w:val="Link"/>
          </w:rPr>
          <w:t xml:space="preserve">Computer Misuse Act 1990</w:t>
        </w:r>
      </w:hyperlink>
      <w:r>
        <w:t xml:space="preserve">.</w:t>
      </w:r>
    </w:p>
  </w:footnote>
  <w:footnote w:id="80">
    <w:p>
      <w:pPr>
        <w:pStyle w:val="FootnoteText"/>
      </w:pPr>
      <w:r>
        <w:rPr>
          <w:rStyle w:val="FootnoteRef"/>
        </w:rPr>
        <w:footnoteRef/>
      </w:r>
      <w:hyperlink r:id="rId81">
        <w:r>
          <w:rPr>
            <w:rStyle w:val="Link"/>
          </w:rPr>
          <w:t xml:space="preserve">Directive 95/46/EC</w:t>
        </w:r>
      </w:hyperlink>
    </w:p>
  </w:footnote>
  <w:footnote w:id="82">
    <w:p>
      <w:pPr>
        <w:pStyle w:val="FootnoteText"/>
      </w:pPr>
      <w:r>
        <w:rPr>
          <w:rStyle w:val="FootnoteRef"/>
        </w:rPr>
        <w:footnoteRef/>
      </w:r>
      <w:r>
        <w:t xml:space="preserve">http://ico.org.uk/for_organisations/data_protection/topic_guides/~/media/documents/library/Data_Protection/Practical_application/anonymisation-codev2.pdf</w:t>
      </w:r>
    </w:p>
  </w:footnote>
  <w:footnote w:id="83">
    <w:p>
      <w:pPr>
        <w:pStyle w:val="FootnoteText"/>
      </w:pPr>
      <w:r>
        <w:rPr>
          <w:rStyle w:val="FootnoteRef"/>
        </w:rPr>
        <w:footnoteRef/>
      </w:r>
      <w:r>
        <w:t xml:space="preserve">http://www.ukanon.net/</w:t>
      </w:r>
    </w:p>
  </w:footnote>
  <w:footnote w:id="85">
    <w:p>
      <w:pPr>
        <w:pStyle w:val="FootnoteText"/>
      </w:pPr>
      <w:r>
        <w:rPr>
          <w:rStyle w:val="FootnoteRef"/>
        </w:rPr>
        <w:footnoteRef/>
      </w:r>
      <w:r>
        <w:t xml:space="preserve">Caparo Industries v Dickman [1990] 2 AC 605</w:t>
      </w:r>
    </w:p>
  </w:footnote>
  <w:footnote w:id="89">
    <w:p>
      <w:pPr>
        <w:pStyle w:val="FootnoteText"/>
      </w:pPr>
      <w:r>
        <w:rPr>
          <w:rStyle w:val="FootnoteRef"/>
        </w:rPr>
        <w:footnoteRef/>
      </w:r>
      <w:r>
        <w:t xml:space="preserve">In Scots law there are some significant academic works by the so-called “institutional writers” which are treated as being formal statements of law.</w:t>
      </w:r>
    </w:p>
  </w:footnote>
  <w:footnote w:id="90">
    <w:p>
      <w:pPr>
        <w:pStyle w:val="FootnoteText"/>
      </w:pPr>
      <w:r>
        <w:rPr>
          <w:rStyle w:val="FootnoteRef"/>
        </w:rPr>
        <w:footnoteRef/>
      </w:r>
      <w:hyperlink r:id="rId91">
        <w:r>
          <w:rPr>
            <w:rStyle w:val="Link"/>
          </w:rPr>
          <w:t xml:space="preserve">Directive 96/9/EC</w:t>
        </w:r>
      </w:hyperlink>
    </w:p>
  </w:footnote>
  <w:footnote w:id="92">
    <w:p>
      <w:pPr>
        <w:pStyle w:val="FootnoteText"/>
      </w:pPr>
      <w:r>
        <w:rPr>
          <w:rStyle w:val="FootnoteRef"/>
        </w:rPr>
        <w:footnoteRef/>
      </w:r>
      <w:r>
        <w:t xml:space="preserve">See: http://www.legislation.gov.uk/uksi/1997/3032/contents/made</w:t>
      </w:r>
    </w:p>
  </w:footnote>
</w:footnotes>
</file>

<file path=word/numbering.xml><?xml version="1.0" encoding="utf-8"?>
<w:numbering xmlns:w="http://schemas.openxmlformats.org/wordprocessingml/2006/main">
  <w:abstractNum w:abstractNumId="0">
    <w:nsid w:val="f1196c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20c6f6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f7ccdf7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1" Target="http://clipol.org/tools/compatibility" TargetMode="External" /><Relationship Type="http://schemas.openxmlformats.org/officeDocument/2006/relationships/hyperlink" Id="rId81" Target="http://eur-lex.europa.eu/LexUriServ/LexUriServ.do?uri=CELEX:31995L0046:EN:HTML" TargetMode="External" /><Relationship Type="http://schemas.openxmlformats.org/officeDocument/2006/relationships/hyperlink" Id="rId91" Target="http://eur-lex.europa.eu/smartapi/cgi/sga_doc?smartapi!celexapi!prod!CELEXnumdoc&amp;numdoc=31996L0009&amp;model=guichett&amp;lg=en" TargetMode="External" /><Relationship Type="http://schemas.openxmlformats.org/officeDocument/2006/relationships/hyperlink" Id="rId56" Target="http://opendefinition.org/" TargetMode="External" /><Relationship Type="http://schemas.openxmlformats.org/officeDocument/2006/relationships/hyperlink" Id="rId24" Target="http://www.bailii.org/ew/cases/EWCA/Civ/2014/281.html" TargetMode="External" /><Relationship Type="http://schemas.openxmlformats.org/officeDocument/2006/relationships/hyperlink" Id="rId76" Target="http://www.legislation.gov.uk/ukpga/1990/18/contents" TargetMode="External" /><Relationship Type="http://schemas.openxmlformats.org/officeDocument/2006/relationships/hyperlink" Id="rId75" Target="http://www.legislation.gov.uk/ukpga/1990/18/section/1" TargetMode="External" /><Relationship Type="http://schemas.openxmlformats.org/officeDocument/2006/relationships/hyperlink" Id="rId62" Target="https://github.com/theodi/open-data-licensing/blob/master/guides/licence-compatibility.md" TargetMode="External" /></Relationships>
</file>

<file path=word/_rels/footnotes.xml.rels><?xml version="1.0" encoding="UTF-8"?>
<Relationships xmlns="http://schemas.openxmlformats.org/package/2006/relationships"><Relationship Type="http://schemas.openxmlformats.org/officeDocument/2006/relationships/hyperlink" Id="rId61" Target="http://clipol.org/tools/compatibility" TargetMode="External" /><Relationship Type="http://schemas.openxmlformats.org/officeDocument/2006/relationships/hyperlink" Id="rId81" Target="http://eur-lex.europa.eu/LexUriServ/LexUriServ.do?uri=CELEX:31995L0046:EN:HTML" TargetMode="External" /><Relationship Type="http://schemas.openxmlformats.org/officeDocument/2006/relationships/hyperlink" Id="rId91" Target="http://eur-lex.europa.eu/smartapi/cgi/sga_doc?smartapi!celexapi!prod!CELEXnumdoc&amp;numdoc=31996L0009&amp;model=guichett&amp;lg=en" TargetMode="External" /><Relationship Type="http://schemas.openxmlformats.org/officeDocument/2006/relationships/hyperlink" Id="rId56" Target="http://opendefinition.org/" TargetMode="External" /><Relationship Type="http://schemas.openxmlformats.org/officeDocument/2006/relationships/hyperlink" Id="rId24" Target="http://www.bailii.org/ew/cases/EWCA/Civ/2014/281.html" TargetMode="External" /><Relationship Type="http://schemas.openxmlformats.org/officeDocument/2006/relationships/hyperlink" Id="rId76" Target="http://www.legislation.gov.uk/ukpga/1990/18/contents" TargetMode="External" /><Relationship Type="http://schemas.openxmlformats.org/officeDocument/2006/relationships/hyperlink" Id="rId75" Target="http://www.legislation.gov.uk/ukpga/1990/18/section/1" TargetMode="External" /><Relationship Type="http://schemas.openxmlformats.org/officeDocument/2006/relationships/hyperlink" Id="rId62" Target="https://github.com/theodi/open-data-licensing/blob/master/guides/licence-compatibilit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Data Law and Licensing</dc:title>
  <dcterms:created xsi:type="dcterms:W3CDTF"/>
  <dcterms:modified xsi:type="dcterms:W3CDTF"/>
</cp:coreProperties>
</file>