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8B" w:rsidRDefault="00EA14A8" w:rsidP="00583FC9">
      <w:pPr>
        <w:ind w:firstLine="720"/>
        <w:rPr>
          <w:rFonts w:ascii="Times New Roman" w:hAnsi="Times New Roman" w:cs="Times New Roman"/>
        </w:rPr>
      </w:pPr>
      <w:r>
        <w:rPr>
          <w:rFonts w:ascii="Times New Roman" w:hAnsi="Times New Roman" w:cs="Times New Roman"/>
        </w:rPr>
        <w:t>In order to understand the behavior of the third assignment</w:t>
      </w:r>
      <w:r w:rsidRPr="00364496">
        <w:rPr>
          <w:rFonts w:ascii="Times New Roman" w:hAnsi="Times New Roman" w:cs="Times New Roman"/>
        </w:rPr>
        <w:t xml:space="preserve">, a simple chart is made to view the router drop </w:t>
      </w:r>
      <w:r>
        <w:rPr>
          <w:rFonts w:ascii="Times New Roman" w:hAnsi="Times New Roman" w:cs="Times New Roman"/>
        </w:rPr>
        <w:t xml:space="preserve">and delay </w:t>
      </w:r>
      <w:r w:rsidRPr="00364496">
        <w:rPr>
          <w:rFonts w:ascii="Times New Roman" w:hAnsi="Times New Roman" w:cs="Times New Roman"/>
        </w:rPr>
        <w:t>effect</w:t>
      </w:r>
      <w:r>
        <w:rPr>
          <w:rFonts w:ascii="Times New Roman" w:hAnsi="Times New Roman" w:cs="Times New Roman"/>
        </w:rPr>
        <w:t xml:space="preserve"> on a file either being sent to or received from the server</w:t>
      </w:r>
      <w:r w:rsidRPr="00364496">
        <w:rPr>
          <w:rFonts w:ascii="Times New Roman" w:hAnsi="Times New Roman" w:cs="Times New Roman"/>
        </w:rPr>
        <w:t>.</w:t>
      </w:r>
      <w:r w:rsidR="00E02F8B">
        <w:rPr>
          <w:rFonts w:ascii="Times New Roman" w:hAnsi="Times New Roman" w:cs="Times New Roman"/>
        </w:rPr>
        <w:t xml:space="preserve"> The report will provide percentages ranging from 15, 35, and 50 percent.</w:t>
      </w:r>
      <w:r w:rsidRPr="00364496">
        <w:rPr>
          <w:rFonts w:ascii="Times New Roman" w:hAnsi="Times New Roman" w:cs="Times New Roman"/>
        </w:rPr>
        <w:t xml:space="preserve"> </w:t>
      </w:r>
      <w:r w:rsidR="00E02F8B">
        <w:rPr>
          <w:rFonts w:ascii="Times New Roman" w:hAnsi="Times New Roman" w:cs="Times New Roman"/>
        </w:rPr>
        <w:t>This assignment supports Go-Back-N protocol and will allow the user to choose the number of packets sent from 1 to 19 as the window size. However, this report will only provide 1, 7, 13, and 19.</w:t>
      </w:r>
    </w:p>
    <w:p w:rsidR="00583FC9" w:rsidRDefault="00583FC9" w:rsidP="00583FC9">
      <w:pPr>
        <w:rPr>
          <w:rFonts w:ascii="Times New Roman" w:hAnsi="Times New Roman" w:cs="Times New Roman"/>
        </w:rPr>
      </w:pPr>
      <w:r>
        <w:rPr>
          <w:rFonts w:ascii="Times New Roman" w:hAnsi="Times New Roman" w:cs="Times New Roman"/>
        </w:rPr>
        <w:t xml:space="preserve">This Go-Back-N protocol only goes back to the last </w:t>
      </w:r>
      <w:proofErr w:type="spellStart"/>
      <w:proofErr w:type="gramStart"/>
      <w:r>
        <w:rPr>
          <w:rFonts w:ascii="Times New Roman" w:hAnsi="Times New Roman" w:cs="Times New Roman"/>
        </w:rPr>
        <w:t>NAKed</w:t>
      </w:r>
      <w:proofErr w:type="spellEnd"/>
      <w:proofErr w:type="gramEnd"/>
      <w:r>
        <w:rPr>
          <w:rFonts w:ascii="Times New Roman" w:hAnsi="Times New Roman" w:cs="Times New Roman"/>
        </w:rPr>
        <w:t xml:space="preserve"> packet and not resending the entire window making it an efficient protocol.</w:t>
      </w:r>
      <w:bookmarkStart w:id="0" w:name="_GoBack"/>
      <w:bookmarkEnd w:id="0"/>
    </w:p>
    <w:p w:rsidR="00E02F8B" w:rsidRDefault="00E02F8B" w:rsidP="00EA14A8">
      <w:pPr>
        <w:rPr>
          <w:rFonts w:ascii="Times New Roman" w:hAnsi="Times New Roman" w:cs="Times New Roman"/>
        </w:rPr>
      </w:pPr>
      <w:r>
        <w:rPr>
          <w:rFonts w:ascii="Times New Roman" w:hAnsi="Times New Roman" w:cs="Times New Roman"/>
        </w:rPr>
        <w:t>Note: The study of drop and delay percentages applied are not provided for this assignment</w:t>
      </w:r>
      <w:r w:rsidR="001E71CD">
        <w:rPr>
          <w:rFonts w:ascii="Times New Roman" w:hAnsi="Times New Roman" w:cs="Times New Roman"/>
        </w:rPr>
        <w:t>.</w:t>
      </w:r>
    </w:p>
    <w:p w:rsidR="00EA14A8" w:rsidRPr="00364496" w:rsidRDefault="00EA14A8" w:rsidP="00EA14A8">
      <w:pPr>
        <w:rPr>
          <w:rFonts w:ascii="Times New Roman" w:hAnsi="Times New Roman" w:cs="Times New Roman"/>
        </w:rPr>
      </w:pPr>
      <w:r w:rsidRPr="00364496">
        <w:rPr>
          <w:rFonts w:ascii="Times New Roman" w:hAnsi="Times New Roman" w:cs="Times New Roman"/>
        </w:rPr>
        <w:t>The ratio</w:t>
      </w:r>
      <w:r w:rsidR="00E02F8B">
        <w:rPr>
          <w:rFonts w:ascii="Times New Roman" w:hAnsi="Times New Roman" w:cs="Times New Roman"/>
        </w:rPr>
        <w:t>, the total packets sent/original number of packets,</w:t>
      </w:r>
      <w:r w:rsidRPr="00364496">
        <w:rPr>
          <w:rFonts w:ascii="Times New Roman" w:hAnsi="Times New Roman" w:cs="Times New Roman"/>
        </w:rPr>
        <w:t xml:space="preserve"> for each drop</w:t>
      </w:r>
      <w:r>
        <w:rPr>
          <w:rFonts w:ascii="Times New Roman" w:hAnsi="Times New Roman" w:cs="Times New Roman"/>
        </w:rPr>
        <w:t xml:space="preserve">/delay </w:t>
      </w:r>
      <w:r w:rsidRPr="00364496">
        <w:rPr>
          <w:rFonts w:ascii="Times New Roman" w:hAnsi="Times New Roman" w:cs="Times New Roman"/>
        </w:rPr>
        <w:t xml:space="preserve">percentage will then be calculated </w:t>
      </w:r>
      <w:r w:rsidR="00E02F8B">
        <w:rPr>
          <w:rFonts w:ascii="Times New Roman" w:hAnsi="Times New Roman" w:cs="Times New Roman"/>
        </w:rPr>
        <w:t xml:space="preserve">to view the full effectiveness. </w:t>
      </w:r>
      <w:r w:rsidRPr="00364496">
        <w:rPr>
          <w:rFonts w:ascii="Times New Roman" w:hAnsi="Times New Roman" w:cs="Times New Roman"/>
        </w:rPr>
        <w:t xml:space="preserve">The binary file to be sent is a </w:t>
      </w:r>
      <w:proofErr w:type="spellStart"/>
      <w:r w:rsidRPr="00364496">
        <w:rPr>
          <w:rFonts w:ascii="Times New Roman" w:hAnsi="Times New Roman" w:cs="Times New Roman"/>
        </w:rPr>
        <w:t>png</w:t>
      </w:r>
      <w:proofErr w:type="spellEnd"/>
      <w:r w:rsidRPr="00364496">
        <w:rPr>
          <w:rFonts w:ascii="Times New Roman" w:hAnsi="Times New Roman" w:cs="Times New Roman"/>
        </w:rPr>
        <w:t xml:space="preserve"> file which is 4564 bytes and requires minimum 58 packets with each packet carrying </w:t>
      </w:r>
      <w:r w:rsidR="00E02F8B">
        <w:rPr>
          <w:rFonts w:ascii="Times New Roman" w:hAnsi="Times New Roman" w:cs="Times New Roman"/>
        </w:rPr>
        <w:t>256</w:t>
      </w:r>
      <w:r w:rsidRPr="00364496">
        <w:rPr>
          <w:rFonts w:ascii="Times New Roman" w:hAnsi="Times New Roman" w:cs="Times New Roman"/>
        </w:rPr>
        <w:t xml:space="preserve"> bytes.</w:t>
      </w:r>
    </w:p>
    <w:p w:rsidR="00EA14A8" w:rsidRDefault="00EA14A8" w:rsidP="00EA14A8">
      <w:pPr>
        <w:rPr>
          <w:rFonts w:ascii="Times New Roman" w:hAnsi="Times New Roman" w:cs="Times New Roman"/>
        </w:rPr>
      </w:pPr>
      <w:r w:rsidRPr="00364496">
        <w:rPr>
          <w:rFonts w:ascii="Times New Roman" w:hAnsi="Times New Roman" w:cs="Times New Roman"/>
        </w:rPr>
        <w:t>The chart will consist of both get/put directions used alternately with the</w:t>
      </w:r>
      <w:r w:rsidR="00547030">
        <w:rPr>
          <w:rFonts w:ascii="Times New Roman" w:hAnsi="Times New Roman" w:cs="Times New Roman"/>
        </w:rPr>
        <w:t xml:space="preserve"> file. The results displayed means using drop and window size, then the numbers signify total packets sent: ratio with total number of frames.</w:t>
      </w:r>
    </w:p>
    <w:tbl>
      <w:tblPr>
        <w:tblW w:w="9468" w:type="dxa"/>
        <w:tblInd w:w="108" w:type="dxa"/>
        <w:tblLook w:val="04A0" w:firstRow="1" w:lastRow="0" w:firstColumn="1" w:lastColumn="0" w:noHBand="0" w:noVBand="1"/>
      </w:tblPr>
      <w:tblGrid>
        <w:gridCol w:w="1210"/>
        <w:gridCol w:w="1858"/>
        <w:gridCol w:w="1742"/>
        <w:gridCol w:w="1742"/>
        <w:gridCol w:w="2178"/>
        <w:gridCol w:w="738"/>
      </w:tblGrid>
      <w:tr w:rsidR="00547030" w:rsidRPr="009E3BAD" w:rsidTr="00547030">
        <w:trPr>
          <w:trHeight w:val="336"/>
        </w:trPr>
        <w:tc>
          <w:tcPr>
            <w:tcW w:w="1210"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rPr>
                <w:rFonts w:ascii="Calibri" w:eastAsia="Times New Roman" w:hAnsi="Calibri" w:cs="Times New Roman"/>
                <w:color w:val="000000"/>
              </w:rPr>
            </w:pPr>
            <w:r>
              <w:rPr>
                <w:rFonts w:ascii="Calibri" w:eastAsia="Times New Roman" w:hAnsi="Calibri" w:cs="Times New Roman"/>
                <w:color w:val="000000"/>
              </w:rPr>
              <w:t>Drop/WS</w:t>
            </w:r>
          </w:p>
        </w:tc>
        <w:tc>
          <w:tcPr>
            <w:tcW w:w="185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7</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13</w:t>
            </w:r>
          </w:p>
        </w:tc>
        <w:tc>
          <w:tcPr>
            <w:tcW w:w="217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19</w:t>
            </w:r>
          </w:p>
        </w:tc>
        <w:tc>
          <w:tcPr>
            <w:tcW w:w="738" w:type="dxa"/>
            <w:tcBorders>
              <w:top w:val="nil"/>
              <w:left w:val="nil"/>
              <w:bottom w:val="nil"/>
              <w:right w:val="nil"/>
            </w:tcBorders>
          </w:tcPr>
          <w:p w:rsidR="00547030" w:rsidRPr="009E3BAD" w:rsidRDefault="00547030" w:rsidP="009E3BAD">
            <w:pPr>
              <w:spacing w:after="0" w:line="240" w:lineRule="auto"/>
              <w:jc w:val="right"/>
              <w:rPr>
                <w:rFonts w:ascii="Calibri" w:eastAsia="Times New Roman" w:hAnsi="Calibri" w:cs="Times New Roman"/>
                <w:color w:val="000000"/>
              </w:rPr>
            </w:pPr>
          </w:p>
        </w:tc>
      </w:tr>
      <w:tr w:rsidR="00547030" w:rsidRPr="009E3BAD" w:rsidTr="00547030">
        <w:trPr>
          <w:trHeight w:val="336"/>
        </w:trPr>
        <w:tc>
          <w:tcPr>
            <w:tcW w:w="1210"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w:t>
            </w:r>
          </w:p>
        </w:tc>
        <w:tc>
          <w:tcPr>
            <w:tcW w:w="1858"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18:1                           </w:t>
            </w:r>
          </w:p>
        </w:tc>
        <w:tc>
          <w:tcPr>
            <w:tcW w:w="1742"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Pr>
                <w:rFonts w:ascii="Calibri" w:eastAsia="Times New Roman" w:hAnsi="Calibri" w:cs="Times New Roman"/>
                <w:color w:val="000000"/>
              </w:rPr>
              <w:t>:1</w:t>
            </w:r>
          </w:p>
        </w:tc>
        <w:tc>
          <w:tcPr>
            <w:tcW w:w="1742"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68</w:t>
            </w:r>
            <w:r>
              <w:rPr>
                <w:rFonts w:ascii="Calibri" w:eastAsia="Times New Roman" w:hAnsi="Calibri" w:cs="Times New Roman"/>
                <w:color w:val="000000"/>
              </w:rPr>
              <w:t>:3.78</w:t>
            </w:r>
          </w:p>
        </w:tc>
        <w:tc>
          <w:tcPr>
            <w:tcW w:w="2178"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164</w:t>
            </w:r>
            <w:r>
              <w:rPr>
                <w:rFonts w:ascii="Calibri" w:eastAsia="Times New Roman" w:hAnsi="Calibri" w:cs="Times New Roman"/>
                <w:color w:val="000000"/>
              </w:rPr>
              <w:t>:9.11</w:t>
            </w:r>
          </w:p>
        </w:tc>
        <w:tc>
          <w:tcPr>
            <w:tcW w:w="738" w:type="dxa"/>
            <w:tcBorders>
              <w:top w:val="nil"/>
              <w:left w:val="nil"/>
              <w:bottom w:val="nil"/>
              <w:right w:val="nil"/>
            </w:tcBorders>
            <w:shd w:val="clear" w:color="auto" w:fill="D9D9D9" w:themeFill="background1" w:themeFillShade="D9"/>
          </w:tcPr>
          <w:p w:rsidR="00547030" w:rsidRPr="009E3BAD" w:rsidRDefault="00547030" w:rsidP="009E3BAD">
            <w:pPr>
              <w:spacing w:after="0" w:line="240" w:lineRule="auto"/>
              <w:jc w:val="right"/>
              <w:rPr>
                <w:rFonts w:ascii="Calibri" w:eastAsia="Times New Roman" w:hAnsi="Calibri" w:cs="Times New Roman"/>
                <w:color w:val="000000"/>
              </w:rPr>
            </w:pPr>
          </w:p>
        </w:tc>
      </w:tr>
      <w:tr w:rsidR="00547030" w:rsidRPr="009E3BAD" w:rsidTr="00547030">
        <w:trPr>
          <w:trHeight w:val="336"/>
        </w:trPr>
        <w:tc>
          <w:tcPr>
            <w:tcW w:w="1210"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15</w:t>
            </w:r>
          </w:p>
        </w:tc>
        <w:tc>
          <w:tcPr>
            <w:tcW w:w="185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24</w:t>
            </w:r>
            <w:r>
              <w:rPr>
                <w:rFonts w:ascii="Calibri" w:eastAsia="Times New Roman" w:hAnsi="Calibri" w:cs="Times New Roman"/>
                <w:color w:val="000000"/>
              </w:rPr>
              <w:t>:1.33</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336</w:t>
            </w:r>
            <w:r>
              <w:rPr>
                <w:rFonts w:ascii="Calibri" w:eastAsia="Times New Roman" w:hAnsi="Calibri" w:cs="Times New Roman"/>
                <w:color w:val="000000"/>
              </w:rPr>
              <w:t>:18.67</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352</w:t>
            </w:r>
            <w:r>
              <w:rPr>
                <w:rFonts w:ascii="Calibri" w:eastAsia="Times New Roman" w:hAnsi="Calibri" w:cs="Times New Roman"/>
                <w:color w:val="000000"/>
              </w:rPr>
              <w:t>:19.55</w:t>
            </w:r>
          </w:p>
        </w:tc>
        <w:tc>
          <w:tcPr>
            <w:tcW w:w="217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461</w:t>
            </w:r>
            <w:r>
              <w:rPr>
                <w:rFonts w:ascii="Calibri" w:eastAsia="Times New Roman" w:hAnsi="Calibri" w:cs="Times New Roman"/>
                <w:color w:val="000000"/>
              </w:rPr>
              <w:t>:25.61</w:t>
            </w:r>
          </w:p>
        </w:tc>
        <w:tc>
          <w:tcPr>
            <w:tcW w:w="738" w:type="dxa"/>
            <w:tcBorders>
              <w:top w:val="nil"/>
              <w:left w:val="nil"/>
              <w:bottom w:val="nil"/>
              <w:right w:val="nil"/>
            </w:tcBorders>
          </w:tcPr>
          <w:p w:rsidR="00547030" w:rsidRPr="009E3BAD" w:rsidRDefault="00547030" w:rsidP="009E3BAD">
            <w:pPr>
              <w:spacing w:after="0" w:line="240" w:lineRule="auto"/>
              <w:jc w:val="right"/>
              <w:rPr>
                <w:rFonts w:ascii="Calibri" w:eastAsia="Times New Roman" w:hAnsi="Calibri" w:cs="Times New Roman"/>
                <w:color w:val="000000"/>
              </w:rPr>
            </w:pPr>
          </w:p>
        </w:tc>
      </w:tr>
      <w:tr w:rsidR="00547030" w:rsidRPr="009E3BAD" w:rsidTr="00547030">
        <w:trPr>
          <w:trHeight w:val="336"/>
        </w:trPr>
        <w:tc>
          <w:tcPr>
            <w:tcW w:w="1210"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35</w:t>
            </w:r>
          </w:p>
        </w:tc>
        <w:tc>
          <w:tcPr>
            <w:tcW w:w="1858"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52</w:t>
            </w:r>
            <w:r>
              <w:rPr>
                <w:rFonts w:ascii="Calibri" w:eastAsia="Times New Roman" w:hAnsi="Calibri" w:cs="Times New Roman"/>
                <w:color w:val="000000"/>
              </w:rPr>
              <w:t>:2.89</w:t>
            </w:r>
          </w:p>
        </w:tc>
        <w:tc>
          <w:tcPr>
            <w:tcW w:w="1742"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278</w:t>
            </w:r>
            <w:r>
              <w:rPr>
                <w:rFonts w:ascii="Calibri" w:eastAsia="Times New Roman" w:hAnsi="Calibri" w:cs="Times New Roman"/>
                <w:color w:val="000000"/>
              </w:rPr>
              <w:t>:15.4</w:t>
            </w:r>
          </w:p>
        </w:tc>
        <w:tc>
          <w:tcPr>
            <w:tcW w:w="1742"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226</w:t>
            </w:r>
            <w:r>
              <w:rPr>
                <w:rFonts w:ascii="Calibri" w:eastAsia="Times New Roman" w:hAnsi="Calibri" w:cs="Times New Roman"/>
                <w:color w:val="000000"/>
              </w:rPr>
              <w:t>:12.56</w:t>
            </w:r>
          </w:p>
        </w:tc>
        <w:tc>
          <w:tcPr>
            <w:tcW w:w="2178" w:type="dxa"/>
            <w:tcBorders>
              <w:top w:val="nil"/>
              <w:left w:val="nil"/>
              <w:bottom w:val="nil"/>
              <w:right w:val="nil"/>
            </w:tcBorders>
            <w:shd w:val="clear" w:color="auto" w:fill="D9D9D9" w:themeFill="background1" w:themeFillShade="D9"/>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231</w:t>
            </w:r>
            <w:r>
              <w:rPr>
                <w:rFonts w:ascii="Calibri" w:eastAsia="Times New Roman" w:hAnsi="Calibri" w:cs="Times New Roman"/>
                <w:color w:val="000000"/>
              </w:rPr>
              <w:t>:12.83</w:t>
            </w:r>
          </w:p>
        </w:tc>
        <w:tc>
          <w:tcPr>
            <w:tcW w:w="738" w:type="dxa"/>
            <w:tcBorders>
              <w:top w:val="nil"/>
              <w:left w:val="nil"/>
              <w:bottom w:val="nil"/>
              <w:right w:val="nil"/>
            </w:tcBorders>
            <w:shd w:val="clear" w:color="auto" w:fill="D9D9D9" w:themeFill="background1" w:themeFillShade="D9"/>
          </w:tcPr>
          <w:p w:rsidR="00547030" w:rsidRPr="009E3BAD" w:rsidRDefault="00547030" w:rsidP="009E3BAD">
            <w:pPr>
              <w:spacing w:after="0" w:line="240" w:lineRule="auto"/>
              <w:jc w:val="right"/>
              <w:rPr>
                <w:rFonts w:ascii="Calibri" w:eastAsia="Times New Roman" w:hAnsi="Calibri" w:cs="Times New Roman"/>
                <w:color w:val="000000"/>
              </w:rPr>
            </w:pPr>
          </w:p>
        </w:tc>
      </w:tr>
      <w:tr w:rsidR="00547030" w:rsidRPr="009E3BAD" w:rsidTr="00547030">
        <w:trPr>
          <w:trHeight w:val="336"/>
        </w:trPr>
        <w:tc>
          <w:tcPr>
            <w:tcW w:w="1210"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50</w:t>
            </w:r>
          </w:p>
        </w:tc>
        <w:tc>
          <w:tcPr>
            <w:tcW w:w="185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51</w:t>
            </w:r>
            <w:r>
              <w:rPr>
                <w:rFonts w:ascii="Calibri" w:eastAsia="Times New Roman" w:hAnsi="Calibri" w:cs="Times New Roman"/>
                <w:color w:val="000000"/>
              </w:rPr>
              <w:t>:2.83</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124</w:t>
            </w:r>
            <w:r>
              <w:rPr>
                <w:rFonts w:ascii="Calibri" w:eastAsia="Times New Roman" w:hAnsi="Calibri" w:cs="Times New Roman"/>
                <w:color w:val="000000"/>
              </w:rPr>
              <w:t>:6.89</w:t>
            </w:r>
          </w:p>
        </w:tc>
        <w:tc>
          <w:tcPr>
            <w:tcW w:w="1742"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222</w:t>
            </w:r>
            <w:r>
              <w:rPr>
                <w:rFonts w:ascii="Calibri" w:eastAsia="Times New Roman" w:hAnsi="Calibri" w:cs="Times New Roman"/>
                <w:color w:val="000000"/>
              </w:rPr>
              <w:t>:12.33</w:t>
            </w:r>
          </w:p>
        </w:tc>
        <w:tc>
          <w:tcPr>
            <w:tcW w:w="2178" w:type="dxa"/>
            <w:tcBorders>
              <w:top w:val="nil"/>
              <w:left w:val="nil"/>
              <w:bottom w:val="nil"/>
              <w:right w:val="nil"/>
            </w:tcBorders>
            <w:shd w:val="clear" w:color="auto" w:fill="auto"/>
            <w:noWrap/>
            <w:vAlign w:val="bottom"/>
            <w:hideMark/>
          </w:tcPr>
          <w:p w:rsidR="00547030" w:rsidRPr="009E3BAD" w:rsidRDefault="00547030"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367</w:t>
            </w:r>
            <w:r>
              <w:rPr>
                <w:rFonts w:ascii="Calibri" w:eastAsia="Times New Roman" w:hAnsi="Calibri" w:cs="Times New Roman"/>
                <w:color w:val="000000"/>
              </w:rPr>
              <w:t>:20.39</w:t>
            </w:r>
          </w:p>
        </w:tc>
        <w:tc>
          <w:tcPr>
            <w:tcW w:w="738" w:type="dxa"/>
            <w:tcBorders>
              <w:top w:val="nil"/>
              <w:left w:val="nil"/>
              <w:bottom w:val="nil"/>
              <w:right w:val="nil"/>
            </w:tcBorders>
          </w:tcPr>
          <w:p w:rsidR="00547030" w:rsidRPr="009E3BAD" w:rsidRDefault="00547030" w:rsidP="009E3BAD">
            <w:pPr>
              <w:spacing w:after="0" w:line="240" w:lineRule="auto"/>
              <w:jc w:val="right"/>
              <w:rPr>
                <w:rFonts w:ascii="Calibri" w:eastAsia="Times New Roman" w:hAnsi="Calibri" w:cs="Times New Roman"/>
                <w:color w:val="000000"/>
              </w:rPr>
            </w:pPr>
          </w:p>
        </w:tc>
      </w:tr>
    </w:tbl>
    <w:p w:rsidR="000F3906" w:rsidRDefault="000F3906"/>
    <w:p w:rsidR="000F3906" w:rsidRDefault="009E3BAD">
      <w:r>
        <w:rPr>
          <w:rFonts w:ascii="Calibri" w:eastAsia="Times New Roman" w:hAnsi="Calibri" w:cs="Times New Roman"/>
          <w:noProof/>
          <w:color w:val="000000"/>
        </w:rPr>
        <w:drawing>
          <wp:inline distT="0" distB="0" distL="0" distR="0" wp14:anchorId="4FDCF297" wp14:editId="6A53661E">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E3BAD" w:rsidRDefault="009E3BAD"/>
    <w:p w:rsidR="009E3BAD" w:rsidRDefault="009E3BAD"/>
    <w:p w:rsidR="009E3BAD" w:rsidRDefault="009E3BAD"/>
    <w:tbl>
      <w:tblPr>
        <w:tblW w:w="8573" w:type="dxa"/>
        <w:tblInd w:w="108" w:type="dxa"/>
        <w:tblLook w:val="04A0" w:firstRow="1" w:lastRow="0" w:firstColumn="1" w:lastColumn="0" w:noHBand="0" w:noVBand="1"/>
      </w:tblPr>
      <w:tblGrid>
        <w:gridCol w:w="1291"/>
        <w:gridCol w:w="1879"/>
        <w:gridCol w:w="1762"/>
        <w:gridCol w:w="1762"/>
        <w:gridCol w:w="1879"/>
      </w:tblGrid>
      <w:tr w:rsidR="009E3BAD" w:rsidRPr="009E3BAD" w:rsidTr="00547030">
        <w:trPr>
          <w:trHeight w:val="342"/>
        </w:trPr>
        <w:tc>
          <w:tcPr>
            <w:tcW w:w="1291" w:type="dxa"/>
            <w:tcBorders>
              <w:top w:val="nil"/>
              <w:left w:val="nil"/>
              <w:bottom w:val="nil"/>
              <w:right w:val="nil"/>
            </w:tcBorders>
            <w:shd w:val="clear" w:color="auto" w:fill="auto"/>
            <w:noWrap/>
            <w:vAlign w:val="bottom"/>
            <w:hideMark/>
          </w:tcPr>
          <w:p w:rsidR="009E3BAD" w:rsidRPr="009E3BAD" w:rsidRDefault="00547030" w:rsidP="009E3BAD">
            <w:pPr>
              <w:spacing w:after="0" w:line="240" w:lineRule="auto"/>
              <w:rPr>
                <w:rFonts w:ascii="Calibri" w:eastAsia="Times New Roman" w:hAnsi="Calibri" w:cs="Times New Roman"/>
                <w:color w:val="000000"/>
              </w:rPr>
            </w:pPr>
            <w:r>
              <w:rPr>
                <w:rFonts w:ascii="Calibri" w:eastAsia="Times New Roman" w:hAnsi="Calibri" w:cs="Times New Roman"/>
                <w:color w:val="000000"/>
              </w:rPr>
              <w:t>Delay/WS</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7</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13</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19</w:t>
            </w:r>
          </w:p>
        </w:tc>
      </w:tr>
      <w:tr w:rsidR="009E3BAD" w:rsidRPr="009E3BAD" w:rsidTr="00547030">
        <w:trPr>
          <w:trHeight w:val="342"/>
        </w:trPr>
        <w:tc>
          <w:tcPr>
            <w:tcW w:w="1291"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w:t>
            </w:r>
          </w:p>
        </w:tc>
        <w:tc>
          <w:tcPr>
            <w:tcW w:w="1879"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sidR="00547030">
              <w:rPr>
                <w:rFonts w:ascii="Calibri" w:eastAsia="Times New Roman" w:hAnsi="Calibri" w:cs="Times New Roman"/>
                <w:color w:val="000000"/>
              </w:rPr>
              <w:t>:1</w:t>
            </w:r>
          </w:p>
        </w:tc>
        <w:tc>
          <w:tcPr>
            <w:tcW w:w="1762"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sidR="00547030">
              <w:rPr>
                <w:rFonts w:ascii="Calibri" w:eastAsia="Times New Roman" w:hAnsi="Calibri" w:cs="Times New Roman"/>
                <w:color w:val="000000"/>
              </w:rPr>
              <w:t>:1</w:t>
            </w:r>
          </w:p>
        </w:tc>
        <w:tc>
          <w:tcPr>
            <w:tcW w:w="1762"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26</w:t>
            </w:r>
            <w:r w:rsidR="00547030">
              <w:rPr>
                <w:rFonts w:ascii="Calibri" w:eastAsia="Times New Roman" w:hAnsi="Calibri" w:cs="Times New Roman"/>
                <w:color w:val="000000"/>
              </w:rPr>
              <w:t>:1.44</w:t>
            </w:r>
          </w:p>
        </w:tc>
        <w:tc>
          <w:tcPr>
            <w:tcW w:w="1879"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30</w:t>
            </w:r>
            <w:r w:rsidR="00583FC9">
              <w:rPr>
                <w:rFonts w:ascii="Calibri" w:eastAsia="Times New Roman" w:hAnsi="Calibri" w:cs="Times New Roman"/>
                <w:color w:val="000000"/>
              </w:rPr>
              <w:t>:1.67</w:t>
            </w:r>
          </w:p>
        </w:tc>
      </w:tr>
      <w:tr w:rsidR="009E3BAD" w:rsidRPr="009E3BAD" w:rsidTr="00547030">
        <w:trPr>
          <w:trHeight w:val="342"/>
        </w:trPr>
        <w:tc>
          <w:tcPr>
            <w:tcW w:w="1291"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15</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sidR="00547030">
              <w:rPr>
                <w:rFonts w:ascii="Calibri" w:eastAsia="Times New Roman" w:hAnsi="Calibri" w:cs="Times New Roman"/>
                <w:color w:val="000000"/>
              </w:rPr>
              <w:t>:1</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19</w:t>
            </w:r>
            <w:r w:rsidR="00547030">
              <w:rPr>
                <w:rFonts w:ascii="Calibri" w:eastAsia="Times New Roman" w:hAnsi="Calibri" w:cs="Times New Roman"/>
                <w:color w:val="000000"/>
              </w:rPr>
              <w:t>:1.05</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31</w:t>
            </w:r>
            <w:r w:rsidR="00547030">
              <w:rPr>
                <w:rFonts w:ascii="Calibri" w:eastAsia="Times New Roman" w:hAnsi="Calibri" w:cs="Times New Roman"/>
                <w:color w:val="000000"/>
              </w:rPr>
              <w:t>:1.72</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91</w:t>
            </w:r>
            <w:r w:rsidR="00583FC9">
              <w:rPr>
                <w:rFonts w:ascii="Calibri" w:eastAsia="Times New Roman" w:hAnsi="Calibri" w:cs="Times New Roman"/>
                <w:color w:val="000000"/>
              </w:rPr>
              <w:t>:5.06</w:t>
            </w:r>
          </w:p>
        </w:tc>
      </w:tr>
      <w:tr w:rsidR="009E3BAD" w:rsidRPr="009E3BAD" w:rsidTr="00547030">
        <w:trPr>
          <w:trHeight w:val="342"/>
        </w:trPr>
        <w:tc>
          <w:tcPr>
            <w:tcW w:w="1291"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35</w:t>
            </w:r>
          </w:p>
        </w:tc>
        <w:tc>
          <w:tcPr>
            <w:tcW w:w="1879"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sidR="00547030">
              <w:rPr>
                <w:rFonts w:ascii="Calibri" w:eastAsia="Times New Roman" w:hAnsi="Calibri" w:cs="Times New Roman"/>
                <w:color w:val="000000"/>
              </w:rPr>
              <w:t>:1</w:t>
            </w:r>
          </w:p>
        </w:tc>
        <w:tc>
          <w:tcPr>
            <w:tcW w:w="1762"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21</w:t>
            </w:r>
            <w:r w:rsidR="00547030">
              <w:rPr>
                <w:rFonts w:ascii="Calibri" w:eastAsia="Times New Roman" w:hAnsi="Calibri" w:cs="Times New Roman"/>
                <w:color w:val="000000"/>
              </w:rPr>
              <w:t>:1.17</w:t>
            </w:r>
          </w:p>
        </w:tc>
        <w:tc>
          <w:tcPr>
            <w:tcW w:w="1762"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99</w:t>
            </w:r>
            <w:r w:rsidR="00547030">
              <w:rPr>
                <w:rFonts w:ascii="Calibri" w:eastAsia="Times New Roman" w:hAnsi="Calibri" w:cs="Times New Roman"/>
                <w:color w:val="000000"/>
              </w:rPr>
              <w:t>:5.5</w:t>
            </w:r>
          </w:p>
        </w:tc>
        <w:tc>
          <w:tcPr>
            <w:tcW w:w="1879" w:type="dxa"/>
            <w:tcBorders>
              <w:top w:val="nil"/>
              <w:left w:val="nil"/>
              <w:bottom w:val="nil"/>
              <w:right w:val="nil"/>
            </w:tcBorders>
            <w:shd w:val="clear" w:color="auto" w:fill="D9D9D9" w:themeFill="background1" w:themeFillShade="D9"/>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310</w:t>
            </w:r>
            <w:r w:rsidR="00583FC9">
              <w:rPr>
                <w:rFonts w:ascii="Calibri" w:eastAsia="Times New Roman" w:hAnsi="Calibri" w:cs="Times New Roman"/>
                <w:color w:val="000000"/>
              </w:rPr>
              <w:t>:17.22</w:t>
            </w:r>
          </w:p>
        </w:tc>
      </w:tr>
      <w:tr w:rsidR="009E3BAD" w:rsidRPr="009E3BAD" w:rsidTr="00547030">
        <w:trPr>
          <w:trHeight w:val="342"/>
        </w:trPr>
        <w:tc>
          <w:tcPr>
            <w:tcW w:w="1291"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50</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18</w:t>
            </w:r>
            <w:r w:rsidR="00547030">
              <w:rPr>
                <w:rFonts w:ascii="Calibri" w:eastAsia="Times New Roman" w:hAnsi="Calibri" w:cs="Times New Roman"/>
                <w:color w:val="000000"/>
              </w:rPr>
              <w:t>:1</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35</w:t>
            </w:r>
            <w:r w:rsidR="00547030">
              <w:rPr>
                <w:rFonts w:ascii="Calibri" w:eastAsia="Times New Roman" w:hAnsi="Calibri" w:cs="Times New Roman"/>
                <w:color w:val="000000"/>
              </w:rPr>
              <w:t>:1.94</w:t>
            </w:r>
          </w:p>
        </w:tc>
        <w:tc>
          <w:tcPr>
            <w:tcW w:w="1762"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318</w:t>
            </w:r>
            <w:r w:rsidR="00547030">
              <w:rPr>
                <w:rFonts w:ascii="Calibri" w:eastAsia="Times New Roman" w:hAnsi="Calibri" w:cs="Times New Roman"/>
                <w:color w:val="000000"/>
              </w:rPr>
              <w:t>:17.67</w:t>
            </w:r>
          </w:p>
        </w:tc>
        <w:tc>
          <w:tcPr>
            <w:tcW w:w="1879" w:type="dxa"/>
            <w:tcBorders>
              <w:top w:val="nil"/>
              <w:left w:val="nil"/>
              <w:bottom w:val="nil"/>
              <w:right w:val="nil"/>
            </w:tcBorders>
            <w:shd w:val="clear" w:color="auto" w:fill="auto"/>
            <w:noWrap/>
            <w:vAlign w:val="bottom"/>
            <w:hideMark/>
          </w:tcPr>
          <w:p w:rsidR="009E3BAD" w:rsidRPr="009E3BAD" w:rsidRDefault="009E3BAD" w:rsidP="009E3BAD">
            <w:pPr>
              <w:spacing w:after="0" w:line="240" w:lineRule="auto"/>
              <w:jc w:val="right"/>
              <w:rPr>
                <w:rFonts w:ascii="Calibri" w:eastAsia="Times New Roman" w:hAnsi="Calibri" w:cs="Times New Roman"/>
                <w:color w:val="000000"/>
              </w:rPr>
            </w:pPr>
            <w:r w:rsidRPr="009E3BAD">
              <w:rPr>
                <w:rFonts w:ascii="Calibri" w:eastAsia="Times New Roman" w:hAnsi="Calibri" w:cs="Times New Roman"/>
                <w:color w:val="000000"/>
              </w:rPr>
              <w:t>463</w:t>
            </w:r>
            <w:r w:rsidR="00583FC9">
              <w:rPr>
                <w:rFonts w:ascii="Calibri" w:eastAsia="Times New Roman" w:hAnsi="Calibri" w:cs="Times New Roman"/>
                <w:color w:val="000000"/>
              </w:rPr>
              <w:t>:25.73</w:t>
            </w:r>
          </w:p>
        </w:tc>
      </w:tr>
    </w:tbl>
    <w:p w:rsidR="009E3BAD" w:rsidRDefault="009E3BAD"/>
    <w:p w:rsidR="009E3BAD" w:rsidRDefault="00547030">
      <w:r>
        <w:rPr>
          <w:rFonts w:ascii="Calibri" w:eastAsia="Times New Roman" w:hAnsi="Calibri" w:cs="Times New Roman"/>
          <w:noProof/>
          <w:color w:val="000000"/>
        </w:rPr>
        <w:drawing>
          <wp:inline distT="0" distB="0" distL="0" distR="0" wp14:anchorId="741B0A08" wp14:editId="4C5CC89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83FC9" w:rsidRPr="00583FC9" w:rsidRDefault="00583FC9" w:rsidP="00583FC9">
      <w:pPr>
        <w:ind w:firstLine="720"/>
        <w:rPr>
          <w:rFonts w:ascii="Times New Roman" w:hAnsi="Times New Roman" w:cs="Times New Roman"/>
          <w:sz w:val="24"/>
          <w:szCs w:val="24"/>
        </w:rPr>
      </w:pPr>
      <w:r w:rsidRPr="00583FC9">
        <w:rPr>
          <w:rFonts w:ascii="Times New Roman" w:hAnsi="Times New Roman" w:cs="Times New Roman"/>
          <w:sz w:val="24"/>
          <w:szCs w:val="24"/>
        </w:rPr>
        <w:t>In conclusion we can see the difference the effectiveness between drop and delay. We can say that for the drop, regardless of what the window size is, there are still chances of losing a lot of packets therefore resending them again</w:t>
      </w:r>
      <w:r>
        <w:rPr>
          <w:rFonts w:ascii="Times New Roman" w:hAnsi="Times New Roman" w:cs="Times New Roman"/>
          <w:sz w:val="24"/>
          <w:szCs w:val="24"/>
        </w:rPr>
        <w:t>. This means if the window size is 1, it will take a longer time to send due to loss</w:t>
      </w:r>
      <w:r w:rsidRPr="00583FC9">
        <w:rPr>
          <w:rFonts w:ascii="Times New Roman" w:hAnsi="Times New Roman" w:cs="Times New Roman"/>
          <w:sz w:val="24"/>
          <w:szCs w:val="24"/>
        </w:rPr>
        <w:t>. On the other hand, the delay only affect</w:t>
      </w:r>
      <w:r>
        <w:rPr>
          <w:rFonts w:ascii="Times New Roman" w:hAnsi="Times New Roman" w:cs="Times New Roman"/>
          <w:sz w:val="24"/>
          <w:szCs w:val="24"/>
        </w:rPr>
        <w:t>s</w:t>
      </w:r>
      <w:r w:rsidRPr="00583FC9">
        <w:rPr>
          <w:rFonts w:ascii="Times New Roman" w:hAnsi="Times New Roman" w:cs="Times New Roman"/>
          <w:sz w:val="24"/>
          <w:szCs w:val="24"/>
        </w:rPr>
        <w:t xml:space="preserve"> the packets when there is an increase on the window size. If the window size is 1 then, delay is pretty much non-existent since it only affects window size of &gt; 1. However we can see that there is a huge spike in the packets sent when the window size increases exponentially. </w:t>
      </w:r>
      <w:r>
        <w:rPr>
          <w:rFonts w:ascii="Times New Roman" w:hAnsi="Times New Roman" w:cs="Times New Roman"/>
          <w:sz w:val="24"/>
          <w:szCs w:val="24"/>
        </w:rPr>
        <w:t>We can say that handling delay is much easier and much more efficient when sending packets.</w:t>
      </w:r>
    </w:p>
    <w:sectPr w:rsidR="00583FC9" w:rsidRPr="0058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06"/>
    <w:rsid w:val="000F3906"/>
    <w:rsid w:val="001E71CD"/>
    <w:rsid w:val="00547030"/>
    <w:rsid w:val="00583FC9"/>
    <w:rsid w:val="006C56BC"/>
    <w:rsid w:val="009B0AB7"/>
    <w:rsid w:val="009E3BAD"/>
    <w:rsid w:val="00E02F8B"/>
    <w:rsid w:val="00EA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C3F73-86C1-49E5-A7EF-D9F9064C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9962">
      <w:bodyDiv w:val="1"/>
      <w:marLeft w:val="0"/>
      <w:marRight w:val="0"/>
      <w:marTop w:val="0"/>
      <w:marBottom w:val="0"/>
      <w:divBdr>
        <w:top w:val="none" w:sz="0" w:space="0" w:color="auto"/>
        <w:left w:val="none" w:sz="0" w:space="0" w:color="auto"/>
        <w:bottom w:val="none" w:sz="0" w:space="0" w:color="auto"/>
        <w:right w:val="none" w:sz="0" w:space="0" w:color="auto"/>
      </w:divBdr>
    </w:div>
    <w:div w:id="1220705221">
      <w:bodyDiv w:val="1"/>
      <w:marLeft w:val="0"/>
      <w:marRight w:val="0"/>
      <w:marTop w:val="0"/>
      <w:marBottom w:val="0"/>
      <w:divBdr>
        <w:top w:val="none" w:sz="0" w:space="0" w:color="auto"/>
        <w:left w:val="none" w:sz="0" w:space="0" w:color="auto"/>
        <w:bottom w:val="none" w:sz="0" w:space="0" w:color="auto"/>
        <w:right w:val="none" w:sz="0" w:space="0" w:color="auto"/>
      </w:divBdr>
    </w:div>
    <w:div w:id="1527523637">
      <w:bodyDiv w:val="1"/>
      <w:marLeft w:val="0"/>
      <w:marRight w:val="0"/>
      <w:marTop w:val="0"/>
      <w:marBottom w:val="0"/>
      <w:divBdr>
        <w:top w:val="none" w:sz="0" w:space="0" w:color="auto"/>
        <w:left w:val="none" w:sz="0" w:space="0" w:color="auto"/>
        <w:bottom w:val="none" w:sz="0" w:space="0" w:color="auto"/>
        <w:right w:val="none" w:sz="0" w:space="0" w:color="auto"/>
      </w:divBdr>
    </w:div>
    <w:div w:id="1625888606">
      <w:bodyDiv w:val="1"/>
      <w:marLeft w:val="0"/>
      <w:marRight w:val="0"/>
      <w:marTop w:val="0"/>
      <w:marBottom w:val="0"/>
      <w:divBdr>
        <w:top w:val="none" w:sz="0" w:space="0" w:color="auto"/>
        <w:left w:val="none" w:sz="0" w:space="0" w:color="auto"/>
        <w:bottom w:val="none" w:sz="0" w:space="0" w:color="auto"/>
        <w:right w:val="none" w:sz="0" w:space="0" w:color="auto"/>
      </w:divBdr>
    </w:div>
    <w:div w:id="187114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Drop</a:t>
            </a:r>
            <a:r>
              <a:rPr lang="en-US" baseline="0"/>
              <a:t> Report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v>
                </c:pt>
              </c:strCache>
            </c:strRef>
          </c:tx>
          <c:spPr>
            <a:ln w="28575" cap="rnd">
              <a:solidFill>
                <a:schemeClr val="accent1"/>
              </a:solidFill>
              <a:round/>
            </a:ln>
            <a:effectLst/>
          </c:spPr>
          <c:marker>
            <c:symbol val="none"/>
          </c:marker>
          <c:cat>
            <c:numRef>
              <c:f>Sheet1!$A$2:$A$5</c:f>
              <c:numCache>
                <c:formatCode>General</c:formatCode>
                <c:ptCount val="4"/>
                <c:pt idx="0">
                  <c:v>5</c:v>
                </c:pt>
                <c:pt idx="1">
                  <c:v>15</c:v>
                </c:pt>
                <c:pt idx="2">
                  <c:v>35</c:v>
                </c:pt>
                <c:pt idx="3">
                  <c:v>50</c:v>
                </c:pt>
              </c:numCache>
            </c:numRef>
          </c:cat>
          <c:val>
            <c:numRef>
              <c:f>Sheet1!$B$2:$B$5</c:f>
              <c:numCache>
                <c:formatCode>General</c:formatCode>
                <c:ptCount val="4"/>
                <c:pt idx="0">
                  <c:v>18</c:v>
                </c:pt>
                <c:pt idx="1">
                  <c:v>24</c:v>
                </c:pt>
                <c:pt idx="2">
                  <c:v>52</c:v>
                </c:pt>
                <c:pt idx="3">
                  <c:v>51</c:v>
                </c:pt>
              </c:numCache>
            </c:numRef>
          </c:val>
          <c:smooth val="0"/>
        </c:ser>
        <c:ser>
          <c:idx val="1"/>
          <c:order val="1"/>
          <c:tx>
            <c:strRef>
              <c:f>Sheet1!$C$1</c:f>
              <c:strCache>
                <c:ptCount val="1"/>
                <c:pt idx="0">
                  <c:v>7</c:v>
                </c:pt>
              </c:strCache>
            </c:strRef>
          </c:tx>
          <c:spPr>
            <a:ln w="28575" cap="rnd">
              <a:solidFill>
                <a:schemeClr val="accent2"/>
              </a:solidFill>
              <a:round/>
            </a:ln>
            <a:effectLst/>
          </c:spPr>
          <c:marker>
            <c:symbol val="none"/>
          </c:marker>
          <c:cat>
            <c:numRef>
              <c:f>Sheet1!$A$2:$A$5</c:f>
              <c:numCache>
                <c:formatCode>General</c:formatCode>
                <c:ptCount val="4"/>
                <c:pt idx="0">
                  <c:v>5</c:v>
                </c:pt>
                <c:pt idx="1">
                  <c:v>15</c:v>
                </c:pt>
                <c:pt idx="2">
                  <c:v>35</c:v>
                </c:pt>
                <c:pt idx="3">
                  <c:v>50</c:v>
                </c:pt>
              </c:numCache>
            </c:numRef>
          </c:cat>
          <c:val>
            <c:numRef>
              <c:f>Sheet1!$C$2:$C$5</c:f>
              <c:numCache>
                <c:formatCode>General</c:formatCode>
                <c:ptCount val="4"/>
                <c:pt idx="0">
                  <c:v>18</c:v>
                </c:pt>
                <c:pt idx="1">
                  <c:v>336</c:v>
                </c:pt>
                <c:pt idx="2">
                  <c:v>278</c:v>
                </c:pt>
                <c:pt idx="3">
                  <c:v>124</c:v>
                </c:pt>
              </c:numCache>
            </c:numRef>
          </c:val>
          <c:smooth val="0"/>
        </c:ser>
        <c:ser>
          <c:idx val="2"/>
          <c:order val="2"/>
          <c:tx>
            <c:strRef>
              <c:f>Sheet1!$D$1</c:f>
              <c:strCache>
                <c:ptCount val="1"/>
                <c:pt idx="0">
                  <c:v>13</c:v>
                </c:pt>
              </c:strCache>
            </c:strRef>
          </c:tx>
          <c:spPr>
            <a:ln w="28575" cap="rnd">
              <a:solidFill>
                <a:schemeClr val="accent3"/>
              </a:solidFill>
              <a:round/>
            </a:ln>
            <a:effectLst/>
          </c:spPr>
          <c:marker>
            <c:symbol val="none"/>
          </c:marker>
          <c:cat>
            <c:numRef>
              <c:f>Sheet1!$A$2:$A$5</c:f>
              <c:numCache>
                <c:formatCode>General</c:formatCode>
                <c:ptCount val="4"/>
                <c:pt idx="0">
                  <c:v>5</c:v>
                </c:pt>
                <c:pt idx="1">
                  <c:v>15</c:v>
                </c:pt>
                <c:pt idx="2">
                  <c:v>35</c:v>
                </c:pt>
                <c:pt idx="3">
                  <c:v>50</c:v>
                </c:pt>
              </c:numCache>
            </c:numRef>
          </c:cat>
          <c:val>
            <c:numRef>
              <c:f>Sheet1!$D$2:$D$5</c:f>
              <c:numCache>
                <c:formatCode>General</c:formatCode>
                <c:ptCount val="4"/>
                <c:pt idx="0">
                  <c:v>68</c:v>
                </c:pt>
                <c:pt idx="1">
                  <c:v>352</c:v>
                </c:pt>
                <c:pt idx="2">
                  <c:v>226</c:v>
                </c:pt>
                <c:pt idx="3">
                  <c:v>222</c:v>
                </c:pt>
              </c:numCache>
            </c:numRef>
          </c:val>
          <c:smooth val="0"/>
        </c:ser>
        <c:ser>
          <c:idx val="3"/>
          <c:order val="3"/>
          <c:tx>
            <c:strRef>
              <c:f>Sheet1!$E$1</c:f>
              <c:strCache>
                <c:ptCount val="1"/>
                <c:pt idx="0">
                  <c:v>19</c:v>
                </c:pt>
              </c:strCache>
            </c:strRef>
          </c:tx>
          <c:spPr>
            <a:ln w="28575" cap="rnd">
              <a:solidFill>
                <a:schemeClr val="accent4"/>
              </a:solidFill>
              <a:round/>
            </a:ln>
            <a:effectLst/>
          </c:spPr>
          <c:marker>
            <c:symbol val="none"/>
          </c:marker>
          <c:cat>
            <c:numRef>
              <c:f>Sheet1!$A$2:$A$5</c:f>
              <c:numCache>
                <c:formatCode>General</c:formatCode>
                <c:ptCount val="4"/>
                <c:pt idx="0">
                  <c:v>5</c:v>
                </c:pt>
                <c:pt idx="1">
                  <c:v>15</c:v>
                </c:pt>
                <c:pt idx="2">
                  <c:v>35</c:v>
                </c:pt>
                <c:pt idx="3">
                  <c:v>50</c:v>
                </c:pt>
              </c:numCache>
            </c:numRef>
          </c:cat>
          <c:val>
            <c:numRef>
              <c:f>Sheet1!$E$2:$E$5</c:f>
              <c:numCache>
                <c:formatCode>General</c:formatCode>
                <c:ptCount val="4"/>
                <c:pt idx="0">
                  <c:v>164</c:v>
                </c:pt>
                <c:pt idx="1">
                  <c:v>461</c:v>
                </c:pt>
                <c:pt idx="2">
                  <c:v>231</c:v>
                </c:pt>
                <c:pt idx="3">
                  <c:v>367</c:v>
                </c:pt>
              </c:numCache>
            </c:numRef>
          </c:val>
          <c:smooth val="0"/>
        </c:ser>
        <c:dLbls>
          <c:showLegendKey val="0"/>
          <c:showVal val="0"/>
          <c:showCatName val="0"/>
          <c:showSerName val="0"/>
          <c:showPercent val="0"/>
          <c:showBubbleSize val="0"/>
        </c:dLbls>
        <c:smooth val="0"/>
        <c:axId val="793687056"/>
        <c:axId val="791677040"/>
      </c:lineChart>
      <c:catAx>
        <c:axId val="7936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Rate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77040"/>
        <c:crosses val="autoZero"/>
        <c:auto val="1"/>
        <c:lblAlgn val="ctr"/>
        <c:lblOffset val="100"/>
        <c:noMultiLvlLbl val="0"/>
      </c:catAx>
      <c:valAx>
        <c:axId val="79167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Packets Sent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687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a:t>
            </a:r>
            <a:r>
              <a:rPr lang="en-US" baseline="0"/>
              <a:t> Report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v>
                </c:pt>
              </c:strCache>
            </c:strRef>
          </c:tx>
          <c:spPr>
            <a:ln w="28575" cap="rnd">
              <a:solidFill>
                <a:schemeClr val="accent1"/>
              </a:solidFill>
              <a:round/>
            </a:ln>
            <a:effectLst/>
          </c:spPr>
          <c:marker>
            <c:symbol val="none"/>
          </c:marker>
          <c:cat>
            <c:numRef>
              <c:f>Sheet1!$A$2:$A$5</c:f>
              <c:numCache>
                <c:formatCode>General</c:formatCode>
                <c:ptCount val="4"/>
                <c:pt idx="0">
                  <c:v>5</c:v>
                </c:pt>
                <c:pt idx="1">
                  <c:v>15</c:v>
                </c:pt>
                <c:pt idx="2">
                  <c:v>35</c:v>
                </c:pt>
                <c:pt idx="3">
                  <c:v>50</c:v>
                </c:pt>
              </c:numCache>
            </c:numRef>
          </c:cat>
          <c:val>
            <c:numRef>
              <c:f>Sheet1!$B$2:$B$5</c:f>
              <c:numCache>
                <c:formatCode>General</c:formatCode>
                <c:ptCount val="4"/>
                <c:pt idx="0">
                  <c:v>18</c:v>
                </c:pt>
                <c:pt idx="1">
                  <c:v>18</c:v>
                </c:pt>
                <c:pt idx="2">
                  <c:v>18</c:v>
                </c:pt>
                <c:pt idx="3">
                  <c:v>18</c:v>
                </c:pt>
              </c:numCache>
            </c:numRef>
          </c:val>
          <c:smooth val="0"/>
        </c:ser>
        <c:ser>
          <c:idx val="1"/>
          <c:order val="1"/>
          <c:tx>
            <c:strRef>
              <c:f>Sheet1!$C$1</c:f>
              <c:strCache>
                <c:ptCount val="1"/>
                <c:pt idx="0">
                  <c:v>7</c:v>
                </c:pt>
              </c:strCache>
            </c:strRef>
          </c:tx>
          <c:spPr>
            <a:ln w="28575" cap="rnd">
              <a:solidFill>
                <a:schemeClr val="accent2"/>
              </a:solidFill>
              <a:round/>
            </a:ln>
            <a:effectLst/>
          </c:spPr>
          <c:marker>
            <c:symbol val="none"/>
          </c:marker>
          <c:cat>
            <c:numRef>
              <c:f>Sheet1!$A$2:$A$5</c:f>
              <c:numCache>
                <c:formatCode>General</c:formatCode>
                <c:ptCount val="4"/>
                <c:pt idx="0">
                  <c:v>5</c:v>
                </c:pt>
                <c:pt idx="1">
                  <c:v>15</c:v>
                </c:pt>
                <c:pt idx="2">
                  <c:v>35</c:v>
                </c:pt>
                <c:pt idx="3">
                  <c:v>50</c:v>
                </c:pt>
              </c:numCache>
            </c:numRef>
          </c:cat>
          <c:val>
            <c:numRef>
              <c:f>Sheet1!$C$2:$C$5</c:f>
              <c:numCache>
                <c:formatCode>General</c:formatCode>
                <c:ptCount val="4"/>
                <c:pt idx="0">
                  <c:v>18</c:v>
                </c:pt>
                <c:pt idx="1">
                  <c:v>19</c:v>
                </c:pt>
                <c:pt idx="2">
                  <c:v>21</c:v>
                </c:pt>
                <c:pt idx="3">
                  <c:v>35</c:v>
                </c:pt>
              </c:numCache>
            </c:numRef>
          </c:val>
          <c:smooth val="0"/>
        </c:ser>
        <c:ser>
          <c:idx val="2"/>
          <c:order val="2"/>
          <c:tx>
            <c:strRef>
              <c:f>Sheet1!$D$1</c:f>
              <c:strCache>
                <c:ptCount val="1"/>
                <c:pt idx="0">
                  <c:v>13</c:v>
                </c:pt>
              </c:strCache>
            </c:strRef>
          </c:tx>
          <c:spPr>
            <a:ln w="28575" cap="rnd">
              <a:solidFill>
                <a:schemeClr val="accent3"/>
              </a:solidFill>
              <a:round/>
            </a:ln>
            <a:effectLst/>
          </c:spPr>
          <c:marker>
            <c:symbol val="none"/>
          </c:marker>
          <c:cat>
            <c:numRef>
              <c:f>Sheet1!$A$2:$A$5</c:f>
              <c:numCache>
                <c:formatCode>General</c:formatCode>
                <c:ptCount val="4"/>
                <c:pt idx="0">
                  <c:v>5</c:v>
                </c:pt>
                <c:pt idx="1">
                  <c:v>15</c:v>
                </c:pt>
                <c:pt idx="2">
                  <c:v>35</c:v>
                </c:pt>
                <c:pt idx="3">
                  <c:v>50</c:v>
                </c:pt>
              </c:numCache>
            </c:numRef>
          </c:cat>
          <c:val>
            <c:numRef>
              <c:f>Sheet1!$D$2:$D$5</c:f>
              <c:numCache>
                <c:formatCode>General</c:formatCode>
                <c:ptCount val="4"/>
                <c:pt idx="0">
                  <c:v>26</c:v>
                </c:pt>
                <c:pt idx="1">
                  <c:v>31</c:v>
                </c:pt>
                <c:pt idx="2">
                  <c:v>99</c:v>
                </c:pt>
                <c:pt idx="3">
                  <c:v>318</c:v>
                </c:pt>
              </c:numCache>
            </c:numRef>
          </c:val>
          <c:smooth val="0"/>
        </c:ser>
        <c:ser>
          <c:idx val="3"/>
          <c:order val="3"/>
          <c:tx>
            <c:strRef>
              <c:f>Sheet1!$E$1</c:f>
              <c:strCache>
                <c:ptCount val="1"/>
                <c:pt idx="0">
                  <c:v>19</c:v>
                </c:pt>
              </c:strCache>
            </c:strRef>
          </c:tx>
          <c:spPr>
            <a:ln w="28575" cap="rnd">
              <a:solidFill>
                <a:schemeClr val="accent4"/>
              </a:solidFill>
              <a:round/>
            </a:ln>
            <a:effectLst/>
          </c:spPr>
          <c:marker>
            <c:symbol val="none"/>
          </c:marker>
          <c:cat>
            <c:numRef>
              <c:f>Sheet1!$A$2:$A$5</c:f>
              <c:numCache>
                <c:formatCode>General</c:formatCode>
                <c:ptCount val="4"/>
                <c:pt idx="0">
                  <c:v>5</c:v>
                </c:pt>
                <c:pt idx="1">
                  <c:v>15</c:v>
                </c:pt>
                <c:pt idx="2">
                  <c:v>35</c:v>
                </c:pt>
                <c:pt idx="3">
                  <c:v>50</c:v>
                </c:pt>
              </c:numCache>
            </c:numRef>
          </c:cat>
          <c:val>
            <c:numRef>
              <c:f>Sheet1!$E$2:$E$5</c:f>
              <c:numCache>
                <c:formatCode>General</c:formatCode>
                <c:ptCount val="4"/>
                <c:pt idx="0">
                  <c:v>30</c:v>
                </c:pt>
                <c:pt idx="1">
                  <c:v>91</c:v>
                </c:pt>
                <c:pt idx="2">
                  <c:v>310</c:v>
                </c:pt>
                <c:pt idx="3">
                  <c:v>463</c:v>
                </c:pt>
              </c:numCache>
            </c:numRef>
          </c:val>
          <c:smooth val="0"/>
        </c:ser>
        <c:dLbls>
          <c:showLegendKey val="0"/>
          <c:showVal val="0"/>
          <c:showCatName val="0"/>
          <c:showSerName val="0"/>
          <c:showPercent val="0"/>
          <c:showBubbleSize val="0"/>
        </c:dLbls>
        <c:smooth val="0"/>
        <c:axId val="801673352"/>
        <c:axId val="801673744"/>
      </c:lineChart>
      <c:catAx>
        <c:axId val="801673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Rate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673744"/>
        <c:crosses val="autoZero"/>
        <c:auto val="1"/>
        <c:lblAlgn val="ctr"/>
        <c:lblOffset val="100"/>
        <c:noMultiLvlLbl val="0"/>
      </c:catAx>
      <c:valAx>
        <c:axId val="80167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Packets Sent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673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 Ortega</cp:lastModifiedBy>
  <cp:revision>2</cp:revision>
  <dcterms:created xsi:type="dcterms:W3CDTF">2014-11-09T04:15:00Z</dcterms:created>
  <dcterms:modified xsi:type="dcterms:W3CDTF">2014-11-28T03:30:00Z</dcterms:modified>
</cp:coreProperties>
</file>