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64A3D"/>
          <w:sz w:val="40"/>
          <w:szCs w:val="40"/>
        </w:rPr>
        <w:t xml:space="preserve">HARMONY GROVE</w:t>
      </w:r>
    </w:p>
    <w:p>
      <w:pPr>
        <w:spacing w:after="40"/>
        <w:jc w:val="center"/>
      </w:pPr>
      <w:r>
        <w:rPr>
          <w:i/>
          <w:iCs/>
          <w:color w:val="C9A34E"/>
          <w:sz w:val="24"/>
          <w:szCs w:val="24"/>
        </w:rPr>
        <w:t xml:space="preserve">Business Revenue, Client &amp; Tutor Behaviour Analysis</w:t>
      </w:r>
    </w:p>
    <w:p>
      <w:pPr>
        <w:pBdr>
          <w:bottom w:val="single" w:color="C9A34E" w:sz="6" w:space="8"/>
        </w:pBdr>
        <w:spacing w:after="400"/>
        <w:jc w:val="center"/>
      </w:pPr>
      <w:r>
        <w:rPr>
          <w:color w:val="555555"/>
          <w:sz w:val="18"/>
          <w:szCs w:val="18"/>
        </w:rPr>
        <w:t xml:space="preserve">Prepared by Francis Blessing Osewayeme  |  Updated August 2026</w:t>
      </w:r>
    </w:p>
    <w:p>
      <w:pPr>
        <w:pStyle w:val="Heading1"/>
        <w:spacing w:after="160" w:before="320"/>
      </w:pPr>
      <w:r>
        <w:rPr>
          <w:b/>
          <w:bCs/>
          <w:color w:val="164A3D"/>
          <w:sz w:val="30"/>
          <w:szCs w:val="30"/>
        </w:rPr>
        <w:t xml:space="preserve">Business Problem</w:t>
      </w:r>
    </w:p>
    <w:p>
      <w:pPr>
        <w:spacing w:after="160"/>
      </w:pPr>
      <w:r>
        <w:rPr>
          <w:sz w:val="21"/>
          <w:szCs w:val="21"/>
        </w:rPr>
        <w:t xml:space="preserve">Harmony Grove is a multi-service music lesson and events business operating across six Nigerian cities, generating revenue through three distinct streams: individual and school lesson bookings, corporate contracts, and a subscription product (Prodigies Prime &amp; Pro). Prior to this project, the business had no unified view of performance across these streams - tutor performance, client engagement, and revenue efficiency were tracked informally and separately, making it difficult to answer basic operational questions: which tutors are at risk of leaving, whether corporate clients are getting value from their contracts, and which client acquisition channels are actually worth investing in.</w:t>
      </w:r>
    </w:p>
    <w:p>
      <w:pPr>
        <w:spacing w:after="160"/>
      </w:pPr>
      <w:r>
        <w:rPr>
          <w:sz w:val="21"/>
          <w:szCs w:val="21"/>
        </w:rPr>
        <w:t xml:space="preserve">This project builds a structured data model (SQL) and a multi-page interactive Power BI dashboard to answer these questions directly from the data, and to surface insights the business could act on immediately.</w:t>
      </w:r>
    </w:p>
    <w:p>
      <w:pPr>
        <w:pStyle w:val="Heading1"/>
        <w:spacing w:after="160" w:before="320"/>
      </w:pPr>
      <w:r>
        <w:rPr>
          <w:b/>
          <w:bCs/>
          <w:color w:val="164A3D"/>
          <w:sz w:val="30"/>
          <w:szCs w:val="30"/>
        </w:rPr>
        <w:t xml:space="preserve">Key Metrics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3500"/>
      </w:tblGrid>
      <w:tr>
        <w:tc>
          <w:tcPr>
            <w:tcW w:type="dxa" w:w="4000"/>
            <w:shd w:fill="164A3D" w:val="clear"/>
          </w:tcPr>
          <w:p>
            <w:r>
              <w:rPr>
                <w:b/>
                <w:bCs/>
                <w:color w:val="FFFFFF"/>
                <w:sz w:val="19"/>
                <w:szCs w:val="19"/>
              </w:rPr>
              <w:t xml:space="preserve">Metric</w:t>
            </w:r>
          </w:p>
        </w:tc>
        <w:tc>
          <w:tcPr>
            <w:tcW w:type="dxa" w:w="2500"/>
            <w:shd w:fill="164A3D" w:val="clear"/>
          </w:tcPr>
          <w:p>
            <w:r>
              <w:rPr>
                <w:b/>
                <w:bCs/>
                <w:color w:val="FFFFFF"/>
                <w:sz w:val="19"/>
                <w:szCs w:val="19"/>
              </w:rPr>
              <w:t xml:space="preserve">Value</w:t>
            </w:r>
          </w:p>
        </w:tc>
        <w:tc>
          <w:tcPr>
            <w:tcW w:type="dxa" w:w="3500"/>
            <w:shd w:fill="164A3D" w:val="clear"/>
          </w:tcPr>
          <w:p>
            <w:r>
              <w:rPr>
                <w:b/>
                <w:bCs/>
                <w:color w:val="FFFFFF"/>
                <w:sz w:val="19"/>
                <w:szCs w:val="19"/>
              </w:rPr>
              <w:t xml:space="preserve">Notes</w:t>
            </w:r>
          </w:p>
        </w:tc>
      </w:tr>
      <w:tr>
        <w:tc>
          <w:tcPr>
            <w:tcW w:type="dxa" w:w="4000"/>
          </w:tcPr>
          <w:p>
            <w:r>
              <w:rPr>
                <w:b w:val="false"/>
                <w:bCs w:val="false"/>
                <w:color w:val="000000"/>
                <w:sz w:val="19"/>
                <w:szCs w:val="19"/>
              </w:rPr>
              <w:t xml:space="preserve">Revenue Generated (Collected)</w:t>
            </w:r>
          </w:p>
        </w:tc>
        <w:tc>
          <w:tcPr>
            <w:tcW w:type="dxa" w:w="2500"/>
          </w:tcPr>
          <w:p>
            <w:r>
              <w:rPr>
                <w:b w:val="false"/>
                <w:bCs w:val="false"/>
                <w:color w:val="000000"/>
                <w:sz w:val="19"/>
                <w:szCs w:val="19"/>
              </w:rPr>
              <w:t xml:space="preserve">₦80.37M</w:t>
            </w:r>
          </w:p>
        </w:tc>
        <w:tc>
          <w:tcPr>
            <w:tcW w:type="dxa" w:w="3500"/>
          </w:tcPr>
          <w:p>
            <w:r>
              <w:rPr>
                <w:b w:val="false"/>
                <w:bCs w:val="false"/>
                <w:color w:val="000000"/>
                <w:sz w:val="19"/>
                <w:szCs w:val="19"/>
              </w:rPr>
              <w:t xml:space="preserve">Gross Revenue: ₦96.68M</w:t>
            </w:r>
          </w:p>
        </w:tc>
      </w:tr>
      <w:tr>
        <w:tc>
          <w:tcPr>
            <w:tcW w:type="dxa" w:w="4000"/>
          </w:tcPr>
          <w:p>
            <w:r>
              <w:rPr>
                <w:b w:val="false"/>
                <w:bCs w:val="false"/>
                <w:color w:val="000000"/>
                <w:sz w:val="19"/>
                <w:szCs w:val="19"/>
              </w:rPr>
              <w:t xml:space="preserve">YoY Sales Growth</w:t>
            </w:r>
          </w:p>
        </w:tc>
        <w:tc>
          <w:tcPr>
            <w:tcW w:type="dxa" w:w="2500"/>
          </w:tcPr>
          <w:p>
            <w:r>
              <w:rPr>
                <w:b w:val="false"/>
                <w:bCs w:val="false"/>
                <w:color w:val="000000"/>
                <w:sz w:val="19"/>
                <w:szCs w:val="19"/>
              </w:rPr>
              <w:t xml:space="preserve">84.18%</w:t>
            </w:r>
          </w:p>
        </w:tc>
        <w:tc>
          <w:tcPr>
            <w:tcW w:type="dxa" w:w="3500"/>
          </w:tcPr>
          <w:p>
            <w:r>
              <w:rPr>
                <w:b w:val="false"/>
                <w:bCs w:val="false"/>
                <w:color w:val="000000"/>
                <w:sz w:val="19"/>
                <w:szCs w:val="19"/>
              </w:rPr>
              <w:t xml:space="preserve">Corrected measure; see Finding #7</w:t>
            </w:r>
          </w:p>
        </w:tc>
      </w:tr>
      <w:tr>
        <w:tc>
          <w:tcPr>
            <w:tcW w:type="dxa" w:w="4000"/>
          </w:tcPr>
          <w:p>
            <w:r>
              <w:rPr>
                <w:b w:val="false"/>
                <w:bCs w:val="false"/>
                <w:color w:val="000000"/>
                <w:sz w:val="19"/>
                <w:szCs w:val="19"/>
              </w:rPr>
              <w:t xml:space="preserve">Total Clients / Active Clients</w:t>
            </w:r>
          </w:p>
        </w:tc>
        <w:tc>
          <w:tcPr>
            <w:tcW w:type="dxa" w:w="2500"/>
          </w:tcPr>
          <w:p>
            <w:r>
              <w:rPr>
                <w:b w:val="false"/>
                <w:bCs w:val="false"/>
                <w:color w:val="000000"/>
                <w:sz w:val="19"/>
                <w:szCs w:val="19"/>
              </w:rPr>
              <w:t xml:space="preserve">420 / 407</w:t>
            </w:r>
          </w:p>
        </w:tc>
        <w:tc>
          <w:tcPr>
            <w:tcW w:type="dxa" w:w="3500"/>
          </w:tcPr>
          <w:p>
            <w:r>
              <w:rPr>
                <w:b w:val="false"/>
                <w:bCs w:val="false"/>
                <w:color w:val="000000"/>
                <w:sz w:val="19"/>
                <w:szCs w:val="19"/>
              </w:rPr>
              <w:t xml:space="preserve">96.9% of clients active</w:t>
            </w:r>
          </w:p>
        </w:tc>
      </w:tr>
      <w:tr>
        <w:tc>
          <w:tcPr>
            <w:tcW w:type="dxa" w:w="4000"/>
          </w:tcPr>
          <w:p>
            <w:r>
              <w:rPr>
                <w:b w:val="false"/>
                <w:bCs w:val="false"/>
                <w:color w:val="000000"/>
                <w:sz w:val="19"/>
                <w:szCs w:val="19"/>
              </w:rPr>
              <w:t xml:space="preserve">Total Tutors / Active Tutors</w:t>
            </w:r>
          </w:p>
        </w:tc>
        <w:tc>
          <w:tcPr>
            <w:tcW w:type="dxa" w:w="2500"/>
          </w:tcPr>
          <w:p>
            <w:r>
              <w:rPr>
                <w:b w:val="false"/>
                <w:bCs w:val="false"/>
                <w:color w:val="000000"/>
                <w:sz w:val="19"/>
                <w:szCs w:val="19"/>
              </w:rPr>
              <w:t xml:space="preserve">88 / 64</w:t>
            </w:r>
          </w:p>
        </w:tc>
        <w:tc>
          <w:tcPr>
            <w:tcW w:type="dxa" w:w="3500"/>
          </w:tcPr>
          <w:p>
            <w:r>
              <w:rPr>
                <w:b w:val="false"/>
                <w:bCs w:val="false"/>
                <w:color w:val="000000"/>
                <w:sz w:val="19"/>
                <w:szCs w:val="19"/>
              </w:rPr>
              <w:t xml:space="preserve">Retention rate: 72.7%</w:t>
            </w:r>
          </w:p>
        </w:tc>
      </w:tr>
      <w:tr>
        <w:tc>
          <w:tcPr>
            <w:tcW w:type="dxa" w:w="4000"/>
          </w:tcPr>
          <w:p>
            <w:r>
              <w:rPr>
                <w:b w:val="false"/>
                <w:bCs w:val="false"/>
                <w:color w:val="000000"/>
                <w:sz w:val="19"/>
                <w:szCs w:val="19"/>
              </w:rPr>
              <w:t xml:space="preserve">Total / Completed Transactions</w:t>
            </w:r>
          </w:p>
        </w:tc>
        <w:tc>
          <w:tcPr>
            <w:tcW w:type="dxa" w:w="2500"/>
          </w:tcPr>
          <w:p>
            <w:r>
              <w:rPr>
                <w:b w:val="false"/>
                <w:bCs w:val="false"/>
                <w:color w:val="000000"/>
                <w:sz w:val="19"/>
                <w:szCs w:val="19"/>
              </w:rPr>
              <w:t xml:space="preserve">8K / 6K</w:t>
            </w:r>
          </w:p>
        </w:tc>
        <w:tc>
          <w:tcPr>
            <w:tcW w:type="dxa" w:w="3500"/>
          </w:tcPr>
          <w:p>
            <w:r>
              <w:rPr>
                <w:b w:val="false"/>
                <w:bCs w:val="false"/>
                <w:color w:val="000000"/>
                <w:sz w:val="19"/>
                <w:szCs w:val="19"/>
              </w:rPr>
              <w:t xml:space="preserve">-</w:t>
            </w:r>
          </w:p>
        </w:tc>
      </w:tr>
      <w:tr>
        <w:tc>
          <w:tcPr>
            <w:tcW w:type="dxa" w:w="4000"/>
          </w:tcPr>
          <w:p>
            <w:r>
              <w:rPr>
                <w:b w:val="false"/>
                <w:bCs w:val="false"/>
                <w:color w:val="000000"/>
                <w:sz w:val="19"/>
                <w:szCs w:val="19"/>
              </w:rPr>
              <w:t xml:space="preserve">Corporate Contract Utilization</w:t>
            </w:r>
          </w:p>
        </w:tc>
        <w:tc>
          <w:tcPr>
            <w:tcW w:type="dxa" w:w="2500"/>
          </w:tcPr>
          <w:p>
            <w:r>
              <w:rPr>
                <w:b w:val="false"/>
                <w:bCs w:val="false"/>
                <w:color w:val="000000"/>
                <w:sz w:val="19"/>
                <w:szCs w:val="19"/>
              </w:rPr>
              <w:t xml:space="preserve">47.80%</w:t>
            </w:r>
          </w:p>
        </w:tc>
        <w:tc>
          <w:tcPr>
            <w:tcW w:type="dxa" w:w="3500"/>
          </w:tcPr>
          <w:p>
            <w:r>
              <w:rPr>
                <w:b w:val="false"/>
                <w:bCs w:val="false"/>
                <w:color w:val="000000"/>
                <w:sz w:val="19"/>
                <w:szCs w:val="19"/>
              </w:rPr>
              <w:t xml:space="preserve">Range: 46.35% - 51.36% by status</w:t>
            </w:r>
          </w:p>
        </w:tc>
      </w:tr>
      <w:tr>
        <w:tc>
          <w:tcPr>
            <w:tcW w:type="dxa" w:w="4000"/>
          </w:tcPr>
          <w:p>
            <w:r>
              <w:rPr>
                <w:b w:val="false"/>
                <w:bCs w:val="false"/>
                <w:color w:val="000000"/>
                <w:sz w:val="19"/>
                <w:szCs w:val="19"/>
              </w:rPr>
              <w:t xml:space="preserve">Subscription Renewal Rate</w:t>
            </w:r>
          </w:p>
        </w:tc>
        <w:tc>
          <w:tcPr>
            <w:tcW w:type="dxa" w:w="2500"/>
          </w:tcPr>
          <w:p>
            <w:r>
              <w:rPr>
                <w:b w:val="false"/>
                <w:bCs w:val="false"/>
                <w:color w:val="000000"/>
                <w:sz w:val="19"/>
                <w:szCs w:val="19"/>
              </w:rPr>
              <w:t xml:space="preserve">43%</w:t>
            </w:r>
          </w:p>
        </w:tc>
        <w:tc>
          <w:tcPr>
            <w:tcW w:type="dxa" w:w="3500"/>
          </w:tcPr>
          <w:p>
            <w:r>
              <w:rPr>
                <w:b w:val="false"/>
                <w:bCs w:val="false"/>
                <w:color w:val="000000"/>
                <w:sz w:val="19"/>
                <w:szCs w:val="19"/>
              </w:rPr>
              <w:t xml:space="preserve">Target: 70%</w:t>
            </w:r>
          </w:p>
        </w:tc>
      </w:tr>
    </w:tbl>
    <w:p>
      <w:r>
        <w:br w:type="page"/>
      </w:r>
    </w:p>
    <w:p>
      <w:pPr>
        <w:pStyle w:val="Heading1"/>
        <w:spacing w:after="160" w:before="320"/>
      </w:pPr>
      <w:r>
        <w:rPr>
          <w:b/>
          <w:bCs/>
          <w:color w:val="164A3D"/>
          <w:sz w:val="30"/>
          <w:szCs w:val="30"/>
        </w:rPr>
        <w:t xml:space="preserve">Business Questions &amp; Findings</w:t>
      </w:r>
    </w:p>
    <w:p>
      <w:pPr>
        <w:spacing w:after="160"/>
      </w:pPr>
      <w:r>
        <w:rPr>
          <w:sz w:val="21"/>
          <w:szCs w:val="21"/>
        </w:rPr>
        <w:t xml:space="preserve">Each finding below was read directly from the underlying dataset and validated on the live dashboard. Findings are stated as facts; implications are the analytical interpretation.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3000"/>
      </w:tblGrid>
      <w:tr>
        <w:tc>
          <w:tcPr>
            <w:tcW w:type="dxa" w:w="2600"/>
            <w:shd w:fill="164A3D" w:val="clear"/>
          </w:tcPr>
          <w:p>
            <w:r>
              <w:rPr>
                <w:b/>
                <w:bCs/>
                <w:color w:val="FFFFFF"/>
                <w:sz w:val="19"/>
                <w:szCs w:val="19"/>
              </w:rPr>
              <w:t xml:space="preserve">Business Question</w:t>
            </w:r>
          </w:p>
        </w:tc>
        <w:tc>
          <w:tcPr>
            <w:tcW w:type="dxa" w:w="4400"/>
            <w:shd w:fill="164A3D" w:val="clear"/>
          </w:tcPr>
          <w:p>
            <w:r>
              <w:rPr>
                <w:b/>
                <w:bCs/>
                <w:color w:val="FFFFFF"/>
                <w:sz w:val="19"/>
                <w:szCs w:val="19"/>
              </w:rPr>
              <w:t xml:space="preserve">Finding</w:t>
            </w:r>
          </w:p>
        </w:tc>
        <w:tc>
          <w:tcPr>
            <w:tcW w:type="dxa" w:w="3000"/>
            <w:shd w:fill="164A3D" w:val="clear"/>
          </w:tcPr>
          <w:p>
            <w:r>
              <w:rPr>
                <w:b/>
                <w:bCs/>
                <w:color w:val="FFFFFF"/>
                <w:sz w:val="19"/>
                <w:szCs w:val="19"/>
              </w:rPr>
              <w:t xml:space="preserve">Implication</w:t>
            </w:r>
          </w:p>
        </w:tc>
      </w:tr>
      <w:tr>
        <w:tc>
          <w:tcPr>
            <w:tcW w:type="dxa" w:w="2600"/>
          </w:tcPr>
          <w:p>
            <w:r>
              <w:rPr>
                <w:b w:val="false"/>
                <w:bCs w:val="false"/>
                <w:color w:val="000000"/>
                <w:sz w:val="19"/>
                <w:szCs w:val="19"/>
              </w:rPr>
              <w:t xml:space="preserve">Does client rating predict tutor churn?</w:t>
            </w:r>
          </w:p>
        </w:tc>
        <w:tc>
          <w:tcPr>
            <w:tcW w:type="dxa" w:w="4400"/>
          </w:tcPr>
          <w:p>
            <w:r>
              <w:rPr>
                <w:b w:val="false"/>
                <w:bCs w:val="false"/>
                <w:color w:val="000000"/>
                <w:sz w:val="19"/>
                <w:szCs w:val="19"/>
              </w:rPr>
              <w:t xml:space="preserve">Churn rises from 10% (top-rated tutors) to a peak of 50% in the 3.0-3.49 rating band, before easing slightly to 36.4% below 3.0.</w:t>
            </w:r>
          </w:p>
        </w:tc>
        <w:tc>
          <w:tcPr>
            <w:tcW w:type="dxa" w:w="3000"/>
          </w:tcPr>
          <w:p>
            <w:r>
              <w:rPr>
                <w:b w:val="false"/>
                <w:bCs w:val="false"/>
                <w:color w:val="000000"/>
                <w:sz w:val="19"/>
                <w:szCs w:val="19"/>
              </w:rPr>
              <w:t xml:space="preserve">A rating around 3.0-3.49 is the critical early-warning zone; tutors entering this band should be flagged for support before they exit entirely.</w:t>
            </w:r>
          </w:p>
        </w:tc>
      </w:tr>
      <w:tr>
        <w:tc>
          <w:tcPr>
            <w:tcW w:type="dxa" w:w="2600"/>
          </w:tcPr>
          <w:p>
            <w:r>
              <w:rPr>
                <w:b w:val="false"/>
                <w:bCs w:val="false"/>
                <w:color w:val="000000"/>
                <w:sz w:val="19"/>
                <w:szCs w:val="19"/>
              </w:rPr>
              <w:t xml:space="preserve">Why are tutors actually leaving?</w:t>
            </w:r>
          </w:p>
        </w:tc>
        <w:tc>
          <w:tcPr>
            <w:tcW w:type="dxa" w:w="4400"/>
          </w:tcPr>
          <w:p>
            <w:r>
              <w:rPr>
                <w:b w:val="false"/>
                <w:bCs w:val="false"/>
                <w:color w:val="000000"/>
                <w:sz w:val="19"/>
                <w:szCs w:val="19"/>
              </w:rPr>
              <w:t xml:space="preserve">Low bookings/pay is the single largest driver of tutor exits, ahead of better opportunities, policy violations, low ratings, relocation, and attendance issues.</w:t>
            </w:r>
          </w:p>
        </w:tc>
        <w:tc>
          <w:tcPr>
            <w:tcW w:type="dxa" w:w="3000"/>
          </w:tcPr>
          <w:p>
            <w:r>
              <w:rPr>
                <w:b w:val="false"/>
                <w:bCs w:val="false"/>
                <w:color w:val="000000"/>
                <w:sz w:val="19"/>
                <w:szCs w:val="19"/>
              </w:rPr>
              <w:t xml:space="preserve">Attrition is more strongly linked to income/utilization than to skill or conduct - pointing to a booking-distribution problem, not a performance problem.</w:t>
            </w:r>
          </w:p>
        </w:tc>
      </w:tr>
      <w:tr>
        <w:tc>
          <w:tcPr>
            <w:tcW w:type="dxa" w:w="2600"/>
          </w:tcPr>
          <w:p>
            <w:r>
              <w:rPr>
                <w:b w:val="false"/>
                <w:bCs w:val="false"/>
                <w:color w:val="000000"/>
                <w:sz w:val="19"/>
                <w:szCs w:val="19"/>
              </w:rPr>
              <w:t xml:space="preserve">Which segment and source drive the most revenue?</w:t>
            </w:r>
          </w:p>
        </w:tc>
        <w:tc>
          <w:tcPr>
            <w:tcW w:type="dxa" w:w="4400"/>
          </w:tcPr>
          <w:p>
            <w:r>
              <w:rPr>
                <w:b w:val="false"/>
                <w:bCs w:val="false"/>
                <w:color w:val="000000"/>
                <w:sz w:val="19"/>
                <w:szCs w:val="19"/>
              </w:rPr>
              <w:t xml:space="preserve">Bookings account for 61.39% of revenue, corporate contracts 32.3%, and subscriptions just 6.31% - a small share for a dedicated product line.</w:t>
            </w:r>
          </w:p>
        </w:tc>
        <w:tc>
          <w:tcPr>
            <w:tcW w:type="dxa" w:w="3000"/>
          </w:tcPr>
          <w:p>
            <w:r>
              <w:rPr>
                <w:b w:val="false"/>
                <w:bCs w:val="false"/>
                <w:color w:val="000000"/>
                <w:sz w:val="19"/>
                <w:szCs w:val="19"/>
              </w:rPr>
              <w:t xml:space="preserve">Subscriptions are heavily under-monetized relative to the other two streams and warrant a dedicated growth push.</w:t>
            </w:r>
          </w:p>
        </w:tc>
      </w:tr>
      <w:tr>
        <w:tc>
          <w:tcPr>
            <w:tcW w:type="dxa" w:w="2600"/>
          </w:tcPr>
          <w:p>
            <w:r>
              <w:rPr>
                <w:b w:val="false"/>
                <w:bCs w:val="false"/>
                <w:color w:val="000000"/>
                <w:sz w:val="19"/>
                <w:szCs w:val="19"/>
              </w:rPr>
              <w:t xml:space="preserve">Are pre-paid corporate sessions being used?</w:t>
            </w:r>
          </w:p>
        </w:tc>
        <w:tc>
          <w:tcPr>
            <w:tcW w:type="dxa" w:w="4400"/>
          </w:tcPr>
          <w:p>
            <w:r>
              <w:rPr>
                <w:b w:val="false"/>
                <w:bCs w:val="false"/>
                <w:color w:val="000000"/>
                <w:sz w:val="19"/>
                <w:szCs w:val="19"/>
              </w:rPr>
              <w:t xml:space="preserve">Corporate contracts are utilized at only 47.80% on average, and utilization is broadly similar across Active, Renewed, Completed, and even Cancelled contracts (46-51% range).</w:t>
            </w:r>
          </w:p>
        </w:tc>
        <w:tc>
          <w:tcPr>
            <w:tcW w:type="dxa" w:w="3000"/>
          </w:tcPr>
          <w:p>
            <w:r>
              <w:rPr>
                <w:b w:val="false"/>
                <w:bCs w:val="false"/>
                <w:color w:val="000000"/>
                <w:sz w:val="19"/>
                <w:szCs w:val="19"/>
              </w:rPr>
              <w:t xml:space="preserve">Under-utilization is a business-wide pattern, not isolated to at-risk accounts - suggesting clients may not be fully aware of or able to easily redeem their paid sessions.</w:t>
            </w:r>
          </w:p>
        </w:tc>
      </w:tr>
      <w:tr>
        <w:tc>
          <w:tcPr>
            <w:tcW w:type="dxa" w:w="2600"/>
          </w:tcPr>
          <w:p>
            <w:r>
              <w:rPr>
                <w:b w:val="false"/>
                <w:bCs w:val="false"/>
                <w:color w:val="000000"/>
                <w:sz w:val="19"/>
                <w:szCs w:val="19"/>
              </w:rPr>
              <w:t xml:space="preserve">How does referral source affect engagement?</w:t>
            </w:r>
          </w:p>
        </w:tc>
        <w:tc>
          <w:tcPr>
            <w:tcW w:type="dxa" w:w="4400"/>
          </w:tcPr>
          <w:p>
            <w:r>
              <w:rPr>
                <w:b w:val="false"/>
                <w:bCs w:val="false"/>
                <w:color w:val="000000"/>
                <w:sz w:val="19"/>
                <w:szCs w:val="19"/>
              </w:rPr>
              <w:t xml:space="preserve">Word of Mouth brings 69 clients who generate 1,880 completed transactions - far outpacing Facebook and Google Search, which bring more or equal clients (72 each) but only 1,064 transactions.</w:t>
            </w:r>
          </w:p>
        </w:tc>
        <w:tc>
          <w:tcPr>
            <w:tcW w:type="dxa" w:w="3000"/>
          </w:tcPr>
          <w:p>
            <w:r>
              <w:rPr>
                <w:b w:val="false"/>
                <w:bCs w:val="false"/>
                <w:color w:val="000000"/>
                <w:sz w:val="19"/>
                <w:szCs w:val="19"/>
              </w:rPr>
              <w:t xml:space="preserve">Word-of-mouth clients are dramatically more engaged than paid-channel clients; this is the highest-quality, lowest-cost acquisition source in the business.</w:t>
            </w:r>
          </w:p>
        </w:tc>
      </w:tr>
      <w:tr>
        <w:tc>
          <w:tcPr>
            <w:tcW w:type="dxa" w:w="2600"/>
          </w:tcPr>
          <w:p>
            <w:r>
              <w:rPr>
                <w:b w:val="false"/>
                <w:bCs w:val="false"/>
                <w:color w:val="000000"/>
                <w:sz w:val="19"/>
                <w:szCs w:val="19"/>
              </w:rPr>
              <w:t xml:space="preserve">Does tutor headcount by city predict revenue?</w:t>
            </w:r>
          </w:p>
        </w:tc>
        <w:tc>
          <w:tcPr>
            <w:tcW w:type="dxa" w:w="4400"/>
          </w:tcPr>
          <w:p>
            <w:r>
              <w:rPr>
                <w:b w:val="false"/>
                <w:bCs w:val="false"/>
                <w:color w:val="000000"/>
                <w:sz w:val="19"/>
                <w:szCs w:val="19"/>
              </w:rPr>
              <w:t xml:space="preserve">No. Enugu (20 tutors) and Lagos (17 tutors) generate the lowest revenue and transactions per tutor (₦678K and ₦805K, 45.4 and 52.3 transactions respectively), while Uyo (13 tutors) and Benin City (14 tutors) generate the highest (₦1.1M-₦1.14M, 88.7-106.6 transactions per tutor) despite far fewer tutors and fewer clients.</w:t>
            </w:r>
          </w:p>
        </w:tc>
        <w:tc>
          <w:tcPr>
            <w:tcW w:type="dxa" w:w="3000"/>
          </w:tcPr>
          <w:p>
            <w:r>
              <w:rPr>
                <w:b w:val="false"/>
                <w:bCs w:val="false"/>
                <w:color w:val="000000"/>
                <w:sz w:val="19"/>
                <w:szCs w:val="19"/>
              </w:rPr>
              <w:t xml:space="preserve">Revenue is driven by tutor productivity and client engagement per city, not by headcount. Enugu and Lagos may be over-staffed relative to demand; Uyo and Benin City show a leaner, higher-performing model worth studying and replicating.</w:t>
            </w:r>
          </w:p>
        </w:tc>
      </w:tr>
      <w:tr>
        <w:tc>
          <w:tcPr>
            <w:tcW w:type="dxa" w:w="2600"/>
          </w:tcPr>
          <w:p>
            <w:r>
              <w:rPr>
                <w:b w:val="false"/>
                <w:bCs w:val="false"/>
                <w:color w:val="000000"/>
                <w:sz w:val="19"/>
                <w:szCs w:val="19"/>
              </w:rPr>
              <w:t xml:space="preserve">Is 84.18% YoY growth a trustworthy figure?</w:t>
            </w:r>
          </w:p>
        </w:tc>
        <w:tc>
          <w:tcPr>
            <w:tcW w:type="dxa" w:w="4400"/>
          </w:tcPr>
          <w:p>
            <w:r>
              <w:rPr>
                <w:b w:val="false"/>
                <w:bCs w:val="false"/>
                <w:color w:val="000000"/>
                <w:sz w:val="19"/>
                <w:szCs w:val="19"/>
              </w:rPr>
              <w:t xml:space="preserve">The original measure returned 104% growth due to an unfiltered SAMEPERIODLASTYEAR comparison. After correcting the calculation to explicitly compare full calendar years, growth reads as 84.18% overall - though 2023 alone shows an inflated 207%, caused by comparing a full year against 2022's partial (Jul-Dec) launch period.</w:t>
            </w:r>
          </w:p>
        </w:tc>
        <w:tc>
          <w:tcPr>
            <w:tcW w:type="dxa" w:w="3000"/>
          </w:tcPr>
          <w:p>
            <w:r>
              <w:rPr>
                <w:b w:val="false"/>
                <w:bCs w:val="false"/>
                <w:color w:val="000000"/>
                <w:sz w:val="19"/>
                <w:szCs w:val="19"/>
              </w:rPr>
              <w:t xml:space="preserve">Headline growth figures should always be checked against period-length and filter-context validity before being reported. The 2023 figure specifically should be footnoted as not like-for-like.</w:t>
            </w:r>
          </w:p>
        </w:tc>
      </w:tr>
    </w:tbl>
    <w:p>
      <w:pPr>
        <w:pStyle w:val="Heading1"/>
        <w:spacing w:after="160" w:before="320"/>
      </w:pPr>
      <w:r>
        <w:rPr>
          <w:b/>
          <w:bCs/>
          <w:color w:val="164A3D"/>
          <w:sz w:val="30"/>
          <w:szCs w:val="30"/>
        </w:rPr>
        <w:t xml:space="preserve">Deeper Insights</w:t>
      </w:r>
    </w:p>
    <w:p>
      <w:pPr>
        <w:pStyle w:val="Heading2"/>
        <w:spacing w:after="120" w:before="240"/>
      </w:pPr>
      <w:r>
        <w:rPr>
          <w:b/>
          <w:bCs/>
          <w:color w:val="164A3D"/>
          <w:sz w:val="24"/>
          <w:szCs w:val="24"/>
        </w:rPr>
        <w:t xml:space="preserve">1. Tutor churn has a clear early-warning zone, not a straight-line decline</w:t>
      </w:r>
    </w:p>
    <w:p>
      <w:pPr>
        <w:spacing w:after="160"/>
      </w:pPr>
      <w:r>
        <w:rPr>
          <w:sz w:val="21"/>
          <w:szCs w:val="21"/>
        </w:rPr>
        <w:t xml:space="preserve">Churn does not increase smoothly as rating falls. It climbs from 10% at the top rating band to a peak of 50% in the 3.0-3.49 band - a five-fold increase - before easing slightly to 36.4% for tutors rated below 3.0. This dip at the very bottom is likely a small-sample effect (few tutors fall this low), but the core signal is clear: the 3.0-3.49 range is where the real risk concentrates, making it a genuinely useful, specific threshold for early intervention rather than a vague 'watch low performers' policy.</w:t>
      </w:r>
    </w:p>
    <w:p>
      <w:pPr>
        <w:pStyle w:val="Heading2"/>
        <w:spacing w:after="120" w:before="240"/>
      </w:pPr>
      <w:r>
        <w:rPr>
          <w:b/>
          <w:bCs/>
          <w:color w:val="164A3D"/>
          <w:sz w:val="24"/>
          <w:szCs w:val="24"/>
        </w:rPr>
        <w:t xml:space="preserve">2. Tutor attrition is a pay and booking-distribution issue, not a skill issue</w:t>
      </w:r>
    </w:p>
    <w:p>
      <w:pPr>
        <w:spacing w:after="160"/>
      </w:pPr>
      <w:r>
        <w:rPr>
          <w:sz w:val="21"/>
          <w:szCs w:val="21"/>
        </w:rPr>
        <w:t xml:space="preserve">Low bookings/pay is the leading cause of tutor exits, ahead of every other reason including low ratings and policy violations. Combined with the churn-by-rating finding above, this points to a compounding problem: tutors who receive fewer bookings earn less, may grow less engaged, and are then more likely to leave - regardless of their underlying skill. This reframes the retention conversation from 'who is underperforming' to 'how are bookings being distributed.'</w:t>
      </w:r>
    </w:p>
    <w:p>
      <w:pPr>
        <w:pStyle w:val="Heading2"/>
        <w:spacing w:after="120" w:before="240"/>
      </w:pPr>
      <w:r>
        <w:rPr>
          <w:b/>
          <w:bCs/>
          <w:color w:val="164A3D"/>
          <w:sz w:val="24"/>
          <w:szCs w:val="24"/>
        </w:rPr>
        <w:t xml:space="preserve">3. Corporate contract utilization is a business-wide pattern, not an at-risk-account problem</w:t>
      </w:r>
    </w:p>
    <w:p>
      <w:pPr>
        <w:spacing w:after="160"/>
      </w:pPr>
      <w:r>
        <w:rPr>
          <w:sz w:val="21"/>
          <w:szCs w:val="21"/>
        </w:rPr>
        <w:t xml:space="preserve">At 47.80% overall, and holding steady in the 46-51% range across every contract status including Cancelled, low utilization does not appear to specifically predict cancellation in this data - clients use roughly half their paid sessions regardless of what ultimately happens to the contract. This suggests the issue is more structural (clients may not be fully aware of, or find it easy to redeem, their remaining sessions) rather than a symptom limited to dissatisfied accounts.</w:t>
      </w:r>
    </w:p>
    <w:p>
      <w:pPr>
        <w:pStyle w:val="Heading2"/>
        <w:spacing w:after="120" w:before="240"/>
      </w:pPr>
      <w:r>
        <w:rPr>
          <w:b/>
          <w:bCs/>
          <w:color w:val="164A3D"/>
          <w:sz w:val="24"/>
          <w:szCs w:val="24"/>
        </w:rPr>
        <w:t xml:space="preserve">4. Word of mouth is the standout acquisition channel</w:t>
      </w:r>
    </w:p>
    <w:p>
      <w:pPr>
        <w:spacing w:after="160"/>
      </w:pPr>
      <w:r>
        <w:rPr>
          <w:sz w:val="21"/>
          <w:szCs w:val="21"/>
        </w:rPr>
        <w:t xml:space="preserve">Word of Mouth referrals generate 1,880 completed transactions from just 69 clients, compared to 1,064 transactions from 72 clients each via Facebook and Google Search. A word-of-mouth client is, on average, meaningfully more active than a client acquired through any paid or social channel - despite costing nothing to acquire.</w:t>
      </w:r>
    </w:p>
    <w:p>
      <w:pPr>
        <w:pStyle w:val="Heading2"/>
        <w:spacing w:after="120" w:before="240"/>
      </w:pPr>
      <w:r>
        <w:rPr>
          <w:b/>
          <w:bCs/>
          <w:color w:val="164A3D"/>
          <w:sz w:val="24"/>
          <w:szCs w:val="24"/>
        </w:rPr>
        <w:t xml:space="preserve">5. Subscriptions are a small, underdeveloped slice of revenue</w:t>
      </w:r>
    </w:p>
    <w:p>
      <w:pPr>
        <w:spacing w:after="160"/>
      </w:pPr>
      <w:r>
        <w:rPr>
          <w:sz w:val="21"/>
          <w:szCs w:val="21"/>
        </w:rPr>
        <w:t xml:space="preserve">Subscriptions contribute just 6.31% of total revenue, against 61.39% from bookings and 32.3% from corporate contracts, while renewal sits at 43% against a 70% target. As a dedicated product line, this combination of low revenue share and below-target renewal suggests subscriptions are not yet performing as a core part of the business model.</w:t>
      </w:r>
    </w:p>
    <w:p>
      <w:pPr>
        <w:pStyle w:val="Heading2"/>
        <w:spacing w:after="120" w:before="240"/>
      </w:pPr>
      <w:r>
        <w:rPr>
          <w:b/>
          <w:bCs/>
          <w:color w:val="164A3D"/>
          <w:sz w:val="24"/>
          <w:szCs w:val="24"/>
        </w:rPr>
        <w:t xml:space="preserve">6. Tutor headcount by city does not predict revenue - productivity does</w:t>
      </w:r>
    </w:p>
    <w:p>
      <w:pPr>
        <w:spacing w:after="160"/>
      </w:pPr>
      <w:r>
        <w:rPr>
          <w:sz w:val="21"/>
          <w:szCs w:val="21"/>
        </w:rPr>
        <w:t xml:space="preserve">Enugu and Lagos have the largest tutor bases (20 and 17 tutors) and the most booking clients (135 and 105), yet rank lowest in output per tutor: ₦678,205 revenue and 45.4 completed transactions per tutor in Enugu, and ₦804,647 and 52.3 in Lagos. Uyo and Benin City operate with noticeably fewer tutors (13 and 14) and fewer clients (92 each), yet generate the highest output per tutor in the business - ₦1,111,923 and 106.6 transactions per tutor in Uyo, and ₦1,138,971 and 88.7 in Benin City.</w:t>
      </w:r>
    </w:p>
    <w:p>
      <w:pPr>
        <w:spacing w:after="160"/>
      </w:pPr>
      <w:r>
        <w:rPr>
          <w:sz w:val="21"/>
          <w:szCs w:val="21"/>
        </w:rPr>
        <w:t xml:space="preserve">Client-level engagement follows the same pattern: clients in Uyo and Benin City book 13.5-15.1 sessions each on average, roughly double the 6.7-8.5 sessions per client seen in Enugu and Lagos. This is a materially larger gap than city-level revenue totals alone would suggest, and it only becomes visible when revenue and transactions are viewed per tutor and per client, not as raw city totals.</w:t>
      </w:r>
    </w:p>
    <w:p>
      <w:pPr>
        <w:pStyle w:val="Heading2"/>
        <w:spacing w:after="120" w:before="240"/>
      </w:pPr>
      <w:r>
        <w:rPr>
          <w:b/>
          <w:bCs/>
          <w:color w:val="164A3D"/>
          <w:sz w:val="24"/>
          <w:szCs w:val="24"/>
        </w:rPr>
        <w:t xml:space="preserve">7. A validated 84.18% YoY growth figure - and why the validation mattered</w:t>
      </w:r>
    </w:p>
    <w:p>
      <w:pPr>
        <w:spacing w:after="160"/>
      </w:pPr>
      <w:r>
        <w:rPr>
          <w:sz w:val="21"/>
          <w:szCs w:val="21"/>
        </w:rPr>
        <w:t xml:space="preserve">The dashboard's original Year-over-Year growth measure returned 104%, calculated by comparing all-time revenue against an improperly filtered 'prior period' using SAMEPERIODLASTYEAR() with no year explicitly selected. Correcting the measure to explicitly compare the latest full calendar year against the one before it produced a trustworthy overall figure of 84.18%.</w:t>
      </w:r>
    </w:p>
    <w:p>
      <w:pPr>
        <w:spacing w:after="160"/>
      </w:pPr>
      <w:r>
        <w:rPr>
          <w:sz w:val="21"/>
          <w:szCs w:val="21"/>
        </w:rPr>
        <w:t xml:space="preserve">Breaking this down by year surfaced a second, more subtle issue: 2023 alone shows 207% growth, which is not genuine performance acceleration but an artifact of comparing a full 12-month year (2023) against 2022, a partial 6-month launch period (the business began in July 2022). 2024 and 2025, both full years, show growth of 71% and 84% respectively - consistent, plausible figures. This distinction matters: a headline growth number should never be trusted or published without checking whether the underlying comparison periods are genuinely equivalent.</w:t>
      </w:r>
    </w:p>
    <w:p>
      <w:r>
        <w:br w:type="page"/>
      </w:r>
    </w:p>
    <w:p>
      <w:pPr>
        <w:pStyle w:val="Heading1"/>
        <w:spacing w:after="160" w:before="320"/>
      </w:pPr>
      <w:r>
        <w:rPr>
          <w:b/>
          <w:bCs/>
          <w:color w:val="164A3D"/>
          <w:sz w:val="30"/>
          <w:szCs w:val="30"/>
        </w:rPr>
        <w:t xml:space="preserve">Recommendations</w:t>
      </w:r>
    </w:p>
    <w:p>
      <w:pPr>
        <w:pStyle w:val="ListParagraph"/>
        <w:numPr>
          <w:ilvl w:val="0"/>
          <w:numId w:val="2"/>
        </w:numPr>
        <w:spacing w:after="100"/>
      </w:pPr>
      <w:r>
        <w:rPr>
          <w:b/>
          <w:bCs/>
          <w:sz w:val="21"/>
          <w:szCs w:val="21"/>
        </w:rPr>
        <w:t xml:space="preserve">Introduce a proactive tutor check-in triggered when a tutor's average rating enters the 3.0-3.49 range - the data shows this is the point where churn risk becomes most acute, making it a concrete, data-backed trigger rather than a general policy.</w:t>
      </w:r>
    </w:p>
    <w:p>
      <w:pPr>
        <w:pStyle w:val="ListParagraph"/>
        <w:numPr>
          <w:ilvl w:val="0"/>
          <w:numId w:val="2"/>
        </w:numPr>
        <w:spacing w:after="100"/>
      </w:pPr>
      <w:r>
        <w:rPr>
          <w:b w:val="false"/>
          <w:bCs w:val="false"/>
          <w:sz w:val="21"/>
          <w:szCs w:val="21"/>
        </w:rPr>
        <w:t xml:space="preserve">Review how bookings are distributed among tutors. Since 'low bookings/pay' is the top driver of attrition, an uneven distribution of client bookings across the tutor base may be quietly driving churn independent of tutor quality.</w:t>
      </w:r>
    </w:p>
    <w:p>
      <w:pPr>
        <w:pStyle w:val="ListParagraph"/>
        <w:numPr>
          <w:ilvl w:val="0"/>
          <w:numId w:val="2"/>
        </w:numPr>
        <w:spacing w:after="100"/>
      </w:pPr>
      <w:r>
        <w:rPr>
          <w:b/>
          <w:bCs/>
          <w:sz w:val="21"/>
          <w:szCs w:val="21"/>
        </w:rPr>
        <w:t xml:space="preserve">Investigate why corporate clients consistently under-use their paid sessions. Since utilization is flat across contract outcomes, a simple fix - clearer session reminders, easier booking access, or account check-ins - could lift usage business-wide, not just for at-risk accounts.</w:t>
      </w:r>
    </w:p>
    <w:p>
      <w:pPr>
        <w:pStyle w:val="ListParagraph"/>
        <w:numPr>
          <w:ilvl w:val="0"/>
          <w:numId w:val="2"/>
        </w:numPr>
        <w:spacing w:after="100"/>
      </w:pPr>
      <w:r>
        <w:rPr>
          <w:b w:val="false"/>
          <w:bCs w:val="false"/>
          <w:sz w:val="21"/>
          <w:szCs w:val="21"/>
        </w:rPr>
        <w:t xml:space="preserve">Formalize a referral incentive programme. Word of Mouth already outperforms every paid channel on engagement at zero acquisition cost; a modest, structured incentive could scale this organically.</w:t>
      </w:r>
    </w:p>
    <w:p>
      <w:pPr>
        <w:pStyle w:val="ListParagraph"/>
        <w:numPr>
          <w:ilvl w:val="0"/>
          <w:numId w:val="2"/>
        </w:numPr>
        <w:spacing w:after="100"/>
      </w:pPr>
      <w:r>
        <w:rPr>
          <w:b/>
          <w:bCs/>
          <w:sz w:val="21"/>
          <w:szCs w:val="21"/>
        </w:rPr>
        <w:t xml:space="preserve">Reassess the subscription product's positioning and value proposition. With renewal well below its 70% target and a small share of overall revenue, subscriptions need either a pricing/value review or a more deliberate growth strategy before further promotion.</w:t>
      </w:r>
    </w:p>
    <w:p>
      <w:pPr>
        <w:pStyle w:val="ListParagraph"/>
        <w:numPr>
          <w:ilvl w:val="0"/>
          <w:numId w:val="2"/>
        </w:numPr>
        <w:spacing w:after="100"/>
      </w:pPr>
      <w:r>
        <w:rPr>
          <w:b w:val="false"/>
          <w:bCs w:val="false"/>
          <w:sz w:val="21"/>
          <w:szCs w:val="21"/>
        </w:rPr>
        <w:t xml:space="preserve">Study what Uyo and Benin City are doing differently and assess whether it can be replicated. With substantially fewer tutors and clients, both cities out-produce Enugu and Lagos on every per-tutor and per-client metric - this may reflect stronger client relationships, better booking allocation, or simply a leaner, better-matched tutor base relative to local demand.</w:t>
      </w:r>
    </w:p>
    <w:p>
      <w:pPr>
        <w:pStyle w:val="ListParagraph"/>
        <w:numPr>
          <w:ilvl w:val="0"/>
          <w:numId w:val="2"/>
        </w:numPr>
        <w:spacing w:after="100"/>
      </w:pPr>
      <w:r>
        <w:rPr>
          <w:b/>
          <w:bCs/>
          <w:sz w:val="21"/>
          <w:szCs w:val="21"/>
        </w:rPr>
        <w:t xml:space="preserve">Reassess tutor staffing levels in Enugu and Lagos against actual demand. The lowest revenue and transactions per tutor in the business, despite the largest tutor headcounts, suggests these markets may be over-staffed relative to booking volume - worth investigating before adding further tutors in these cities.</w:t>
      </w:r>
    </w:p>
    <w:p>
      <w:pPr>
        <w:pStyle w:val="ListParagraph"/>
        <w:numPr>
          <w:ilvl w:val="0"/>
          <w:numId w:val="2"/>
        </w:numPr>
        <w:spacing w:after="100"/>
      </w:pPr>
      <w:r>
        <w:rPr>
          <w:b w:val="false"/>
          <w:bCs w:val="false"/>
          <w:sz w:val="21"/>
          <w:szCs w:val="21"/>
        </w:rPr>
        <w:t xml:space="preserve">Report 2023 growth with a footnote clarifying the partial-year comparison, and consider excluding launch-year comparisons from headline YoY figures going forward to avoid misleading stakeholders.</w:t>
      </w:r>
    </w:p>
    <w:p>
      <w:pPr>
        <w:pStyle w:val="Heading1"/>
        <w:spacing w:after="160" w:before="320"/>
      </w:pPr>
      <w:r>
        <w:rPr>
          <w:b/>
          <w:bCs/>
          <w:color w:val="164A3D"/>
          <w:sz w:val="30"/>
          <w:szCs w:val="30"/>
        </w:rPr>
        <w:t xml:space="preserve">Portfolio Positioning</w:t>
      </w:r>
    </w:p>
    <w:p>
      <w:pPr>
        <w:spacing w:after="160"/>
      </w:pPr>
      <w:r>
        <w:rPr>
          <w:sz w:val="21"/>
          <w:szCs w:val="21"/>
        </w:rPr>
        <w:t xml:space="preserve">For GitHub and portfolio presentation, this project is strongest framed as a business case study, not a dashboard showcase:</w:t>
      </w:r>
    </w:p>
    <w:p>
      <w:pPr>
        <w:pStyle w:val="ListParagraph"/>
        <w:numPr>
          <w:ilvl w:val="0"/>
          <w:numId w:val="2"/>
        </w:numPr>
        <w:spacing w:after="100"/>
      </w:pPr>
      <w:r>
        <w:rPr>
          <w:b w:val="false"/>
          <w:bCs w:val="false"/>
          <w:sz w:val="21"/>
          <w:szCs w:val="21"/>
        </w:rPr>
        <w:t xml:space="preserve">Lead with the business problem section above, not the tool stack - a hiring manager engages with 'which tutors are at risk of leaving' far more than 'I built a Power BI dashboard.'</w:t>
      </w:r>
    </w:p>
    <w:p>
      <w:pPr>
        <w:pStyle w:val="ListParagraph"/>
        <w:numPr>
          <w:ilvl w:val="0"/>
          <w:numId w:val="2"/>
        </w:numPr>
        <w:spacing w:after="100"/>
      </w:pPr>
      <w:r>
        <w:rPr>
          <w:b w:val="false"/>
          <w:bCs w:val="false"/>
          <w:sz w:val="21"/>
          <w:szCs w:val="21"/>
        </w:rPr>
        <w:t xml:space="preserve">Use the tutor churn tipping point, the corporate utilization pattern, and the YoY growth validation story as headline insights - all three demonstrate analytical judgment, not just chart-building.</w:t>
      </w:r>
    </w:p>
    <w:p>
      <w:pPr>
        <w:pStyle w:val="ListParagraph"/>
        <w:numPr>
          <w:ilvl w:val="0"/>
          <w:numId w:val="2"/>
        </w:numPr>
        <w:spacing w:after="100"/>
      </w:pPr>
      <w:r>
        <w:rPr>
          <w:b w:val="false"/>
          <w:bCs w:val="false"/>
          <w:sz w:val="21"/>
          <w:szCs w:val="21"/>
        </w:rPr>
        <w:t xml:space="preserve">On GitHub, include the SQL schema and key DAX measures alongside dashboard screenshots, so reviewers can see the full technical stack, not just the visual output.</w:t>
      </w:r>
    </w:p>
    <w:p>
      <w:pPr>
        <w:pStyle w:val="ListParagraph"/>
        <w:numPr>
          <w:ilvl w:val="0"/>
          <w:numId w:val="2"/>
        </w:numPr>
        <w:spacing w:after="100"/>
      </w:pPr>
      <w:r>
        <w:rPr>
          <w:b w:val="false"/>
          <w:bCs w:val="false"/>
          <w:sz w:val="21"/>
          <w:szCs w:val="21"/>
        </w:rPr>
        <w:t xml:space="preserve">Close with the recommendations section as your 'so what' - this is what separates a project that reads as consulting work from one that reads as a practice exercise.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2026-09-09T07:33:32.060Z</dcterms:created>
  <dcterms:modified xsi:type="dcterms:W3CDTF">2026-09-09T07:33:32.073Z</dcterms:modified>
</cp:coreProperties>
</file>

<file path=docProps/custom.xml><?xml version="1.0" encoding="utf-8"?>
<Properties xmlns="http://schemas.openxmlformats.org/officeDocument/2006/custom-properties" xmlns:vt="http://schemas.openxmlformats.org/officeDocument/2006/docPropsVTypes"/>
</file>