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BRD — Documento de Requerimientos de Negocio</w:t>
      </w:r>
    </w:p>
    <w:p>
      <w:r>
        <w:t>Business Requirements Document (BRD)</w:t>
      </w:r>
    </w:p>
    <w:p>
      <w:r>
        <w:t>Proyecto: SchoolApp — Sistema de Gestión Académica (SGCE)</w:t>
        <w:br/>
        <w:t>Versión: 1.0 | Estado: Línea base para revisión</w:t>
        <w:br/>
        <w:t>Asignatura: Programación II | Docente: Francis Ramírez</w:t>
      </w:r>
    </w:p>
    <w:p>
      <w:pPr>
        <w:pStyle w:val="Heading1"/>
      </w:pPr>
      <w:r>
        <w:t>1. Resumen ejecutivo</w:t>
      </w:r>
    </w:p>
    <w:p>
      <w:r>
        <w:t>SchoolApp centralizará la administración académica de estudiantes, departamentos, docentes, asignaturas, períodos, ofertas, inscripciones, calificaciones y notificaciones. Sustituirá registros fragmentados y controles manuales por procesos consistentes y trazables.</w:t>
      </w:r>
    </w:p>
    <w:p>
      <w:pPr>
        <w:pStyle w:val="Heading1"/>
      </w:pPr>
      <w:r>
        <w:t>2. Situación actual y problemática</w:t>
      </w:r>
    </w:p>
    <w:p>
      <w:r>
        <w:t>La gestión manual o dispersa puede provocar registros duplicados, inscripciones fuera de plazo, sobrecupo, inconsistencias en calificaciones, dificultad para consultar información y falta de seguimiento de operaciones. Estos riesgos constituyen la problemática de referencia para el caso académico; deben validarse con los interesados antes de una implantación real.</w:t>
      </w:r>
    </w:p>
    <w:p>
      <w:pPr>
        <w:pStyle w:val="Heading1"/>
      </w:pPr>
      <w:r>
        <w:t>3. Objetivos de negocio</w:t>
      </w:r>
    </w:p>
    <w:p>
      <w:r>
        <w:t>Centralizar información académica; reducir errores operativos; controlar cupos e inscripciones; garantizar consistencia de calificaciones; mejorar consultas y seguimiento; disponer de notificaciones y auditoría.</w:t>
      </w:r>
    </w:p>
    <w:p>
      <w:pPr>
        <w:pStyle w:val="Heading1"/>
      </w:pPr>
      <w:r>
        <w:t>4. Alcance del negocio</w:t>
      </w:r>
    </w:p>
    <w:p>
      <w:r>
        <w:t>Incluye catálogos académicos, períodos, oferta de asignaturas, inscripción y retiro, registro y consulta de calificaciones, notificaciones y consultas operativas. No incluye inicialmente pagos, facturación, gestión de nómina, biblioteca, LMS ni integración con sistemas externos de terceros.</w:t>
      </w:r>
    </w:p>
    <w:p>
      <w:pPr>
        <w:pStyle w:val="Heading1"/>
      </w:pPr>
      <w:r>
        <w:t>5. Interesados y actores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Interesado</w:t>
            </w:r>
          </w:p>
        </w:tc>
        <w:tc>
          <w:tcPr>
            <w:tcW w:type="dxa" w:w="4320"/>
          </w:tcPr>
          <w:p>
            <w:r>
              <w:t>Necesidad</w:t>
            </w:r>
          </w:p>
        </w:tc>
      </w:tr>
      <w:tr>
        <w:tc>
          <w:tcPr>
            <w:tcW w:type="dxa" w:w="4320"/>
          </w:tcPr>
          <w:p>
            <w:r>
              <w:t>Administrador académico</w:t>
            </w:r>
          </w:p>
        </w:tc>
        <w:tc>
          <w:tcPr>
            <w:tcW w:type="dxa" w:w="4320"/>
          </w:tcPr>
          <w:p>
            <w:r>
              <w:t>Configurar catálogos, períodos y ofertas</w:t>
            </w:r>
          </w:p>
        </w:tc>
      </w:tr>
      <w:tr>
        <w:tc>
          <w:tcPr>
            <w:tcW w:type="dxa" w:w="4320"/>
          </w:tcPr>
          <w:p>
            <w:r>
              <w:t>Registro académico</w:t>
            </w:r>
          </w:p>
        </w:tc>
        <w:tc>
          <w:tcPr>
            <w:tcW w:type="dxa" w:w="4320"/>
          </w:tcPr>
          <w:p>
            <w:r>
              <w:t>Gestionar inscripciones y expedientes</w:t>
            </w:r>
          </w:p>
        </w:tc>
      </w:tr>
      <w:tr>
        <w:tc>
          <w:tcPr>
            <w:tcW w:type="dxa" w:w="4320"/>
          </w:tcPr>
          <w:p>
            <w:r>
              <w:t>Docente</w:t>
            </w:r>
          </w:p>
        </w:tc>
        <w:tc>
          <w:tcPr>
            <w:tcW w:type="dxa" w:w="4320"/>
          </w:tcPr>
          <w:p>
            <w:r>
              <w:t>Consultar oferta y registrar calificaciones</w:t>
            </w:r>
          </w:p>
        </w:tc>
      </w:tr>
      <w:tr>
        <w:tc>
          <w:tcPr>
            <w:tcW w:type="dxa" w:w="4320"/>
          </w:tcPr>
          <w:p>
            <w:r>
              <w:t>Estudiante</w:t>
            </w:r>
          </w:p>
        </w:tc>
        <w:tc>
          <w:tcPr>
            <w:tcW w:type="dxa" w:w="4320"/>
          </w:tcPr>
          <w:p>
            <w:r>
              <w:t>Consultar asignaturas, inscripciones y notas</w:t>
            </w:r>
          </w:p>
        </w:tc>
      </w:tr>
      <w:tr>
        <w:tc>
          <w:tcPr>
            <w:tcW w:type="dxa" w:w="4320"/>
          </w:tcPr>
          <w:p>
            <w:r>
              <w:t>Equipo TI</w:t>
            </w:r>
          </w:p>
        </w:tc>
        <w:tc>
          <w:tcPr>
            <w:tcW w:type="dxa" w:w="4320"/>
          </w:tcPr>
          <w:p>
            <w:r>
              <w:t>Operar, proteger y mantener el sistema</w:t>
            </w:r>
          </w:p>
        </w:tc>
      </w:tr>
    </w:tbl>
    <w:p/>
    <w:p>
      <w:pPr>
        <w:pStyle w:val="Heading1"/>
      </w:pPr>
      <w:r>
        <w:t>6. Capacidades de negocio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Necesidad de negocio</w:t>
            </w:r>
          </w:p>
        </w:tc>
      </w:tr>
      <w:tr>
        <w:tc>
          <w:tcPr>
            <w:tcW w:type="dxa" w:w="4320"/>
          </w:tcPr>
          <w:p>
            <w:r>
              <w:t>BN-001</w:t>
            </w:r>
          </w:p>
        </w:tc>
        <w:tc>
          <w:tcPr>
            <w:tcW w:type="dxa" w:w="4320"/>
          </w:tcPr>
          <w:p>
            <w:r>
              <w:t>Administrar estudiantes</w:t>
            </w:r>
          </w:p>
        </w:tc>
      </w:tr>
      <w:tr>
        <w:tc>
          <w:tcPr>
            <w:tcW w:type="dxa" w:w="4320"/>
          </w:tcPr>
          <w:p>
            <w:r>
              <w:t>BN-002</w:t>
            </w:r>
          </w:p>
        </w:tc>
        <w:tc>
          <w:tcPr>
            <w:tcW w:type="dxa" w:w="4320"/>
          </w:tcPr>
          <w:p>
            <w:r>
              <w:t>Administrar departamentos y docentes</w:t>
            </w:r>
          </w:p>
        </w:tc>
      </w:tr>
      <w:tr>
        <w:tc>
          <w:tcPr>
            <w:tcW w:type="dxa" w:w="4320"/>
          </w:tcPr>
          <w:p>
            <w:r>
              <w:t>BN-003</w:t>
            </w:r>
          </w:p>
        </w:tc>
        <w:tc>
          <w:tcPr>
            <w:tcW w:type="dxa" w:w="4320"/>
          </w:tcPr>
          <w:p>
            <w:r>
              <w:t>Administrar asignaturas</w:t>
            </w:r>
          </w:p>
        </w:tc>
      </w:tr>
      <w:tr>
        <w:tc>
          <w:tcPr>
            <w:tcW w:type="dxa" w:w="4320"/>
          </w:tcPr>
          <w:p>
            <w:r>
              <w:t>BN-004</w:t>
            </w:r>
          </w:p>
        </w:tc>
        <w:tc>
          <w:tcPr>
            <w:tcW w:type="dxa" w:w="4320"/>
          </w:tcPr>
          <w:p>
            <w:r>
              <w:t>Gestionar períodos académicos</w:t>
            </w:r>
          </w:p>
        </w:tc>
      </w:tr>
      <w:tr>
        <w:tc>
          <w:tcPr>
            <w:tcW w:type="dxa" w:w="4320"/>
          </w:tcPr>
          <w:p>
            <w:r>
              <w:t>BN-005</w:t>
            </w:r>
          </w:p>
        </w:tc>
        <w:tc>
          <w:tcPr>
            <w:tcW w:type="dxa" w:w="4320"/>
          </w:tcPr>
          <w:p>
            <w:r>
              <w:t>Publicar ofertas académicas</w:t>
            </w:r>
          </w:p>
        </w:tc>
      </w:tr>
      <w:tr>
        <w:tc>
          <w:tcPr>
            <w:tcW w:type="dxa" w:w="4320"/>
          </w:tcPr>
          <w:p>
            <w:r>
              <w:t>BN-006</w:t>
            </w:r>
          </w:p>
        </w:tc>
        <w:tc>
          <w:tcPr>
            <w:tcW w:type="dxa" w:w="4320"/>
          </w:tcPr>
          <w:p>
            <w:r>
              <w:t>Inscribir y retirar estudiantes</w:t>
            </w:r>
          </w:p>
        </w:tc>
      </w:tr>
      <w:tr>
        <w:tc>
          <w:tcPr>
            <w:tcW w:type="dxa" w:w="4320"/>
          </w:tcPr>
          <w:p>
            <w:r>
              <w:t>BN-007</w:t>
            </w:r>
          </w:p>
        </w:tc>
        <w:tc>
          <w:tcPr>
            <w:tcW w:type="dxa" w:w="4320"/>
          </w:tcPr>
          <w:p>
            <w:r>
              <w:t>Registrar y publicar calificaciones</w:t>
            </w:r>
          </w:p>
        </w:tc>
      </w:tr>
      <w:tr>
        <w:tc>
          <w:tcPr>
            <w:tcW w:type="dxa" w:w="4320"/>
          </w:tcPr>
          <w:p>
            <w:r>
              <w:t>BN-008</w:t>
            </w:r>
          </w:p>
        </w:tc>
        <w:tc>
          <w:tcPr>
            <w:tcW w:type="dxa" w:w="4320"/>
          </w:tcPr>
          <w:p>
            <w:r>
              <w:t>Notificar eventos académicos</w:t>
            </w:r>
          </w:p>
        </w:tc>
      </w:tr>
      <w:tr>
        <w:tc>
          <w:tcPr>
            <w:tcW w:type="dxa" w:w="4320"/>
          </w:tcPr>
          <w:p>
            <w:r>
              <w:t>BN-009</w:t>
            </w:r>
          </w:p>
        </w:tc>
        <w:tc>
          <w:tcPr>
            <w:tcW w:type="dxa" w:w="4320"/>
          </w:tcPr>
          <w:p>
            <w:r>
              <w:t>Consultar información y trazabilidad</w:t>
            </w:r>
          </w:p>
        </w:tc>
      </w:tr>
    </w:tbl>
    <w:p/>
    <w:p>
      <w:pPr>
        <w:pStyle w:val="Heading1"/>
      </w:pPr>
      <w:r>
        <w:t>7. Reglas de negocio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Regla</w:t>
            </w:r>
          </w:p>
        </w:tc>
      </w:tr>
      <w:tr>
        <w:tc>
          <w:tcPr>
            <w:tcW w:type="dxa" w:w="4320"/>
          </w:tcPr>
          <w:p>
            <w:r>
              <w:t>RN-001</w:t>
            </w:r>
          </w:p>
        </w:tc>
        <w:tc>
          <w:tcPr>
            <w:tcW w:type="dxa" w:w="4320"/>
          </w:tcPr>
          <w:p>
            <w:r>
              <w:t>Cada asignatura pertenece a un departamento.</w:t>
            </w:r>
          </w:p>
        </w:tc>
      </w:tr>
      <w:tr>
        <w:tc>
          <w:tcPr>
            <w:tcW w:type="dxa" w:w="4320"/>
          </w:tcPr>
          <w:p>
            <w:r>
              <w:t>RN-002</w:t>
            </w:r>
          </w:p>
        </w:tc>
        <w:tc>
          <w:tcPr>
            <w:tcW w:type="dxa" w:w="4320"/>
          </w:tcPr>
          <w:p>
            <w:r>
              <w:t>Una oferta académica corresponde a una asignatura, un período y un docente.</w:t>
            </w:r>
          </w:p>
        </w:tc>
      </w:tr>
      <w:tr>
        <w:tc>
          <w:tcPr>
            <w:tcW w:type="dxa" w:w="4320"/>
          </w:tcPr>
          <w:p>
            <w:r>
              <w:t>RN-003</w:t>
            </w:r>
          </w:p>
        </w:tc>
        <w:tc>
          <w:tcPr>
            <w:tcW w:type="dxa" w:w="4320"/>
          </w:tcPr>
          <w:p>
            <w:r>
              <w:t>Solo estudiantes activos pueden inscribirse.</w:t>
            </w:r>
          </w:p>
        </w:tc>
      </w:tr>
      <w:tr>
        <w:tc>
          <w:tcPr>
            <w:tcW w:type="dxa" w:w="4320"/>
          </w:tcPr>
          <w:p>
            <w:r>
              <w:t>RN-004</w:t>
            </w:r>
          </w:p>
        </w:tc>
        <w:tc>
          <w:tcPr>
            <w:tcW w:type="dxa" w:w="4320"/>
          </w:tcPr>
          <w:p>
            <w:r>
              <w:t>Solo se permiten inscripciones en ofertas abiertas.</w:t>
            </w:r>
          </w:p>
        </w:tc>
      </w:tr>
      <w:tr>
        <w:tc>
          <w:tcPr>
            <w:tcW w:type="dxa" w:w="4320"/>
          </w:tcPr>
          <w:p>
            <w:r>
              <w:t>RN-005</w:t>
            </w:r>
          </w:p>
        </w:tc>
        <w:tc>
          <w:tcPr>
            <w:tcW w:type="dxa" w:w="4320"/>
          </w:tcPr>
          <w:p>
            <w:r>
              <w:t>No se permite una inscripción activa duplicada en la misma oferta.</w:t>
            </w:r>
          </w:p>
        </w:tc>
      </w:tr>
      <w:tr>
        <w:tc>
          <w:tcPr>
            <w:tcW w:type="dxa" w:w="4320"/>
          </w:tcPr>
          <w:p>
            <w:r>
              <w:t>RN-006</w:t>
            </w:r>
          </w:p>
        </w:tc>
        <w:tc>
          <w:tcPr>
            <w:tcW w:type="dxa" w:w="4320"/>
          </w:tcPr>
          <w:p>
            <w:r>
              <w:t>No se puede superar el cupo de la oferta, incluso con solicitudes concurrentes.</w:t>
            </w:r>
          </w:p>
        </w:tc>
      </w:tr>
      <w:tr>
        <w:tc>
          <w:tcPr>
            <w:tcW w:type="dxa" w:w="4320"/>
          </w:tcPr>
          <w:p>
            <w:r>
              <w:t>RN-007</w:t>
            </w:r>
          </w:p>
        </w:tc>
        <w:tc>
          <w:tcPr>
            <w:tcW w:type="dxa" w:w="4320"/>
          </w:tcPr>
          <w:p>
            <w:r>
              <w:t>El retiro debe respetar los plazos del período.</w:t>
            </w:r>
          </w:p>
        </w:tc>
      </w:tr>
      <w:tr>
        <w:tc>
          <w:tcPr>
            <w:tcW w:type="dxa" w:w="4320"/>
          </w:tcPr>
          <w:p>
            <w:r>
              <w:t>RN-008</w:t>
            </w:r>
          </w:p>
        </w:tc>
        <w:tc>
          <w:tcPr>
            <w:tcW w:type="dxa" w:w="4320"/>
          </w:tcPr>
          <w:p>
            <w:r>
              <w:t>Una calificación debe corresponder a una inscripción válida.</w:t>
            </w:r>
          </w:p>
        </w:tc>
      </w:tr>
      <w:tr>
        <w:tc>
          <w:tcPr>
            <w:tcW w:type="dxa" w:w="4320"/>
          </w:tcPr>
          <w:p>
            <w:r>
              <w:t>RN-009</w:t>
            </w:r>
          </w:p>
        </w:tc>
        <w:tc>
          <w:tcPr>
            <w:tcW w:type="dxa" w:w="4320"/>
          </w:tcPr>
          <w:p>
            <w:r>
              <w:t>Las calificaciones deben respetar la escala institucional configurable.</w:t>
            </w:r>
          </w:p>
        </w:tc>
      </w:tr>
      <w:tr>
        <w:tc>
          <w:tcPr>
            <w:tcW w:type="dxa" w:w="4320"/>
          </w:tcPr>
          <w:p>
            <w:r>
              <w:t>RN-010</w:t>
            </w:r>
          </w:p>
        </w:tc>
        <w:tc>
          <w:tcPr>
            <w:tcW w:type="dxa" w:w="4320"/>
          </w:tcPr>
          <w:p>
            <w:r>
              <w:t>Las notificaciones fallidas no deben revertir una transacción académica confirmada.</w:t>
            </w:r>
          </w:p>
        </w:tc>
      </w:tr>
      <w:tr>
        <w:tc>
          <w:tcPr>
            <w:tcW w:type="dxa" w:w="4320"/>
          </w:tcPr>
          <w:p>
            <w:r>
              <w:t>RN-011</w:t>
            </w:r>
          </w:p>
        </w:tc>
        <w:tc>
          <w:tcPr>
            <w:tcW w:type="dxa" w:w="4320"/>
          </w:tcPr>
          <w:p>
            <w:r>
              <w:t>Las operaciones críticas deben registrar autor, fecha y resultado.</w:t>
            </w:r>
          </w:p>
        </w:tc>
      </w:tr>
    </w:tbl>
    <w:p/>
    <w:p>
      <w:pPr>
        <w:pStyle w:val="Heading1"/>
      </w:pPr>
      <w:r>
        <w:t>8. Procesos de negocio</w:t>
      </w:r>
    </w:p>
    <w:p>
      <w:r>
        <w:t>Alta de estudiante; creación de oferta académica; inscripción; retiro; registro y publicación de calificaciones; emisión de notificaciones. Cada proceso debe contar con responsable, entrada, validaciones, resultado y manejo de excepciones.</w:t>
      </w:r>
    </w:p>
    <w:p>
      <w:pPr>
        <w:pStyle w:val="Heading1"/>
      </w:pPr>
      <w:r>
        <w:t>9. Indicadores de éxito</w:t>
      </w:r>
    </w:p>
    <w:p>
      <w:r>
        <w:t>Porcentaje de inscripciones exitosas; número de duplicados o sobrecupos (objetivo: cero); tiempo medio de inscripción; porcentaje de calificaciones registradas correctamente; disponibilidad del sistema. Los umbrales deberán acordarse con la institución.</w:t>
      </w:r>
    </w:p>
    <w:p>
      <w:pPr>
        <w:pStyle w:val="Heading1"/>
      </w:pPr>
      <w:r>
        <w:t>10. Supuestos, riesgos y dependencias</w:t>
      </w:r>
    </w:p>
    <w:p>
      <w:r>
        <w:t>Supuestos: existe catálogo de estudiantes y docentes; se definirán calendario y escala de calificación. Riesgos: datos iniciales inconsistentes, reglas académicas no formalizadas, concurrencia en inscripción y fallos de mensajería. Dependencias: políticas institucionales, infraestructura y responsables funcionales.</w:t>
      </w:r>
    </w:p>
    <w:p>
      <w:pPr>
        <w:pStyle w:val="Heading1"/>
      </w:pPr>
      <w:r>
        <w:t>11. Criterios de aceptación de negocio</w:t>
      </w:r>
    </w:p>
    <w:p>
      <w:r>
        <w:t>Se podrá crear una oferta válida, inscribir sin duplicidad ni sobrecupo, retirar según reglas, registrar calificaciones válidas y consultar el resultado. Los escenarios inválidos deben rechazarse sin afectar datos existentes.</w:t>
      </w:r>
    </w:p>
    <w:p>
      <w:pPr>
        <w:pStyle w:val="Heading1"/>
      </w:pPr>
      <w:r>
        <w:t>12. Decisiones pendientes</w:t>
      </w:r>
    </w:p>
    <w:p>
      <w:r>
        <w:t>Precisar roles y permisos; escala de calificación; plazos de retiro; estados de estudiantes y ofertas; prerrequisitos de asignaturas; reglas de publicación de notas y canales de notificación.</w:t>
      </w:r>
    </w:p>
    <w:sectPr w:rsidR="00FC693F" w:rsidRPr="0006063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