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675811"/>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675811"/>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64748B"/>
                <w:sz w:val="16"/>
              </w:rPr>
              <w:t>REVIEW CYCLE</w:t>
            </w:r>
          </w:p>
          <w:p>
            <w:r>
              <w:rPr>
                <w:rFonts w:ascii="Calibri" w:hAnsi="Calibri"/>
                <w:b/>
                <w:i w:val="0"/>
                <w:color w:val="0F172A"/>
                <w:sz w:val="24"/>
              </w:rPr>
              <w:t>Annual</w:t>
            </w:r>
          </w:p>
        </w:tc>
      </w:tr>
    </w:tbl>
    <w:p/>
    <w:p>
      <w:r>
        <w:rPr>
          <w:rFonts w:ascii="Calibri" w:hAnsi="Calibri"/>
          <w:b w:val="0"/>
          <w:i w:val="0"/>
          <w:color w:val="64748B"/>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334155"/>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334155"/>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334155"/>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334155"/>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334155"/>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334155"/>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64748B"/>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64748B"/>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64748B"/>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64748B"/>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64748B"/>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64748B"/>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64748B"/>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64748B"/>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64748B"/>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334155"/>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334155"/>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334155"/>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334155"/>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334155"/>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334155"/>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334155"/>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334155"/>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334155"/>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334155"/>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334155"/>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334155"/>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334155"/>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334155"/>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334155"/>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334155"/>
          <w:sz w:val="20"/>
        </w:rPr>
        <w:t>Respect the client’s time as much as your own.</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334155"/>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334155"/>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334155"/>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334155"/>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334155"/>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334155"/>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334155"/>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334155"/>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334155"/>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334155"/>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334155"/>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334155"/>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334155"/>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334155"/>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334155"/>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334155"/>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334155"/>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334155"/>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334155"/>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334155"/>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334155"/>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334155"/>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334155"/>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334155"/>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334155"/>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334155"/>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334155"/>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334155"/>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334155"/>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334155"/>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334155"/>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334155"/>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334155"/>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334155"/>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334155"/>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334155"/>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334155"/>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334155"/>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334155"/>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334155"/>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334155"/>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334155"/>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334155"/>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334155"/>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334155"/>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334155"/>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334155"/>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334155"/>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334155"/>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334155"/>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334155"/>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334155"/>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334155"/>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334155"/>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334155"/>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334155"/>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334155"/>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334155"/>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334155"/>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334155"/>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334155"/>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334155"/>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334155"/>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334155"/>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334155"/>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334155"/>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334155"/>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334155"/>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334155"/>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334155"/>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334155"/>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334155"/>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334155"/>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334155"/>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334155"/>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334155"/>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334155"/>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334155"/>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334155"/>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334155"/>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334155"/>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334155"/>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334155"/>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334155"/>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64748B"/>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64748B"/>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64748B"/>
                <w:sz w:val="16"/>
              </w:rPr>
              <w:t>EMAIL</w:t>
            </w:r>
          </w:p>
          <w:p>
            <w:r>
              <w:t xml:space="preserve"> </w:t>
            </w:r>
          </w:p>
        </w:tc>
        <w:tc>
          <w:tcPr>
            <w:tcW w:type="dxa" w:w="4819"/>
            <w:tcMar>
              <w:top w:w="120" w:type="dxa"/>
              <w:bottom w:w="200" w:type="dxa"/>
              <w:start w:w="160" w:type="dxa"/>
              <w:end w:w="160" w:type="dxa"/>
            </w:tcMar>
          </w:tcPr>
          <w:p>
            <w:r>
              <w:rPr>
                <w:rFonts w:ascii="Calibri" w:hAnsi="Calibri"/>
                <w:b/>
                <w:i w:val="0"/>
                <w:color w:val="64748B"/>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64748B"/>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334155"/>
                <w:sz w:val="19"/>
              </w:rPr>
              <w:t>Send the completed declaration to info@vyntrapropertyservices.com with your documents to activate your account.</w:t>
            </w:r>
          </w:p>
        </w:tc>
      </w:tr>
    </w:tbl>
    <w:p>
      <w:pPr>
        <w:spacing w:after="40"/>
      </w:pPr>
    </w:p>
    <w:p>
      <w:r>
        <w:rPr>
          <w:rFonts w:ascii="Calibri" w:hAnsi="Calibri"/>
          <w:b w:val="0"/>
          <w:i w:val="0"/>
          <w:color w:val="64748B"/>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64748B"/>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64748B"/>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64748B"/>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64748B"/>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64748B"/>
          <w:sz w:val="19"/>
        </w:rPr>
        <w:t>You start receiving job offers that match your trade, availability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334155"/>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49259" cy="198000"/>
          <wp:docPr id="1" name="Picture 1"/>
          <wp:cNvGraphicFramePr>
            <a:graphicFrameLocks noChangeAspect="1"/>
          </wp:cNvGraphicFramePr>
          <a:graphic>
            <a:graphicData uri="http://schemas.openxmlformats.org/drawingml/2006/picture">
              <pic:pic>
                <pic:nvPicPr>
                  <pic:cNvPr id="0" name="logo-on-navy.png"/>
                  <pic:cNvPicPr/>
                </pic:nvPicPr>
                <pic:blipFill>
                  <a:blip r:embed="rId1"/>
                  <a:stretch>
                    <a:fillRect/>
                  </a:stretch>
                </pic:blipFill>
                <pic:spPr>
                  <a:xfrm>
                    <a:off x="0" y="0"/>
                    <a:ext cx="949259" cy="198000"/>
                  </a:xfrm>
                  <a:prstGeom prst="rect"/>
                </pic:spPr>
              </pic:pic>
            </a:graphicData>
          </a:graphic>
        </wp:inline>
      </w:drawing>
    </w:r>
    <w:r>
      <w:rPr>
        <w:rFonts w:ascii="Calibri" w:hAnsi="Calibri"/>
        <w:color w:val="64748B"/>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