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Jali Station PM2.5 Dashboard</w:t>
        <w:br/>
        <w:t>Defense Figure Guide &amp; Render Deployment</w:t>
      </w:r>
    </w:p>
    <w:p>
      <w:pPr>
        <w:jc w:val="center"/>
      </w:pPr>
      <w:r>
        <w:rPr>
          <w:i/>
        </w:rPr>
        <w:t>Based on the final Multiple-Model Comparison notebook and final dissertation</w:t>
      </w:r>
    </w:p>
    <w:p>
      <w:pPr>
        <w:pStyle w:val="Heading1"/>
      </w:pPr>
      <w:r>
        <w:t>1. Dashboard Results to Remember</w:t>
      </w:r>
    </w:p>
    <w:p>
      <w:pPr>
        <w:pStyle w:val="ListBullet"/>
      </w:pPr>
      <w:r>
        <w:t>REMA dataset: 8,274 hourly observations from 5 March 2022 to 29 February 2024.</w:t>
      </w:r>
    </w:p>
    <w:p>
      <w:pPr>
        <w:pStyle w:val="ListBullet"/>
      </w:pPr>
      <w:r>
        <w:t>Final modelling series: 727 daily PM2.5 observations.</w:t>
      </w:r>
    </w:p>
    <w:p>
      <w:pPr>
        <w:pStyle w:val="ListBullet"/>
      </w:pPr>
      <w:r>
        <w:t>Outlier treatment: 1.5×IQR capping before imputation; 75 observations (1.12%) capped.</w:t>
      </w:r>
    </w:p>
    <w:p>
      <w:pPr>
        <w:pStyle w:val="ListBullet"/>
      </w:pPr>
      <w:r>
        <w:t>Raw PM2.5 maximum: 3,335.06 µg/m³; processed maximum: 61.83 µg/m³.</w:t>
      </w:r>
    </w:p>
    <w:p>
      <w:pPr>
        <w:pStyle w:val="ListBullet"/>
      </w:pPr>
      <w:r>
        <w:t>Primary models: Seasonal Naive, ARIMA, SARIMA, Random Forest, XGBoost and Prophet.</w:t>
      </w:r>
    </w:p>
    <w:p>
      <w:pPr>
        <w:pStyle w:val="ListBullet"/>
      </w:pPr>
      <w:r>
        <w:t>Evaluation: 72-day chronological held-out test period; no random shuffling.</w:t>
      </w:r>
    </w:p>
    <w:p>
      <w:pPr>
        <w:pStyle w:val="ListBullet"/>
      </w:pPr>
      <w:r>
        <w:t>Empirical selection: Random Forest, RMSE 5.93 µg/m³, MAE 4.42 µg/m³, MAPE 22.08%.</w:t>
      </w:r>
    </w:p>
    <w:p>
      <w:pPr>
        <w:pStyle w:val="ListBullet"/>
      </w:pPr>
      <w:r>
        <w:t>Native seven-day Random Forest forecast: 1–7 March 2024.</w:t>
      </w:r>
    </w:p>
    <w:p>
      <w:pPr>
        <w:pStyle w:val="ListBullet"/>
      </w:pPr>
      <w:r>
        <w:t>REMA–Meteo overlap: 206 days; meteorological analysis is supplementary.</w:t>
      </w:r>
    </w:p>
    <w:p>
      <w:pPr>
        <w:pStyle w:val="ListBullet"/>
      </w:pPr>
      <w:r>
        <w:t>The 2026 forecast window is a capability demonstration, not a validated live forecast, because REMA data end on 29 February 2024.</w:t>
      </w:r>
    </w:p>
    <w:p>
      <w:pPr>
        <w:pStyle w:val="Heading1"/>
      </w:pPr>
      <w:r>
        <w:t>2. How to Explain Every Dashboard Figure</w:t>
      </w:r>
    </w:p>
    <w:p>
      <w:pPr>
        <w:pStyle w:val="Heading2"/>
      </w:pPr>
      <w:r>
        <w:t>Figure 4.1a — PM2.5 missingness map</w:t>
      </w:r>
    </w:p>
    <w:p>
      <w:r>
        <w:t>What it shows: Shows where hourly PM2.5 observations were missing over time.</w:t>
      </w:r>
    </w:p>
    <w:p>
      <w:r>
        <w:t>How to explain it: It demonstrates why preprocessing was necessary before modelling.</w:t>
      </w:r>
    </w:p>
    <w:p>
      <w:pPr>
        <w:pStyle w:val="Heading2"/>
      </w:pPr>
      <w:r>
        <w:t>Figure 4.1b — Before vs after imputation</w:t>
      </w:r>
    </w:p>
    <w:p>
      <w:r>
        <w:t>What it shows: The upper panel is the raw series with gaps; the lower panel is the continuous model-ready series.</w:t>
      </w:r>
    </w:p>
    <w:p>
      <w:r>
        <w:t>How to explain it: It demonstrates the effect of the documented missing-value treatment.</w:t>
      </w:r>
    </w:p>
    <w:p>
      <w:pPr>
        <w:pStyle w:val="Heading2"/>
      </w:pPr>
      <w:r>
        <w:t>Figure 4.1c — Missing counts</w:t>
      </w:r>
    </w:p>
    <w:p>
      <w:r>
        <w:t>What it shows: Compares missing observations before and after treatment across the air-quality variables.</w:t>
      </w:r>
    </w:p>
    <w:p>
      <w:r>
        <w:t>How to explain it: It documents that missingness was assessed systematically.</w:t>
      </w:r>
    </w:p>
    <w:p>
      <w:pPr>
        <w:pStyle w:val="Heading2"/>
      </w:pPr>
      <w:r>
        <w:t>Figure 4.2a — Outlier boxplots</w:t>
      </w:r>
    </w:p>
    <w:p>
      <w:r>
        <w:t>What it shows: Shows how extreme observations distort the distribution before treatment.</w:t>
      </w:r>
    </w:p>
    <w:p>
      <w:r>
        <w:t>How to explain it: It supports the use of the 1.5×IQR rule.</w:t>
      </w:r>
    </w:p>
    <w:p>
      <w:pPr>
        <w:pStyle w:val="Heading2"/>
      </w:pPr>
      <w:r>
        <w:t>Figure 4.2b — Outliers over time</w:t>
      </w:r>
    </w:p>
    <w:p>
      <w:r>
        <w:t>What it shows: Shows the flagged PM2.5 observations and the effect of capping.</w:t>
      </w:r>
    </w:p>
    <w:p>
      <w:r>
        <w:t>How to explain it: The raw maximum of 3,335.06 µg/m³ was capped at 61.83 µg/m³ rather than deleted.</w:t>
      </w:r>
    </w:p>
    <w:p>
      <w:pPr>
        <w:pStyle w:val="Heading2"/>
      </w:pPr>
      <w:r>
        <w:t>Figure 4.2c — Distribution before vs after outlier treatment</w:t>
      </w:r>
    </w:p>
    <w:p>
      <w:r>
        <w:t>What it shows: Shows how capping reduces extreme skew while preserving the central distribution.</w:t>
      </w:r>
    </w:p>
    <w:p>
      <w:r>
        <w:t>How to explain it: It demonstrates the effect of the quality-control step.</w:t>
      </w:r>
    </w:p>
    <w:p>
      <w:pPr>
        <w:pStyle w:val="Heading2"/>
      </w:pPr>
      <w:r>
        <w:t>Figure 4.3 — Daily PM2.5 trend</w:t>
      </w:r>
    </w:p>
    <w:p>
      <w:r>
        <w:t>What it shows: Shows the final 727-day daily PM2.5 series.</w:t>
      </w:r>
    </w:p>
    <w:p>
      <w:r>
        <w:t>How to explain it: Use it to explain temporal variability across the study period.</w:t>
      </w:r>
    </w:p>
    <w:p>
      <w:pPr>
        <w:pStyle w:val="Heading2"/>
      </w:pPr>
      <w:r>
        <w:t>Monthly mean PM2.5</w:t>
      </w:r>
    </w:p>
    <w:p>
      <w:r>
        <w:t>What it shows: Aggregates daily PM2.5 by month.</w:t>
      </w:r>
    </w:p>
    <w:p>
      <w:r>
        <w:t>How to explain it: It makes longer-term and seasonal changes easier to see.</w:t>
      </w:r>
    </w:p>
    <w:p>
      <w:pPr>
        <w:pStyle w:val="Heading2"/>
      </w:pPr>
      <w:r>
        <w:t>Weekday PM2.5</w:t>
      </w:r>
    </w:p>
    <w:p>
      <w:r>
        <w:t>What it shows: Compares average PM2.5 for Monday through Sunday.</w:t>
      </w:r>
    </w:p>
    <w:p>
      <w:r>
        <w:t>How to explain it: The weekday averages are close, so weekly structure should not be described simply as a large weekday/weekend difference.</w:t>
      </w:r>
    </w:p>
    <w:p>
      <w:pPr>
        <w:pStyle w:val="Heading2"/>
      </w:pPr>
      <w:r>
        <w:t>Figure 4.4 — Seven-day decomposition</w:t>
      </w:r>
    </w:p>
    <w:p>
      <w:r>
        <w:t>What it shows: Separates observed, trend, weekly seasonal and residual components.</w:t>
      </w:r>
    </w:p>
    <w:p>
      <w:r>
        <w:t>How to explain it: It supports investigating a seven-day seasonal period.</w:t>
      </w:r>
    </w:p>
    <w:p>
      <w:pPr>
        <w:pStyle w:val="Heading2"/>
      </w:pPr>
      <w:r>
        <w:t>Figure 4.6 — ACF/PACF</w:t>
      </w:r>
    </w:p>
    <w:p>
      <w:r>
        <w:t>What it shows: Shows autocorrelation and partial autocorrelation after first differencing.</w:t>
      </w:r>
    </w:p>
    <w:p>
      <w:r>
        <w:t>How to explain it: These diagnostics helped inform the ARIMA-family candidates.</w:t>
      </w:r>
    </w:p>
    <w:p>
      <w:pPr>
        <w:pStyle w:val="Heading2"/>
      </w:pPr>
      <w:r>
        <w:t>Figure 4.7 — Model comparison</w:t>
      </w:r>
    </w:p>
    <w:p>
      <w:r>
        <w:t>What it shows: Compares RMSE, MAE and MAPE for the six primary models on the same chronological test period.</w:t>
      </w:r>
    </w:p>
    <w:p>
      <w:r>
        <w:t>How to explain it: Random Forest has the lowest values across all three metrics, so it was selected empirically.</w:t>
      </w:r>
    </w:p>
    <w:p>
      <w:pPr>
        <w:pStyle w:val="Heading2"/>
      </w:pPr>
      <w:r>
        <w:t>Figure 4.9 — Native Random Forest forecast</w:t>
      </w:r>
    </w:p>
    <w:p>
      <w:r>
        <w:t>What it shows: Shows the selected Random Forest forecast for 1–7 March 2024 with its empirical uncertainty band.</w:t>
      </w:r>
    </w:p>
    <w:p>
      <w:r>
        <w:t>How to explain it: The point forecasts range from 15.30 to 16.51 µg/m³.</w:t>
      </w:r>
    </w:p>
    <w:p>
      <w:pPr>
        <w:pStyle w:val="Heading2"/>
      </w:pPr>
      <w:r>
        <w:t>Figure 4.10 — All-model test forecasts</w:t>
      </w:r>
    </w:p>
    <w:p>
      <w:r>
        <w:t>What it shows: Compares actual PM2.5 with all six candidate-model forecasts across the common test window.</w:t>
      </w:r>
    </w:p>
    <w:p>
      <w:r>
        <w:t>How to explain it: It visually complements the numerical comparison.</w:t>
      </w:r>
    </w:p>
    <w:p>
      <w:pPr>
        <w:pStyle w:val="Heading2"/>
      </w:pPr>
      <w:r>
        <w:t>Figure 4.11 — Zoomed comparison</w:t>
      </w:r>
    </w:p>
    <w:p>
      <w:r>
        <w:t>What it shows: Provides a shorter window for easier visual comparison of leading models.</w:t>
      </w:r>
    </w:p>
    <w:p>
      <w:r>
        <w:t>How to explain it: Use it when explaining local tracking differences.</w:t>
      </w:r>
    </w:p>
    <w:p>
      <w:pPr>
        <w:pStyle w:val="Heading2"/>
      </w:pPr>
      <w:r>
        <w:t>Figure 4.12 — Forecast error over time</w:t>
      </w:r>
    </w:p>
    <w:p>
      <w:r>
        <w:t>What it shows: Plots actual minus predicted values.</w:t>
      </w:r>
    </w:p>
    <w:p>
      <w:r>
        <w:t>How to explain it: Positive error means under-prediction; negative error means over-prediction.</w:t>
      </w:r>
    </w:p>
    <w:p>
      <w:pPr>
        <w:pStyle w:val="Heading2"/>
      </w:pPr>
      <w:r>
        <w:t>Figure 4.15 — Native vs current-window forecast</w:t>
      </w:r>
    </w:p>
    <w:p>
      <w:r>
        <w:t>What it shows: Separates the historically verifiable native window from the 2026 capability demonstration.</w:t>
      </w:r>
    </w:p>
    <w:p>
      <w:r>
        <w:t>How to explain it: Stress that the 2026 panel is not a validated current forecast because the training data end in 2024.</w:t>
      </w:r>
    </w:p>
    <w:p>
      <w:pPr>
        <w:pStyle w:val="Heading2"/>
      </w:pPr>
      <w:r>
        <w:t>Figure 4.16 — Forecast summary bars</w:t>
      </w:r>
    </w:p>
    <w:p>
      <w:r>
        <w:t>What it shows: Compares native seven-day diagnostic RMSE, authoritative test RMSE and current-window mean forecasts.</w:t>
      </w:r>
    </w:p>
    <w:p>
      <w:r>
        <w:t>How to explain it: The 72-day test RMSE is the actual model-selection basis.</w:t>
      </w:r>
    </w:p>
    <w:p>
      <w:pPr>
        <w:pStyle w:val="Heading2"/>
      </w:pPr>
      <w:r>
        <w:t>Figure 4.5 — Meteorological heatmap</w:t>
      </w:r>
    </w:p>
    <w:p>
      <w:r>
        <w:t>What it shows: Shows Pearson correlations between PM2.5 and meteorological variables over the 206-day overlap.</w:t>
      </w:r>
    </w:p>
    <w:p>
      <w:r>
        <w:t>How to explain it: Solar radiation has the largest absolute marginal association, r = −0.2511; correlation does not establish causation.</w:t>
      </w:r>
    </w:p>
    <w:p>
      <w:pPr>
        <w:pStyle w:val="Heading2"/>
      </w:pPr>
      <w:r>
        <w:t>Figure 4.14 — SARIMAX coefficients</w:t>
      </w:r>
    </w:p>
    <w:p>
      <w:r>
        <w:t>What it shows: Shows supplementary weather-model coefficients with 95% confidence intervals.</w:t>
      </w:r>
    </w:p>
    <w:p>
      <w:r>
        <w:t>How to explain it: Humidity, wind speed, lagged temperature and lagged humidity were significant at 5%; these are associations, not causal effects.</w:t>
      </w:r>
    </w:p>
    <w:p>
      <w:pPr>
        <w:pStyle w:val="Heading1"/>
      </w:pPr>
      <w:r>
        <w:t>3. Simple Formula for Explaining Any Figure</w:t>
      </w:r>
    </w:p>
    <w:p>
      <w:r>
        <w:t>Use this sequence: (1) What does it show? (2) Why was it produced? (3) What is the main result? (4) How did it support the modelling decision? (5) What limitation remains?</w:t>
      </w:r>
    </w:p>
    <w:p>
      <w:pPr>
        <w:pStyle w:val="Heading1"/>
      </w:pPr>
      <w:r>
        <w:t>4. Render Deployment — Step by Step</w:t>
      </w:r>
    </w:p>
    <w:p>
      <w:pPr>
        <w:pStyle w:val="Heading2"/>
      </w:pPr>
      <w:r>
        <w:t>1. Prepare the project</w:t>
      </w:r>
    </w:p>
    <w:p>
      <w:r>
        <w:t>Confirm backend/, frontend/, data/, docs/, run.py, requirements.txt and Procfile are present.</w:t>
      </w:r>
    </w:p>
    <w:p>
      <w:pPr>
        <w:pStyle w:val="Heading2"/>
      </w:pPr>
      <w:r>
        <w:t>2. Create a virtual environment</w:t>
      </w:r>
    </w:p>
    <w:p>
      <w:r>
        <w:t>Windows PowerShell: python -m venv .venv, then .venv\Scripts\Activate.ps1.</w:t>
      </w:r>
    </w:p>
    <w:p>
      <w:pPr>
        <w:pStyle w:val="Heading2"/>
      </w:pPr>
      <w:r>
        <w:t>3. Install dependencies</w:t>
      </w:r>
    </w:p>
    <w:p>
      <w:r>
        <w:t>Run: pip install -r requirements.txt.</w:t>
      </w:r>
    </w:p>
    <w:p>
      <w:pPr>
        <w:pStyle w:val="Heading2"/>
      </w:pPr>
      <w:r>
        <w:t>4. Run locally</w:t>
      </w:r>
    </w:p>
    <w:p>
      <w:r>
        <w:t>Run: python run.py and open http://127.0.0.1:5000.</w:t>
      </w:r>
    </w:p>
    <w:p>
      <w:pPr>
        <w:pStyle w:val="Heading2"/>
      </w:pPr>
      <w:r>
        <w:t>5. Check APIs</w:t>
      </w:r>
    </w:p>
    <w:p>
      <w:r>
        <w:t>Verify /api/health, /api/model, /api/metrics/comparison, /api/analysis, /api/correlations, /api/forecast, /api/forecast/all and /api/forecast/live.</w:t>
      </w:r>
    </w:p>
    <w:p>
      <w:pPr>
        <w:pStyle w:val="Heading2"/>
      </w:pPr>
      <w:r>
        <w:t>6. Create GitHub repository</w:t>
      </w:r>
    </w:p>
    <w:p>
      <w:r>
        <w:t>Create a repository and upload the project contents. Do not upload .venv.</w:t>
      </w:r>
    </w:p>
    <w:p>
      <w:pPr>
        <w:pStyle w:val="Heading2"/>
      </w:pPr>
      <w:r>
        <w:t>7. Create Render Web Service</w:t>
      </w:r>
    </w:p>
    <w:p>
      <w:r>
        <w:t>Render → New → Web Service → connect the GitHub repository.</w:t>
      </w:r>
    </w:p>
    <w:p>
      <w:pPr>
        <w:pStyle w:val="Heading2"/>
      </w:pPr>
      <w:r>
        <w:t>8. Set build command</w:t>
      </w:r>
    </w:p>
    <w:p>
      <w:r>
        <w:t>pip install -r requirements.txt</w:t>
      </w:r>
    </w:p>
    <w:p>
      <w:pPr>
        <w:pStyle w:val="Heading2"/>
      </w:pPr>
      <w:r>
        <w:t>9. Set start command</w:t>
      </w:r>
    </w:p>
    <w:p>
      <w:r>
        <w:t>gunicorn run:app</w:t>
      </w:r>
    </w:p>
    <w:p>
      <w:pPr>
        <w:pStyle w:val="Heading2"/>
      </w:pPr>
      <w:r>
        <w:t>10. Deploy</w:t>
      </w:r>
    </w:p>
    <w:p>
      <w:r>
        <w:t>Create the service and wait for the build/deployment to finish.</w:t>
      </w:r>
    </w:p>
    <w:p>
      <w:pPr>
        <w:pStyle w:val="Heading2"/>
      </w:pPr>
      <w:r>
        <w:t>11. Verify deployment</w:t>
      </w:r>
    </w:p>
    <w:p>
      <w:r>
        <w:t>Open the Render root URL and confirm the header says API connected. Also open /api/health.</w:t>
      </w:r>
    </w:p>
    <w:p>
      <w:pPr>
        <w:pStyle w:val="Heading2"/>
      </w:pPr>
      <w:r>
        <w:t>12. Check figures</w:t>
      </w:r>
    </w:p>
    <w:p>
      <w:r>
        <w:t>Confirm frontend/static/current_figures/ is committed to GitHub.</w:t>
      </w:r>
    </w:p>
    <w:p>
      <w:pPr>
        <w:pStyle w:val="Heading2"/>
      </w:pPr>
      <w:r>
        <w:t>13. Use correct defense wording</w:t>
      </w:r>
    </w:p>
    <w:p>
      <w:r>
        <w:t>The dashboard is a Flask research prototype serving final notebook artifacts; it is not connected to a live REMA sensor feed.</w:t>
      </w:r>
    </w:p>
    <w:p>
      <w:pPr>
        <w:pStyle w:val="Heading1"/>
      </w:pPr>
      <w:r>
        <w:t>5. Important Defense Statement About the 2026 Forecast</w:t>
      </w:r>
    </w:p>
    <w:p>
      <w:r>
        <w:t>“The 2026 forecast window is included to demonstrate that the forecasting pipeline can generate a future window, but it is not a validated live air-quality forecast. The REMA training record ends on 29 February 2024, so an operational system would first require current sensor data, retraining and independent validation.”</w:t>
      </w:r>
    </w:p>
    <w:p>
      <w:pPr>
        <w:pStyle w:val="Heading1"/>
      </w:pPr>
      <w:r>
        <w:t>6. Key Panel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Defense answer</w:t>
            </w:r>
          </w:p>
        </w:tc>
      </w:tr>
      <w:tr>
        <w:tc>
          <w:tcPr>
            <w:tcW w:type="dxa" w:w="4320"/>
          </w:tcPr>
          <w:p>
            <w:r>
              <w:t>Why Random Forest?</w:t>
            </w:r>
          </w:p>
        </w:tc>
        <w:tc>
          <w:tcPr>
            <w:tcW w:type="dxa" w:w="4320"/>
          </w:tcPr>
          <w:p>
            <w:r>
              <w:t>It achieved the lowest RMSE, MAE and MAPE on the common 72-day chronological test period. The selection was empirical.</w:t>
            </w:r>
          </w:p>
        </w:tc>
      </w:tr>
      <w:tr>
        <w:tc>
          <w:tcPr>
            <w:tcW w:type="dxa" w:w="4320"/>
          </w:tcPr>
          <w:p>
            <w:r>
              <w:t>Why not XGBoost?</w:t>
            </w:r>
          </w:p>
        </w:tc>
        <w:tc>
          <w:tcPr>
            <w:tcW w:type="dxa" w:w="4320"/>
          </w:tcPr>
          <w:p>
            <w:r>
              <w:t>XGBoost was very close, with RMSE 5.95 versus 5.93 for Random Forest. Under the RMSE selection rule, Random Forest was selected.</w:t>
            </w:r>
          </w:p>
        </w:tc>
      </w:tr>
      <w:tr>
        <w:tc>
          <w:tcPr>
            <w:tcW w:type="dxa" w:w="4320"/>
          </w:tcPr>
          <w:p>
            <w:r>
              <w:t>Why seven days?</w:t>
            </w:r>
          </w:p>
        </w:tc>
        <w:tc>
          <w:tcPr>
            <w:tcW w:type="dxa" w:w="4320"/>
          </w:tcPr>
          <w:p>
            <w:r>
              <w:t>The study uses a short-term horizon covering one complete weekly cycle; it is a practical research choice, not a universal optimum.</w:t>
            </w:r>
          </w:p>
        </w:tc>
      </w:tr>
      <w:tr>
        <w:tc>
          <w:tcPr>
            <w:tcW w:type="dxa" w:w="4320"/>
          </w:tcPr>
          <w:p>
            <w:r>
              <w:t>Why was SARIMAX supplementary?</w:t>
            </w:r>
          </w:p>
        </w:tc>
        <w:tc>
          <w:tcPr>
            <w:tcW w:type="dxa" w:w="4320"/>
          </w:tcPr>
          <w:p>
            <w:r>
              <w:t>Only 206 daily observations overlapped between REMA and Meteo Rwanda, so it was not placed in the same primary ranking.</w:t>
            </w:r>
          </w:p>
        </w:tc>
      </w:tr>
      <w:tr>
        <w:tc>
          <w:tcPr>
            <w:tcW w:type="dxa" w:w="4320"/>
          </w:tcPr>
          <w:p>
            <w:r>
              <w:t>Why cap outliers instead of deleting them?</w:t>
            </w:r>
          </w:p>
        </w:tc>
        <w:tc>
          <w:tcPr>
            <w:tcW w:type="dxa" w:w="4320"/>
          </w:tcPr>
          <w:p>
            <w:r>
              <w:t>Capping preserves the temporal observations while reducing the influence of a likely sensor anomaly.</w:t>
            </w:r>
          </w:p>
        </w:tc>
      </w:tr>
      <w:tr>
        <w:tc>
          <w:tcPr>
            <w:tcW w:type="dxa" w:w="4320"/>
          </w:tcPr>
          <w:p>
            <w:r>
              <w:t>Is the dashboard live?</w:t>
            </w:r>
          </w:p>
        </w:tc>
        <w:tc>
          <w:tcPr>
            <w:tcW w:type="dxa" w:w="4320"/>
          </w:tcPr>
          <w:p>
            <w:r>
              <w:t>No. It is a research prototype. A live system would require a validated current data feed, retraining and independent evaluation.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