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0" w:lineRule="exact"/>
      </w:pPr>
      <w:r>
        <w:drawing>
          <wp:anchor distT="0" distB="0" distL="0" distR="0" simplePos="0" allowOverlap="1" behindDoc="1" locked="1" layoutInCell="0" relativeHeight="10058400">
            <wp:simplePos x="0" y="0"/>
            <wp:positionH relativeFrom="page">
              <wp:posOffset>0</wp:posOffset>
            </wp:positionH>
            <wp:positionV relativeFrom="page">
              <wp:posOffset>0</wp:posOffset>
            </wp:positionV>
            <wp:extent cx="7772400" cy="100584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772400" cy="10058400"/>
                    </a:xfrm>
                    <a:prstGeom prst="rect">
                      <a:avLst/>
                    </a:prstGeom>
                  </pic:spPr>
                </pic:pic>
              </a:graphicData>
            </a:graphic>
          </wp:anchor>
        </w:drawing>
      </w:r>
    </w:p>
    <w:p>
      <w:pPr>
        <w:spacing w:after="0" w:before="0" w:line="7400" w:lineRule="exact"/>
      </w:pPr>
    </w:p>
    <w:p>
      <w:pPr>
        <w:spacing w:after="0"/>
      </w:pPr>
      <w:r>
        <w:rPr>
          <w:rFonts w:ascii="Calibri" w:cs="Calibri" w:eastAsia="Calibri" w:hAnsi="Calibri"/>
          <w:b/>
          <w:bCs/>
          <w:color w:val="F4B942"/>
          <w:sz w:val="22"/>
          <w:szCs w:val="22"/>
        </w:rPr>
        <w:t xml:space="preserve">PLAN D'AFFAIRES 2027 – 2031</w:t>
      </w:r>
    </w:p>
    <w:p>
      <w:pPr>
        <w:spacing w:after="0" w:before="80"/>
      </w:pPr>
      <w:r>
        <w:rPr>
          <w:rFonts w:ascii="Calibri" w:cs="Calibri" w:eastAsia="Calibri" w:hAnsi="Calibri"/>
          <w:b/>
          <w:bCs/>
          <w:color w:val="FFFFFF"/>
          <w:sz w:val="72"/>
          <w:szCs w:val="72"/>
        </w:rPr>
        <w:t xml:space="preserve">COMPLEXE HAVANA</w:t>
      </w:r>
    </w:p>
    <w:p>
      <w:pPr>
        <w:spacing w:after="0" w:before="60"/>
      </w:pPr>
      <w:r>
        <w:rPr>
          <w:rFonts w:ascii="Georgia" w:cs="Georgia" w:eastAsia="Georgia" w:hAnsi="Georgia"/>
          <w:i/>
          <w:iCs/>
          <w:color w:val="FFFFFF"/>
          <w:sz w:val="28"/>
          <w:szCs w:val="28"/>
        </w:rPr>
        <w:t xml:space="preserve">Du camping estival au centre de villégiature quatre saisons</w:t>
      </w:r>
    </w:p>
    <w:p>
      <w:pPr>
        <w:spacing w:after="0" w:before="260"/>
      </w:pPr>
      <w:r>
        <w:rPr>
          <w:rFonts w:ascii="Calibri" w:cs="Calibri" w:eastAsia="Calibri" w:hAnsi="Calibri"/>
          <w:color w:val="D9F1F3"/>
          <w:sz w:val="19"/>
          <w:szCs w:val="19"/>
        </w:rPr>
        <w:t xml:space="preserve">Demande de financement : prêt hypothécaire de premier rang de 5,5 M$ dans un montage de 9,3 M$   ·   Maricourt, Cantons-de-l'Est   ·   Septembre 2026</w:t>
      </w:r>
    </w:p>
    <w:p>
      <w:pPr>
        <w:spacing w:after="0" w:before="60"/>
      </w:pPr>
      <w:r>
        <w:rPr>
          <w:rFonts w:ascii="Calibri" w:cs="Calibri" w:eastAsia="Calibri" w:hAnsi="Calibri"/>
          <w:color w:val="A8D8DC"/>
          <w:sz w:val="18"/>
          <w:szCs w:val="18"/>
        </w:rPr>
        <w:t xml:space="preserve">Document confidentiel</w:t>
      </w:r>
    </w:p>
    <w:p>
      <w:r>
        <w:br w:type="page"/>
      </w:r>
    </w:p>
    <w:p>
      <w:pPr>
        <w:pStyle w:val="Heading2"/>
        <w:keepNext/>
        <w:spacing w:after="120" w:before="300"/>
      </w:pPr>
      <w:r>
        <w:rPr>
          <w:rFonts w:ascii="Calibri" w:cs="Calibri" w:eastAsia="Calibri" w:hAnsi="Calibri"/>
          <w:b/>
          <w:bCs/>
          <w:color w:val="0C4A5E"/>
          <w:sz w:val="27"/>
          <w:szCs w:val="27"/>
        </w:rPr>
        <w:t xml:space="preserve">Avis de confidentialité</w:t>
      </w:r>
    </w:p>
    <w:p>
      <w:pPr>
        <w:spacing w:after="120" w:before="0" w:line="276"/>
        <w:jc w:val="left"/>
      </w:pPr>
      <w:r>
        <w:rPr>
          <w:rFonts w:ascii="Calibri" w:cs="Calibri" w:eastAsia="Calibri" w:hAnsi="Calibri"/>
        </w:rPr>
        <w:t xml:space="preserve">Ce plan d'affaires contient des renseignements confidentiels appartenant au Complexe Havana et à ses partenaires. Il est remis uniquement aux fins d'évaluation d'une demande de financement. Les projections reposent sur des hypothèses documentées dans le classeur financier joint (annexe H), chacune avec sa source. Les résultats réels pourraient différer.</w:t>
      </w:r>
    </w:p>
    <w:p>
      <w:pPr>
        <w:spacing w:after="200"/>
      </w:pPr>
    </w:p>
    <w:p>
      <w:pPr>
        <w:pStyle w:val="Heading2"/>
        <w:keepNext/>
        <w:spacing w:after="120" w:before="300"/>
      </w:pPr>
      <w:r>
        <w:rPr>
          <w:rFonts w:ascii="Calibri" w:cs="Calibri" w:eastAsia="Calibri" w:hAnsi="Calibri"/>
          <w:b/>
          <w:bCs/>
          <w:color w:val="0C4A5E"/>
          <w:sz w:val="27"/>
          <w:szCs w:val="27"/>
        </w:rPr>
        <w:t xml:space="preserve">Table des matières</w:t>
      </w:r>
    </w:p>
    <w:sdt>
      <w:sdtPr>
        <w:alias w:val="Table des matières"/>
      </w:sdtPr>
      <w:sdtContent>
        <w:p>
          <w:r>
            <w:fldChar w:fldCharType="begin" w:dirty="true"/>
            <w:instrText xml:space="preserve">TOC \h \o "1-2"</w:instrText>
            <w:fldChar w:fldCharType="separate"/>
          </w:r>
        </w:p>
        <w:p>
          <w:r>
            <w:fldChar w:fldCharType="end"/>
          </w:r>
        </w:p>
      </w:sdtContent>
    </w:sdt>
    <w:p>
      <w:pPr>
        <w:spacing w:after="120"/>
      </w:pPr>
    </w:p>
    <w:p>
      <w:pPr>
        <w:pageBreakBefore/>
        <w:spacing w:after="0" w:before="0" w:line="20" w:lineRule="exact"/>
      </w:pPr>
      <w:r>
        <w:drawing>
          <wp:anchor distT="0" distB="0" distL="0" distR="0" simplePos="0" allowOverlap="1" behindDoc="1" locked="1" layoutInCell="0" relativeHeight="3838575">
            <wp:simplePos x="0" y="0"/>
            <wp:positionH relativeFrom="page">
              <wp:posOffset>0</wp:posOffset>
            </wp:positionH>
            <wp:positionV relativeFrom="page">
              <wp:posOffset>566928</wp:posOffset>
            </wp:positionV>
            <wp:extent cx="7772400" cy="3838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772400" cy="3838575"/>
                    </a:xfrm>
                    <a:prstGeom prst="rect">
                      <a:avLst/>
                    </a:prstGeom>
                  </pic:spPr>
                </pic:pic>
              </a:graphicData>
            </a:graphic>
          </wp:anchor>
        </w:drawing>
      </w:r>
    </w:p>
    <w:p>
      <w:pPr>
        <w:spacing w:after="0" w:before="0" w:line="3800" w:lineRule="exact"/>
      </w:pPr>
    </w:p>
    <w:p>
      <w:pPr>
        <w:spacing w:after="60" w:before="0"/>
      </w:pPr>
      <w:r>
        <w:rPr>
          <w:rFonts w:ascii="Calibri" w:cs="Calibri" w:eastAsia="Calibri" w:hAnsi="Calibri"/>
          <w:b/>
          <w:bCs/>
          <w:color w:val="F4B942"/>
          <w:sz w:val="26"/>
          <w:szCs w:val="26"/>
        </w:rPr>
        <w:t xml:space="preserve">01</w:t>
      </w:r>
    </w:p>
    <w:p>
      <w:pPr>
        <w:pStyle w:val="Heading1"/>
        <w:spacing w:after="0" w:before="0"/>
      </w:pPr>
      <w:r>
        <w:rPr>
          <w:rFonts w:ascii="Calibri" w:cs="Calibri" w:eastAsia="Calibri" w:hAnsi="Calibri"/>
          <w:b/>
          <w:bCs/>
          <w:color w:val="FFFFFF"/>
          <w:sz w:val="46"/>
          <w:szCs w:val="46"/>
        </w:rPr>
        <w:t xml:space="preserve">Sommaire exécutif</w:t>
      </w:r>
    </w:p>
    <w:p>
      <w:pPr>
        <w:spacing w:after="0" w:before="0" w:line="1250" w:lineRule="exact"/>
      </w:pPr>
    </w:p>
    <w:p>
      <w:pPr>
        <w:spacing w:after="240" w:before="0" w:line="300"/>
      </w:pPr>
      <w:r>
        <w:rPr>
          <w:rFonts w:ascii="Georgia" w:cs="Georgia" w:eastAsia="Georgia" w:hAnsi="Georgia"/>
          <w:i/>
          <w:iCs/>
          <w:color w:val="2BB5BF"/>
          <w:sz w:val="25"/>
          <w:szCs w:val="25"/>
        </w:rPr>
        <w:t xml:space="preserve">Un site exploité depuis dix ans, un produit quatre saisons déjà en place et des actifs prêts à être mis en valeur : le projet demande un financement dimensionné sur ses résultats.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12"/>
        <w:gridCol w:w="2412"/>
        <w:gridCol w:w="2412"/>
        <w:gridCol w:w="2412"/>
      </w:tblGrid>
      <w:tr>
        <w:tc>
          <w:tcPr>
            <w:tcW w:type="dxa" w:w="2412"/>
            <w:tcBorders>
              <w:top w:val="single" w:color="2BB5BF" w:sz="18"/>
              <w:left w:val="none" w:color="FFFFFF" w:sz="0"/>
              <w:bottom w:val="none" w:color="FFFFFF" w:sz="0"/>
              <w:right w:val="single" w:color="FFFFFF" w:sz="6"/>
            </w:tcBorders>
            <w:shd w:fill="F5F2EA" w:color="auto" w:val="clear"/>
            <w:tcMar>
              <w:top w:type="dxa" w:w="120"/>
              <w:left w:type="dxa" w:w="120"/>
              <w:bottom w:type="dxa" w:w="120"/>
              <w:right w:type="dxa" w:w="120"/>
            </w:tcMar>
          </w:tcPr>
          <w:p>
            <w:pPr>
              <w:spacing w:after="40"/>
            </w:pPr>
            <w:r>
              <w:rPr>
                <w:rFonts w:ascii="Calibri" w:cs="Calibri" w:eastAsia="Calibri" w:hAnsi="Calibri"/>
                <w:b/>
                <w:bCs/>
                <w:color w:val="0C4A5E"/>
                <w:sz w:val="34"/>
                <w:szCs w:val="34"/>
              </w:rPr>
              <w:t xml:space="preserve">1,53 M$</w:t>
            </w:r>
          </w:p>
          <w:p>
            <w:pPr>
              <w:spacing w:after="0"/>
            </w:pPr>
            <w:r>
              <w:rPr>
                <w:rFonts w:ascii="Calibri" w:cs="Calibri" w:eastAsia="Calibri" w:hAnsi="Calibri"/>
                <w:color w:val="6F8A90"/>
                <w:sz w:val="17"/>
                <w:szCs w:val="17"/>
              </w:rPr>
              <w:t xml:space="preserve">Ventes 2026 mesurées (Pixum, avant taxes)</w:t>
            </w:r>
          </w:p>
        </w:tc>
        <w:tc>
          <w:tcPr>
            <w:tcW w:type="dxa" w:w="2412"/>
            <w:tcBorders>
              <w:top w:val="single" w:color="2BB5BF" w:sz="18"/>
              <w:left w:val="none" w:color="FFFFFF" w:sz="0"/>
              <w:bottom w:val="none" w:color="FFFFFF" w:sz="0"/>
              <w:right w:val="single" w:color="FFFFFF" w:sz="6"/>
            </w:tcBorders>
            <w:shd w:fill="F5F2EA" w:color="auto" w:val="clear"/>
            <w:tcMar>
              <w:top w:type="dxa" w:w="120"/>
              <w:left w:type="dxa" w:w="120"/>
              <w:bottom w:type="dxa" w:w="120"/>
              <w:right w:type="dxa" w:w="120"/>
            </w:tcMar>
          </w:tcPr>
          <w:p>
            <w:pPr>
              <w:spacing w:after="40"/>
            </w:pPr>
            <w:r>
              <w:rPr>
                <w:rFonts w:ascii="Calibri" w:cs="Calibri" w:eastAsia="Calibri" w:hAnsi="Calibri"/>
                <w:b/>
                <w:bCs/>
                <w:color w:val="0C4A5E"/>
                <w:sz w:val="34"/>
                <w:szCs w:val="34"/>
              </w:rPr>
              <w:t xml:space="preserve">11,9 M$</w:t>
            </w:r>
          </w:p>
          <w:p>
            <w:pPr>
              <w:spacing w:after="0"/>
            </w:pPr>
            <w:r>
              <w:rPr>
                <w:rFonts w:ascii="Calibri" w:cs="Calibri" w:eastAsia="Calibri" w:hAnsi="Calibri"/>
                <w:color w:val="6F8A90"/>
                <w:sz w:val="17"/>
                <w:szCs w:val="17"/>
              </w:rPr>
              <w:t xml:space="preserve">Investissements réalisés 2015-2023 (déclarés)</w:t>
            </w:r>
          </w:p>
        </w:tc>
        <w:tc>
          <w:tcPr>
            <w:tcW w:type="dxa" w:w="2412"/>
            <w:tcBorders>
              <w:top w:val="single" w:color="2BB5BF" w:sz="18"/>
              <w:left w:val="none" w:color="FFFFFF" w:sz="0"/>
              <w:bottom w:val="none" w:color="FFFFFF" w:sz="0"/>
              <w:right w:val="single" w:color="FFFFFF" w:sz="6"/>
            </w:tcBorders>
            <w:shd w:fill="F5F2EA" w:color="auto" w:val="clear"/>
            <w:tcMar>
              <w:top w:type="dxa" w:w="120"/>
              <w:left w:type="dxa" w:w="120"/>
              <w:bottom w:type="dxa" w:w="120"/>
              <w:right w:type="dxa" w:w="120"/>
            </w:tcMar>
          </w:tcPr>
          <w:p>
            <w:pPr>
              <w:spacing w:after="40"/>
            </w:pPr>
            <w:r>
              <w:rPr>
                <w:rFonts w:ascii="Calibri" w:cs="Calibri" w:eastAsia="Calibri" w:hAnsi="Calibri"/>
                <w:b/>
                <w:bCs/>
                <w:color w:val="0C4A5E"/>
                <w:sz w:val="34"/>
                <w:szCs w:val="34"/>
              </w:rPr>
              <w:t xml:space="preserve">5,5 M$</w:t>
            </w:r>
          </w:p>
          <w:p>
            <w:pPr>
              <w:spacing w:after="0"/>
            </w:pPr>
            <w:r>
              <w:rPr>
                <w:rFonts w:ascii="Calibri" w:cs="Calibri" w:eastAsia="Calibri" w:hAnsi="Calibri"/>
                <w:color w:val="6F8A90"/>
                <w:sz w:val="17"/>
                <w:szCs w:val="17"/>
              </w:rPr>
              <w:t xml:space="preserve">Prêt senior demandé</w:t>
            </w:r>
          </w:p>
        </w:tc>
        <w:tc>
          <w:tcPr>
            <w:tcW w:type="dxa" w:w="2412"/>
            <w:tcBorders>
              <w:top w:val="single" w:color="2BB5BF" w:sz="18"/>
              <w:left w:val="none" w:color="FFFFFF" w:sz="0"/>
              <w:bottom w:val="none" w:color="FFFFFF" w:sz="0"/>
              <w:right w:val="single" w:color="FFFFFF" w:sz="6"/>
            </w:tcBorders>
            <w:shd w:fill="F5F2EA" w:color="auto" w:val="clear"/>
            <w:tcMar>
              <w:top w:type="dxa" w:w="120"/>
              <w:left w:type="dxa" w:w="120"/>
              <w:bottom w:type="dxa" w:w="120"/>
              <w:right w:type="dxa" w:w="120"/>
            </w:tcMar>
          </w:tcPr>
          <w:p>
            <w:pPr>
              <w:spacing w:after="40"/>
            </w:pPr>
            <w:r>
              <w:rPr>
                <w:rFonts w:ascii="Calibri" w:cs="Calibri" w:eastAsia="Calibri" w:hAnsi="Calibri"/>
                <w:b/>
                <w:bCs/>
                <w:color w:val="0C4A5E"/>
                <w:sz w:val="34"/>
                <w:szCs w:val="34"/>
              </w:rPr>
              <w:t xml:space="preserve">42 %</w:t>
            </w:r>
          </w:p>
          <w:p>
            <w:pPr>
              <w:spacing w:after="0"/>
            </w:pPr>
            <w:r>
              <w:rPr>
                <w:rFonts w:ascii="Calibri" w:cs="Calibri" w:eastAsia="Calibri" w:hAnsi="Calibri"/>
                <w:color w:val="6F8A90"/>
                <w:sz w:val="17"/>
                <w:szCs w:val="17"/>
              </w:rPr>
              <w:t xml:space="preserve">Fonds propres sur l'argent neuf</w:t>
            </w:r>
          </w:p>
        </w:tc>
      </w:tr>
    </w:tbl>
    <w:p>
      <w:pPr>
        <w:spacing w:after="8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12"/>
        <w:gridCol w:w="2412"/>
        <w:gridCol w:w="2412"/>
        <w:gridCol w:w="2412"/>
      </w:tblGrid>
      <w:tr>
        <w:tc>
          <w:tcPr>
            <w:tcW w:type="dxa" w:w="2412"/>
            <w:tcBorders>
              <w:top w:val="single" w:color="2BB5BF" w:sz="18"/>
              <w:left w:val="none" w:color="FFFFFF" w:sz="0"/>
              <w:bottom w:val="none" w:color="FFFFFF" w:sz="0"/>
              <w:right w:val="single" w:color="FFFFFF" w:sz="6"/>
            </w:tcBorders>
            <w:shd w:fill="F5F2EA" w:color="auto" w:val="clear"/>
            <w:tcMar>
              <w:top w:type="dxa" w:w="120"/>
              <w:left w:type="dxa" w:w="120"/>
              <w:bottom w:type="dxa" w:w="120"/>
              <w:right w:type="dxa" w:w="120"/>
            </w:tcMar>
          </w:tcPr>
          <w:p>
            <w:pPr>
              <w:spacing w:after="40"/>
            </w:pPr>
            <w:r>
              <w:rPr>
                <w:rFonts w:ascii="Calibri" w:cs="Calibri" w:eastAsia="Calibri" w:hAnsi="Calibri"/>
                <w:b/>
                <w:bCs/>
                <w:color w:val="0C4A5E"/>
                <w:sz w:val="34"/>
                <w:szCs w:val="34"/>
              </w:rPr>
              <w:t xml:space="preserve">5,9 M$</w:t>
            </w:r>
          </w:p>
          <w:p>
            <w:pPr>
              <w:spacing w:after="0"/>
            </w:pPr>
            <w:r>
              <w:rPr>
                <w:rFonts w:ascii="Calibri" w:cs="Calibri" w:eastAsia="Calibri" w:hAnsi="Calibri"/>
                <w:color w:val="6F8A90"/>
                <w:sz w:val="17"/>
                <w:szCs w:val="17"/>
              </w:rPr>
              <w:t xml:space="preserve">Revenus projetés An 5</w:t>
            </w:r>
          </w:p>
        </w:tc>
        <w:tc>
          <w:tcPr>
            <w:tcW w:type="dxa" w:w="2412"/>
            <w:tcBorders>
              <w:top w:val="single" w:color="2BB5BF" w:sz="18"/>
              <w:left w:val="none" w:color="FFFFFF" w:sz="0"/>
              <w:bottom w:val="none" w:color="FFFFFF" w:sz="0"/>
              <w:right w:val="single" w:color="FFFFFF" w:sz="6"/>
            </w:tcBorders>
            <w:shd w:fill="F5F2EA" w:color="auto" w:val="clear"/>
            <w:tcMar>
              <w:top w:type="dxa" w:w="120"/>
              <w:left w:type="dxa" w:w="120"/>
              <w:bottom w:type="dxa" w:w="120"/>
              <w:right w:type="dxa" w:w="120"/>
            </w:tcMar>
          </w:tcPr>
          <w:p>
            <w:pPr>
              <w:spacing w:after="40"/>
            </w:pPr>
            <w:r>
              <w:rPr>
                <w:rFonts w:ascii="Calibri" w:cs="Calibri" w:eastAsia="Calibri" w:hAnsi="Calibri"/>
                <w:b/>
                <w:bCs/>
                <w:color w:val="0C4A5E"/>
                <w:sz w:val="34"/>
                <w:szCs w:val="34"/>
              </w:rPr>
              <w:t xml:space="preserve">1,5 M$</w:t>
            </w:r>
          </w:p>
          <w:p>
            <w:pPr>
              <w:spacing w:after="0"/>
            </w:pPr>
            <w:r>
              <w:rPr>
                <w:rFonts w:ascii="Calibri" w:cs="Calibri" w:eastAsia="Calibri" w:hAnsi="Calibri"/>
                <w:color w:val="6F8A90"/>
                <w:sz w:val="17"/>
                <w:szCs w:val="17"/>
              </w:rPr>
              <w:t xml:space="preserve">BAIIA An 5</w:t>
            </w:r>
          </w:p>
        </w:tc>
        <w:tc>
          <w:tcPr>
            <w:tcW w:type="dxa" w:w="2412"/>
            <w:tcBorders>
              <w:top w:val="single" w:color="2BB5BF" w:sz="18"/>
              <w:left w:val="none" w:color="FFFFFF" w:sz="0"/>
              <w:bottom w:val="none" w:color="FFFFFF" w:sz="0"/>
              <w:right w:val="single" w:color="FFFFFF" w:sz="6"/>
            </w:tcBorders>
            <w:shd w:fill="F5F2EA" w:color="auto" w:val="clear"/>
            <w:tcMar>
              <w:top w:type="dxa" w:w="120"/>
              <w:left w:type="dxa" w:w="120"/>
              <w:bottom w:type="dxa" w:w="120"/>
              <w:right w:type="dxa" w:w="120"/>
            </w:tcMar>
          </w:tcPr>
          <w:p>
            <w:pPr>
              <w:spacing w:after="40"/>
            </w:pPr>
            <w:r>
              <w:rPr>
                <w:rFonts w:ascii="Calibri" w:cs="Calibri" w:eastAsia="Calibri" w:hAnsi="Calibri"/>
                <w:b/>
                <w:bCs/>
                <w:color w:val="0C4A5E"/>
                <w:sz w:val="34"/>
                <w:szCs w:val="34"/>
              </w:rPr>
              <w:t xml:space="preserve">2,42 x</w:t>
            </w:r>
          </w:p>
          <w:p>
            <w:pPr>
              <w:spacing w:after="0"/>
            </w:pPr>
            <w:r>
              <w:rPr>
                <w:rFonts w:ascii="Calibri" w:cs="Calibri" w:eastAsia="Calibri" w:hAnsi="Calibri"/>
                <w:color w:val="6F8A90"/>
                <w:sz w:val="17"/>
                <w:szCs w:val="17"/>
              </w:rPr>
              <w:t xml:space="preserve">Couverture du prêt senior An 3</w:t>
            </w:r>
          </w:p>
        </w:tc>
        <w:tc>
          <w:tcPr>
            <w:tcW w:type="dxa" w:w="2412"/>
            <w:tcBorders>
              <w:top w:val="single" w:color="2BB5BF" w:sz="18"/>
              <w:left w:val="none" w:color="FFFFFF" w:sz="0"/>
              <w:bottom w:val="none" w:color="FFFFFF" w:sz="0"/>
              <w:right w:val="single" w:color="FFFFFF" w:sz="6"/>
            </w:tcBorders>
            <w:shd w:fill="F5F2EA" w:color="auto" w:val="clear"/>
            <w:tcMar>
              <w:top w:type="dxa" w:w="120"/>
              <w:left w:type="dxa" w:w="120"/>
              <w:bottom w:type="dxa" w:w="120"/>
              <w:right w:type="dxa" w:w="120"/>
            </w:tcMar>
          </w:tcPr>
          <w:p>
            <w:pPr>
              <w:spacing w:after="40"/>
            </w:pPr>
            <w:r>
              <w:rPr>
                <w:rFonts w:ascii="Calibri" w:cs="Calibri" w:eastAsia="Calibri" w:hAnsi="Calibri"/>
                <w:b/>
                <w:bCs/>
                <w:color w:val="0C4A5E"/>
                <w:sz w:val="34"/>
                <w:szCs w:val="34"/>
              </w:rPr>
              <w:t xml:space="preserve">1,66 x</w:t>
            </w:r>
          </w:p>
          <w:p>
            <w:pPr>
              <w:spacing w:after="0"/>
            </w:pPr>
            <w:r>
              <w:rPr>
                <w:rFonts w:ascii="Calibri" w:cs="Calibri" w:eastAsia="Calibri" w:hAnsi="Calibri"/>
                <w:color w:val="6F8A90"/>
                <w:sz w:val="17"/>
                <w:szCs w:val="17"/>
              </w:rPr>
              <w:t xml:space="preserve">Couverture bancaire, toutes couches, An 5</w:t>
            </w:r>
          </w:p>
        </w:tc>
      </w:tr>
    </w:tbl>
    <w:p>
      <w:pPr>
        <w:spacing w:after="200"/>
      </w:pPr>
    </w:p>
    <w:p>
      <w:pPr>
        <w:pStyle w:val="Heading2"/>
        <w:keepNext/>
        <w:spacing w:after="120" w:before="300"/>
      </w:pPr>
      <w:r>
        <w:rPr>
          <w:rFonts w:ascii="Calibri" w:cs="Calibri" w:eastAsia="Calibri" w:hAnsi="Calibri"/>
          <w:b/>
          <w:bCs/>
          <w:color w:val="0C4A5E"/>
          <w:sz w:val="27"/>
          <w:szCs w:val="27"/>
        </w:rPr>
        <w:t xml:space="preserve">L'entreprise</w:t>
      </w:r>
    </w:p>
    <w:p>
      <w:pPr>
        <w:spacing w:after="120" w:before="0" w:line="276"/>
        <w:jc w:val="left"/>
      </w:pPr>
      <w:r>
        <w:rPr>
          <w:rFonts w:ascii="Calibri" w:cs="Calibri" w:eastAsia="Calibri" w:hAnsi="Calibri"/>
        </w:rPr>
        <w:t xml:space="preserve">Le Complexe Havana (Camping Havana Resort) exploite depuis 2015 un site de 274,57 acres (111,13 ha, trois lots) au 631-637, 7e Rang à Maricourt, dans les Cantons-de-l'Est. Le concept, unique au Québec, reproduit l'ambiance des destinations cubaines : piscine centrale avec bar, animation, musique et cuisine cubaines. L'inventaire compte 313 terrains de camping, 14 cabanas prêt-à-camper, une trentaine de chalets, six chambres d'hôtel en exploitation dans un bâtiment de 24 860 pi² pouvant en accueillir 17, une piscine extérieure, une usine d'épuration privée et 18 emplacements aménagés pour des unités Coolbox, dont 9 sont exploitées.</w:t>
      </w:r>
    </w:p>
    <w:p>
      <w:pPr>
        <w:spacing w:after="120" w:before="0" w:line="276"/>
        <w:jc w:val="left"/>
      </w:pPr>
      <w:r>
        <w:rPr>
          <w:rFonts w:ascii="Calibri" w:cs="Calibri" w:eastAsia="Calibri" w:hAnsi="Calibri"/>
        </w:rPr>
        <w:t xml:space="preserve">Les ventes enregistrées par le système de réservation sont passées de 1 453 605 $ en 2025 à 1 531 842 $ en 2026 (+5,4 %), avec un panier moyen en hausse de 15 % (158 $). S'y ajoutent la restauration et les activités (196 700 $) et la part de Havana dans les ventes des 9 unités Coolbox exploitées en 2026 (76 667 $).</w:t>
      </w:r>
    </w:p>
    <w:p>
      <w:pPr>
        <w:pStyle w:val="Heading2"/>
        <w:keepNext/>
        <w:spacing w:after="120" w:before="300"/>
      </w:pPr>
      <w:r>
        <w:rPr>
          <w:rFonts w:ascii="Calibri" w:cs="Calibri" w:eastAsia="Calibri" w:hAnsi="Calibri"/>
          <w:b/>
          <w:bCs/>
          <w:color w:val="0C4A5E"/>
          <w:sz w:val="27"/>
          <w:szCs w:val="27"/>
        </w:rPr>
        <w:t xml:space="preserve">Le projet</w:t>
      </w:r>
    </w:p>
    <w:p>
      <w:pPr>
        <w:spacing w:after="120" w:before="0" w:line="276"/>
        <w:jc w:val="left"/>
      </w:pPr>
      <w:r>
        <w:rPr>
          <w:rFonts w:ascii="Calibri" w:cs="Calibri" w:eastAsia="Calibri" w:hAnsi="Calibri"/>
        </w:rPr>
        <w:t xml:space="preserve">Transformer l'exploitation estivale en centre de villégiature douze mois par année, en mettant en valeur les actifs existants. Travaux de 3,97 M$ réalisés à l'hiver et au printemps 2027 pour une ouverture en juillet 2027 :</w:t>
      </w:r>
    </w:p>
    <w:p>
      <w:pPr>
        <w:pStyle w:val="ListParagraph"/>
        <w:numPr>
          <w:ilvl w:val="0"/>
          <w:numId w:val="2"/>
        </w:numPr>
        <w:spacing w:after="80" w:line="276"/>
      </w:pPr>
      <w:r>
        <w:rPr>
          <w:rFonts w:ascii="Calibri" w:cs="Calibri" w:eastAsia="Calibri" w:hAnsi="Calibri"/>
          <w:b/>
          <w:bCs/>
          <w:color w:val="1E2A2E"/>
          <w:sz w:val="21"/>
          <w:szCs w:val="21"/>
        </w:rPr>
        <w:t xml:space="preserve">Hôtel : </w:t>
      </w:r>
      <w:r>
        <w:rPr>
          <w:rFonts w:ascii="Calibri" w:cs="Calibri" w:eastAsia="Calibri" w:hAnsi="Calibri"/>
          <w:color w:val="1E2A2E"/>
          <w:sz w:val="21"/>
          <w:szCs w:val="21"/>
        </w:rPr>
        <w:t xml:space="preserve">de 6 à 17 chambres, restaurant Madera et salle de conférence, exploitation douze mois.</w:t>
      </w:r>
    </w:p>
    <w:p>
      <w:pPr>
        <w:pStyle w:val="ListParagraph"/>
        <w:numPr>
          <w:ilvl w:val="0"/>
          <w:numId w:val="2"/>
        </w:numPr>
        <w:spacing w:after="80" w:line="276"/>
      </w:pPr>
      <w:r>
        <w:rPr>
          <w:rFonts w:ascii="Calibri" w:cs="Calibri" w:eastAsia="Calibri" w:hAnsi="Calibri"/>
          <w:b/>
          <w:bCs/>
          <w:color w:val="1E2A2E"/>
          <w:sz w:val="21"/>
          <w:szCs w:val="21"/>
        </w:rPr>
        <w:t xml:space="preserve">Hébergement quatre saisons : </w:t>
      </w:r>
      <w:r>
        <w:rPr>
          <w:rFonts w:ascii="Calibri" w:cs="Calibri" w:eastAsia="Calibri" w:hAnsi="Calibri"/>
          <w:color w:val="1E2A2E"/>
          <w:sz w:val="21"/>
          <w:szCs w:val="21"/>
        </w:rPr>
        <w:t xml:space="preserve">achèvement des 13 villas, hivernisation des 16 chalets, 20 unités Coolbox quatre saisons apportées par Coolbox HPA, dont 9 déjà en place sur les emplacements aménagés en 2022.</w:t>
      </w:r>
    </w:p>
    <w:p>
      <w:pPr>
        <w:pStyle w:val="ListParagraph"/>
        <w:numPr>
          <w:ilvl w:val="0"/>
          <w:numId w:val="2"/>
        </w:numPr>
        <w:spacing w:after="80" w:line="276"/>
      </w:pPr>
      <w:r>
        <w:rPr>
          <w:rFonts w:ascii="Calibri" w:cs="Calibri" w:eastAsia="Calibri" w:hAnsi="Calibri"/>
          <w:b/>
          <w:bCs/>
          <w:color w:val="1E2A2E"/>
          <w:sz w:val="21"/>
          <w:szCs w:val="21"/>
        </w:rPr>
        <w:t xml:space="preserve">Saisonniers : </w:t>
      </w:r>
      <w:r>
        <w:rPr>
          <w:rFonts w:ascii="Calibri" w:cs="Calibri" w:eastAsia="Calibri" w:hAnsi="Calibri"/>
          <w:color w:val="1E2A2E"/>
          <w:sz w:val="21"/>
          <w:szCs w:val="21"/>
        </w:rPr>
        <w:t xml:space="preserve">conversion de 40 terrains existants en contrats saisonniers, encaissés avant la saison.</w:t>
      </w:r>
    </w:p>
    <w:p>
      <w:pPr>
        <w:pStyle w:val="Heading2"/>
        <w:keepNext/>
        <w:spacing w:after="120" w:before="300"/>
      </w:pPr>
      <w:r>
        <w:rPr>
          <w:rFonts w:ascii="Calibri" w:cs="Calibri" w:eastAsia="Calibri" w:hAnsi="Calibri"/>
          <w:b/>
          <w:bCs/>
          <w:color w:val="0C4A5E"/>
          <w:sz w:val="27"/>
          <w:szCs w:val="27"/>
        </w:rPr>
        <w:t xml:space="preserve">La demande de financement</w:t>
      </w:r>
    </w:p>
    <w:p>
      <w:pPr>
        <w:spacing w:after="120" w:before="0" w:line="276"/>
        <w:jc w:val="left"/>
      </w:pPr>
      <w:r>
        <w:rPr>
          <w:rFonts w:ascii="Calibri" w:cs="Calibri" w:eastAsia="Calibri" w:hAnsi="Calibri"/>
        </w:rPr>
        <w:t xml:space="preserve">Le montage de 9 346 737 $ comprend les travaux, une contingence différenciée, les honoraires, la mise en conformité, les intérêts de construction, une réserve de service de la dette déposée à la clôture, le fonds de roulement et le refinancement de la dette existante. Il est financé en couches : un prêt hypothécaire de premier rang de 5 500 000 $ (tranche A à la clôture, tranche B par avancement des travaux), des couches publiques et partenaires sollicitées (1 585 000 $) et des fonds propres de 2 261 737 $, soit 42 % de l'argent neuf, dont l'apport en nature de 2 120 000 $ de Coolbox HPA (20 unités quatre saisons).</w:t>
      </w:r>
    </w:p>
    <w:p>
      <w:pPr>
        <w:pStyle w:val="Heading2"/>
        <w:keepNext/>
        <w:spacing w:after="120" w:before="300"/>
      </w:pPr>
      <w:r>
        <w:rPr>
          <w:rFonts w:ascii="Calibri" w:cs="Calibri" w:eastAsia="Calibri" w:hAnsi="Calibri"/>
          <w:b/>
          <w:bCs/>
          <w:color w:val="0C4A5E"/>
          <w:sz w:val="27"/>
          <w:szCs w:val="27"/>
        </w:rPr>
        <w:t xml:space="preserve">Pourquoi le projet est finançable</w:t>
      </w:r>
    </w:p>
    <w:p>
      <w:pPr>
        <w:pStyle w:val="ListParagraph"/>
        <w:numPr>
          <w:ilvl w:val="0"/>
          <w:numId w:val="3"/>
        </w:numPr>
        <w:spacing w:after="80" w:line="276"/>
      </w:pPr>
      <w:r>
        <w:rPr>
          <w:rFonts w:ascii="Calibri" w:cs="Calibri" w:eastAsia="Calibri" w:hAnsi="Calibri"/>
          <w:b/>
          <w:bCs/>
          <w:color w:val="1E2A2E"/>
          <w:sz w:val="21"/>
          <w:szCs w:val="21"/>
        </w:rPr>
        <w:t xml:space="preserve">Des revenus mesurés, pas estimés : </w:t>
      </w:r>
      <w:r>
        <w:rPr>
          <w:rFonts w:ascii="Calibri" w:cs="Calibri" w:eastAsia="Calibri" w:hAnsi="Calibri"/>
          <w:color w:val="1E2A2E"/>
          <w:sz w:val="21"/>
          <w:szCs w:val="21"/>
        </w:rPr>
        <w:t xml:space="preserve">le modèle part des ventes 2026 du système de réservation et du budget de la direction, avec l'année 2026 publiée dans tous les tableaux.</w:t>
      </w:r>
    </w:p>
    <w:p>
      <w:pPr>
        <w:pStyle w:val="ListParagraph"/>
        <w:numPr>
          <w:ilvl w:val="0"/>
          <w:numId w:val="3"/>
        </w:numPr>
        <w:spacing w:after="80" w:line="276"/>
      </w:pPr>
      <w:r>
        <w:rPr>
          <w:rFonts w:ascii="Calibri" w:cs="Calibri" w:eastAsia="Calibri" w:hAnsi="Calibri"/>
          <w:b/>
          <w:bCs/>
          <w:color w:val="1E2A2E"/>
          <w:sz w:val="21"/>
          <w:szCs w:val="21"/>
        </w:rPr>
        <w:t xml:space="preserve">Le produit quatre saisons existe déjà sur le site : </w:t>
      </w:r>
      <w:r>
        <w:rPr>
          <w:rFonts w:ascii="Calibri" w:cs="Calibri" w:eastAsia="Calibri" w:hAnsi="Calibri"/>
          <w:color w:val="1E2A2E"/>
          <w:sz w:val="21"/>
          <w:szCs w:val="21"/>
        </w:rPr>
        <w:t xml:space="preserve">9 unités Coolbox ont généré 180 334 $ de ventes en un seul été 2026, soit 20 037 $ par unité ; le projet en exploite 20, propriété de Havana, apportées par Coolbox HPA.</w:t>
      </w:r>
    </w:p>
    <w:p>
      <w:pPr>
        <w:pStyle w:val="ListParagraph"/>
        <w:numPr>
          <w:ilvl w:val="0"/>
          <w:numId w:val="3"/>
        </w:numPr>
        <w:spacing w:after="80" w:line="276"/>
      </w:pPr>
      <w:r>
        <w:rPr>
          <w:rFonts w:ascii="Calibri" w:cs="Calibri" w:eastAsia="Calibri" w:hAnsi="Calibri"/>
          <w:b/>
          <w:bCs/>
          <w:color w:val="1E2A2E"/>
          <w:sz w:val="21"/>
          <w:szCs w:val="21"/>
        </w:rPr>
        <w:t xml:space="preserve">Des actifs existants mis en valeur : </w:t>
      </w:r>
      <w:r>
        <w:rPr>
          <w:rFonts w:ascii="Calibri" w:cs="Calibri" w:eastAsia="Calibri" w:hAnsi="Calibri"/>
          <w:color w:val="1E2A2E"/>
          <w:sz w:val="21"/>
          <w:szCs w:val="21"/>
        </w:rPr>
        <w:t xml:space="preserve">hôtel, chalets, emplacements Coolbox déjà desservis et terrains existants ; aucune construction lourde, un chantier de six mois en basse saison.</w:t>
      </w:r>
    </w:p>
    <w:p>
      <w:pPr>
        <w:pStyle w:val="ListParagraph"/>
        <w:numPr>
          <w:ilvl w:val="0"/>
          <w:numId w:val="3"/>
        </w:numPr>
        <w:spacing w:after="80" w:line="276"/>
      </w:pPr>
      <w:r>
        <w:rPr>
          <w:rFonts w:ascii="Calibri" w:cs="Calibri" w:eastAsia="Calibri" w:hAnsi="Calibri"/>
          <w:b/>
          <w:bCs/>
          <w:color w:val="1E2A2E"/>
          <w:sz w:val="21"/>
          <w:szCs w:val="21"/>
        </w:rPr>
        <w:t xml:space="preserve">Un chantier à prix maîtrisé : </w:t>
      </w:r>
      <w:r>
        <w:rPr>
          <w:rFonts w:ascii="Calibri" w:cs="Calibri" w:eastAsia="Calibri" w:hAnsi="Calibri"/>
          <w:color w:val="1E2A2E"/>
          <w:sz w:val="21"/>
          <w:szCs w:val="21"/>
        </w:rPr>
        <w:t xml:space="preserve">entrepreneur général licencié (Construction Prospère) à prix forfaitaire, cautionnements, retenue subordonnée, prix validés par un tiers.</w:t>
      </w:r>
    </w:p>
    <w:p>
      <w:pPr>
        <w:pStyle w:val="ListParagraph"/>
        <w:numPr>
          <w:ilvl w:val="0"/>
          <w:numId w:val="3"/>
        </w:numPr>
        <w:spacing w:after="80" w:line="276"/>
      </w:pPr>
      <w:r>
        <w:rPr>
          <w:rFonts w:ascii="Calibri" w:cs="Calibri" w:eastAsia="Calibri" w:hAnsi="Calibri"/>
          <w:b/>
          <w:bCs/>
          <w:color w:val="1E2A2E"/>
          <w:sz w:val="21"/>
          <w:szCs w:val="21"/>
        </w:rPr>
        <w:t xml:space="preserve">Un prêt senior dimensionné sur la capacité : </w:t>
      </w:r>
      <w:r>
        <w:rPr>
          <w:rFonts w:ascii="Calibri" w:cs="Calibri" w:eastAsia="Calibri" w:hAnsi="Calibri"/>
          <w:color w:val="1E2A2E"/>
          <w:sz w:val="21"/>
          <w:szCs w:val="21"/>
        </w:rPr>
        <w:t xml:space="preserve">couverture du service du prêt senior de 2,42 x en An 3 et 3,16 x en An 5 ; toutes couches confondues, 1,68 x et 1,96 x.</w:t>
      </w:r>
    </w:p>
    <w:p>
      <w:pPr>
        <w:pStyle w:val="Heading2"/>
        <w:keepNext/>
        <w:spacing w:after="120" w:before="300"/>
      </w:pPr>
      <w:r>
        <w:rPr>
          <w:rFonts w:ascii="Calibri" w:cs="Calibri" w:eastAsia="Calibri" w:hAnsi="Calibri"/>
          <w:b/>
          <w:bCs/>
          <w:color w:val="0C4A5E"/>
          <w:sz w:val="27"/>
          <w:szCs w:val="27"/>
        </w:rPr>
        <w:t xml:space="preserve">Faits saillants financiers</w:t>
      </w:r>
    </w:p>
    <w:tbl>
      <w:tblPr>
        <w:tblW w:type="dxa" w:w="9648"/>
        <w:tblBorders>
          <w:top w:val="none" w:color="FFFFFF" w:sz="0"/>
          <w:left w:val="none" w:color="FFFFFF" w:sz="0"/>
          <w:bottom w:val="single" w:color="0C4A5E" w:sz="8"/>
          <w:right w:val="none" w:color="FFFFFF" w:sz="0"/>
          <w:insideH w:val="single" w:color="CFE3E6" w:sz="4"/>
          <w:insideV w:val="none" w:color="FFFFFF" w:sz="0"/>
        </w:tblBorders>
      </w:tblPr>
      <w:tblGrid>
        <w:gridCol w:w="2700"/>
        <w:gridCol w:w="1160"/>
        <w:gridCol w:w="1160"/>
        <w:gridCol w:w="1160"/>
        <w:gridCol w:w="1160"/>
        <w:gridCol w:w="1160"/>
        <w:gridCol w:w="1148"/>
      </w:tblGrid>
      <w:tr>
        <w:trPr>
          <w:tblHeader/>
        </w:trPr>
        <w:tc>
          <w:tcPr>
            <w:tcW w:type="dxa" w:w="2700"/>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7"/>
                <w:szCs w:val="17"/>
              </w:rPr>
              <w:t xml:space="preserve"/>
            </w:r>
          </w:p>
        </w:tc>
        <w:tc>
          <w:tcPr>
            <w:tcW w:type="dxa" w:w="116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7"/>
                <w:szCs w:val="17"/>
              </w:rPr>
              <w:t xml:space="preserve">2026 (réel)</w:t>
            </w:r>
          </w:p>
        </w:tc>
        <w:tc>
          <w:tcPr>
            <w:tcW w:type="dxa" w:w="116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7"/>
                <w:szCs w:val="17"/>
              </w:rPr>
              <w:t xml:space="preserve">An 1
2027</w:t>
            </w:r>
          </w:p>
        </w:tc>
        <w:tc>
          <w:tcPr>
            <w:tcW w:type="dxa" w:w="116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7"/>
                <w:szCs w:val="17"/>
              </w:rPr>
              <w:t xml:space="preserve">An 2
2028</w:t>
            </w:r>
          </w:p>
        </w:tc>
        <w:tc>
          <w:tcPr>
            <w:tcW w:type="dxa" w:w="116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7"/>
                <w:szCs w:val="17"/>
              </w:rPr>
              <w:t xml:space="preserve">An 3
2029</w:t>
            </w:r>
          </w:p>
        </w:tc>
        <w:tc>
          <w:tcPr>
            <w:tcW w:type="dxa" w:w="116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7"/>
                <w:szCs w:val="17"/>
              </w:rPr>
              <w:t xml:space="preserve">An 4
2030</w:t>
            </w:r>
          </w:p>
        </w:tc>
        <w:tc>
          <w:tcPr>
            <w:tcW w:type="dxa" w:w="1148"/>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7"/>
                <w:szCs w:val="17"/>
              </w:rPr>
              <w:t xml:space="preserve">An 5
2031</w:t>
            </w:r>
          </w:p>
        </w:tc>
      </w:tr>
      <w:tr>
        <w:trPr>
          <w:cantSplit/>
        </w:trPr>
        <w:tc>
          <w:tcPr>
            <w:tcW w:type="dxa" w:w="27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Revenus totaux</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1 805 209 $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3 121 075 $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4 374 302 $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5 034 236 $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5 528 125 $</w:t>
            </w:r>
          </w:p>
        </w:tc>
        <w:tc>
          <w:tcPr>
            <w:tcW w:type="dxa" w:w="11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5 864 901 $</w:t>
            </w:r>
          </w:p>
        </w:tc>
      </w:tr>
      <w:tr>
        <w:trPr>
          <w:cantSplit/>
        </w:trPr>
        <w:tc>
          <w:tcPr>
            <w:tcW w:type="dxa" w:w="27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BAIIA</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193 348 $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588 116 $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843 568 $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1 131 067 $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1 321 844 $</w:t>
            </w:r>
          </w:p>
        </w:tc>
        <w:tc>
          <w:tcPr>
            <w:tcW w:type="dxa" w:w="11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1 473 610 $</w:t>
            </w:r>
          </w:p>
        </w:tc>
      </w:tr>
      <w:tr>
        <w:trPr>
          <w:cantSplit/>
        </w:trPr>
        <w:tc>
          <w:tcPr>
            <w:tcW w:type="dxa" w:w="27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Marge BAIIA</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10,7 %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18,8 %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19,3 %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22,5 %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23,9 %</w:t>
            </w:r>
          </w:p>
        </w:tc>
        <w:tc>
          <w:tcPr>
            <w:tcW w:type="dxa" w:w="11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25,1 %</w:t>
            </w:r>
          </w:p>
        </w:tc>
      </w:tr>
      <w:tr>
        <w:trPr>
          <w:cantSplit/>
        </w:trPr>
        <w:tc>
          <w:tcPr>
            <w:tcW w:type="dxa" w:w="27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Service du prêt senior</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300 000 $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337 750 $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466 474 $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466 474 $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466 474 $</w:t>
            </w:r>
          </w:p>
        </w:tc>
        <w:tc>
          <w:tcPr>
            <w:tcW w:type="dxa" w:w="11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466 474 $</w:t>
            </w:r>
          </w:p>
        </w:tc>
      </w:tr>
      <w:tr>
        <w:trPr>
          <w:cantSplit/>
        </w:trPr>
        <w:tc>
          <w:tcPr>
            <w:tcW w:type="dxa" w:w="27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Service de la dette, toutes couches</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300 000 $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423 500 $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569 520 $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673 592 $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750 894 $</w:t>
            </w:r>
          </w:p>
        </w:tc>
        <w:tc>
          <w:tcPr>
            <w:tcW w:type="dxa" w:w="11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750 894 $</w:t>
            </w:r>
          </w:p>
        </w:tc>
      </w:tr>
      <w:tr>
        <w:trPr>
          <w:cantSplit/>
        </w:trPr>
        <w:tc>
          <w:tcPr>
            <w:tcW w:type="dxa" w:w="27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1E2A2E"/>
                <w:sz w:val="17"/>
                <w:szCs w:val="17"/>
              </w:rPr>
              <w:t xml:space="preserve">Couverture du prêt senior (BAIIA / service senior)</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7"/>
                <w:szCs w:val="17"/>
              </w:rPr>
              <w:t xml:space="preserve">0,64 x</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7"/>
                <w:szCs w:val="17"/>
              </w:rPr>
              <w:t xml:space="preserve">1,74 x</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7"/>
                <w:szCs w:val="17"/>
              </w:rPr>
              <w:t xml:space="preserve">1,81 x</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7"/>
                <w:szCs w:val="17"/>
              </w:rPr>
              <w:t xml:space="preserve">2,42 x</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7"/>
                <w:szCs w:val="17"/>
              </w:rPr>
              <w:t xml:space="preserve">2,83 x</w:t>
            </w:r>
          </w:p>
        </w:tc>
        <w:tc>
          <w:tcPr>
            <w:tcW w:type="dxa" w:w="11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7"/>
                <w:szCs w:val="17"/>
              </w:rPr>
              <w:t xml:space="preserve">3,16 x</w:t>
            </w:r>
          </w:p>
        </w:tc>
      </w:tr>
      <w:tr>
        <w:trPr>
          <w:cantSplit/>
        </w:trPr>
        <w:tc>
          <w:tcPr>
            <w:tcW w:type="dxa" w:w="27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1E2A2E"/>
                <w:sz w:val="17"/>
                <w:szCs w:val="17"/>
              </w:rPr>
              <w:t xml:space="preserve">Couverture bancaire, toutes couches</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7"/>
                <w:szCs w:val="17"/>
              </w:rPr>
              <w:t xml:space="preserve">0,64 x</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7"/>
                <w:szCs w:val="17"/>
              </w:rPr>
              <w:t xml:space="preserve">1,24 x</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7"/>
                <w:szCs w:val="17"/>
              </w:rPr>
              <w:t xml:space="preserve">1,32 x</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7"/>
                <w:szCs w:val="17"/>
              </w:rPr>
              <w:t xml:space="preserve">1,47 x</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7"/>
                <w:szCs w:val="17"/>
              </w:rPr>
              <w:t xml:space="preserve">1,52 x</w:t>
            </w:r>
          </w:p>
        </w:tc>
        <w:tc>
          <w:tcPr>
            <w:tcW w:type="dxa" w:w="11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7"/>
                <w:szCs w:val="17"/>
              </w:rPr>
              <w:t xml:space="preserve">1,66 x</w:t>
            </w:r>
          </w:p>
        </w:tc>
      </w:tr>
      <w:tr>
        <w:trPr>
          <w:cantSplit/>
        </w:trPr>
        <w:tc>
          <w:tcPr>
            <w:tcW w:type="dxa" w:w="27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Bénéfice net</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(256 652)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(86 227)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21 317 $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280 711 $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456 022 $</w:t>
            </w:r>
          </w:p>
        </w:tc>
        <w:tc>
          <w:tcPr>
            <w:tcW w:type="dxa" w:w="11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580 494 $</w:t>
            </w:r>
          </w:p>
        </w:tc>
      </w:tr>
    </w:tbl>
    <w:p>
      <w:pPr>
        <w:spacing w:after="120" w:before="0" w:line="276"/>
        <w:jc w:val="left"/>
      </w:pPr>
      <w:r>
        <w:rPr>
          <w:rFonts w:ascii="Calibri" w:cs="Calibri" w:eastAsia="Calibri" w:hAnsi="Calibri"/>
          <w:i/>
          <w:iCs/>
          <w:color w:val="6F8A90"/>
          <w:sz w:val="18"/>
          <w:szCs w:val="18"/>
        </w:rPr>
        <w:t xml:space="preserve">2026 : exercice de transition. An 1 : année de travaux, tranche B décaissée par avancement, moratoire de capital. Premier test de covenant proposé : exercice 2029.</w:t>
      </w:r>
    </w:p>
    <w:p>
      <w:pPr>
        <w:pageBreakBefore/>
        <w:spacing w:after="0" w:before="0" w:line="20" w:lineRule="exact"/>
      </w:pPr>
      <w:r>
        <w:drawing>
          <wp:anchor distT="0" distB="0" distL="0" distR="0" simplePos="0" allowOverlap="1" behindDoc="1" locked="1" layoutInCell="0" relativeHeight="3838575">
            <wp:simplePos x="0" y="0"/>
            <wp:positionH relativeFrom="page">
              <wp:posOffset>0</wp:posOffset>
            </wp:positionH>
            <wp:positionV relativeFrom="page">
              <wp:posOffset>566928</wp:posOffset>
            </wp:positionV>
            <wp:extent cx="7772400" cy="3838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7772400" cy="3838575"/>
                    </a:xfrm>
                    <a:prstGeom prst="rect">
                      <a:avLst/>
                    </a:prstGeom>
                  </pic:spPr>
                </pic:pic>
              </a:graphicData>
            </a:graphic>
          </wp:anchor>
        </w:drawing>
      </w:r>
    </w:p>
    <w:p>
      <w:pPr>
        <w:spacing w:after="0" w:before="0" w:line="3800" w:lineRule="exact"/>
      </w:pPr>
    </w:p>
    <w:p>
      <w:pPr>
        <w:spacing w:after="60" w:before="0"/>
      </w:pPr>
      <w:r>
        <w:rPr>
          <w:rFonts w:ascii="Calibri" w:cs="Calibri" w:eastAsia="Calibri" w:hAnsi="Calibri"/>
          <w:b/>
          <w:bCs/>
          <w:color w:val="F4B942"/>
          <w:sz w:val="26"/>
          <w:szCs w:val="26"/>
        </w:rPr>
        <w:t xml:space="preserve">02</w:t>
      </w:r>
    </w:p>
    <w:p>
      <w:pPr>
        <w:pStyle w:val="Heading1"/>
        <w:spacing w:after="0" w:before="0"/>
      </w:pPr>
      <w:r>
        <w:rPr>
          <w:rFonts w:ascii="Calibri" w:cs="Calibri" w:eastAsia="Calibri" w:hAnsi="Calibri"/>
          <w:b/>
          <w:bCs/>
          <w:color w:val="FFFFFF"/>
          <w:sz w:val="46"/>
          <w:szCs w:val="46"/>
        </w:rPr>
        <w:t xml:space="preserve">L'entreprise</w:t>
      </w:r>
    </w:p>
    <w:p>
      <w:pPr>
        <w:spacing w:after="0" w:before="0" w:line="1250" w:lineRule="exact"/>
      </w:pPr>
    </w:p>
    <w:p>
      <w:pPr>
        <w:spacing w:after="240" w:before="0" w:line="300"/>
      </w:pPr>
      <w:r>
        <w:rPr>
          <w:rFonts w:ascii="Georgia" w:cs="Georgia" w:eastAsia="Georgia" w:hAnsi="Georgia"/>
          <w:i/>
          <w:iCs/>
          <w:color w:val="2BB5BF"/>
          <w:sz w:val="25"/>
          <w:szCs w:val="25"/>
        </w:rPr>
        <w:t xml:space="preserve">Dix ans d'exploitation, 11,9 M$ investis dans le site, et une clientèle qui revient : la base sur laquelle le projet est construit.</w:t>
      </w:r>
    </w:p>
    <w:p>
      <w:pPr>
        <w:pStyle w:val="Heading2"/>
        <w:keepNext/>
        <w:spacing w:after="120" w:before="300"/>
      </w:pPr>
      <w:r>
        <w:rPr>
          <w:rFonts w:ascii="Calibri" w:cs="Calibri" w:eastAsia="Calibri" w:hAnsi="Calibri"/>
          <w:b/>
          <w:bCs/>
          <w:color w:val="0C4A5E"/>
          <w:sz w:val="27"/>
          <w:szCs w:val="27"/>
        </w:rPr>
        <w:t xml:space="preserve">2.1 Historique</w:t>
      </w:r>
    </w:p>
    <w:p>
      <w:pPr>
        <w:spacing w:after="120" w:before="0" w:line="276"/>
        <w:jc w:val="left"/>
      </w:pPr>
      <w:r>
        <w:rPr>
          <w:rFonts w:ascii="Calibri" w:cs="Calibri" w:eastAsia="Calibri" w:hAnsi="Calibri"/>
        </w:rPr>
        <w:t xml:space="preserve">Le site du 7e Rang à Maricourt a été acquis en octobre 2014 ; la famille Perrier en prend le contrôle en 2015 et fonde le Camping Havana Resort. De 2015 à 2023, la direction déclare 11 915 000 $ d'investissements (annexe A) : 200 terrains, rues, électricité et bloc sanitaire (2016), piscine centrale, rénovation complète de l'hôtel, 14 cabanas, usine d'épuration des eaux usées (2019-2020, 1,0 M$), une trentaine de chalets construits par vagues, 67 terrains et 20 terrains saisonniers additionnels (2021), 18 emplacements Coolbox (2022), chapiteau (2022-2023). La chronologie visuelle des travaux figure à l'annexe F.</w:t>
      </w:r>
    </w:p>
    <w:p>
      <w:pPr>
        <w:spacing w:after="120" w:before="0" w:line="276"/>
        <w:jc w:val="left"/>
      </w:pPr>
      <w:r>
        <w:rPr>
          <w:rFonts w:ascii="Calibri" w:cs="Calibri" w:eastAsia="Calibri" w:hAnsi="Calibri"/>
        </w:rPr>
        <w:t xml:space="preserve">Le concept s'articule autour d'une piscine centrale avec café-bar, où se déploient animation, musique et ambiance familiale. Une nouvelle direction est en place depuis 2025 ; la famille fondatrice assure la continuité de la vision. La présente version du plan intègre deux partenaires industriels : Coolbox HPA, fabricant des unités d'hébergement quatre saisons déjà exploitées sur le site, et Construction Prospère, entrepreneur général.</w:t>
      </w:r>
    </w:p>
    <w:p>
      <w:pPr>
        <w:pStyle w:val="Heading2"/>
        <w:keepNext/>
        <w:spacing w:after="120" w:before="300"/>
      </w:pPr>
      <w:r>
        <w:rPr>
          <w:rFonts w:ascii="Calibri" w:cs="Calibri" w:eastAsia="Calibri" w:hAnsi="Calibri"/>
          <w:b/>
          <w:bCs/>
          <w:color w:val="0C4A5E"/>
          <w:sz w:val="27"/>
          <w:szCs w:val="27"/>
        </w:rPr>
        <w:t xml:space="preserve">2.2 Mission, vision et valeurs</w:t>
      </w:r>
    </w:p>
    <w:p>
      <w:pPr>
        <w:pStyle w:val="Heading3"/>
        <w:keepNext/>
        <w:spacing w:after="80" w:before="200"/>
      </w:pPr>
      <w:r>
        <w:rPr>
          <w:rFonts w:ascii="Calibri" w:cs="Calibri" w:eastAsia="Calibri" w:hAnsi="Calibri"/>
          <w:b/>
          <w:bCs/>
          <w:color w:val="2BB5BF"/>
          <w:sz w:val="22"/>
          <w:szCs w:val="22"/>
        </w:rPr>
        <w:t xml:space="preserve">Mission</w:t>
      </w:r>
    </w:p>
    <w:p>
      <w:pPr>
        <w:spacing w:after="120" w:before="0" w:line="276"/>
        <w:jc w:val="left"/>
      </w:pPr>
      <w:r>
        <w:rPr>
          <w:rFonts w:ascii="Calibri" w:cs="Calibri" w:eastAsia="Calibri" w:hAnsi="Calibri"/>
        </w:rPr>
        <w:t xml:space="preserve">Offrir à tous nos invités un petit bout de Cuba afin qu'ils puissent se divertir, décrocher de leur quotidien et retrouver l'ambiance des grandes destinations vacances. Notre mission ultime : que chaque invité planifie son retour au moment de son départ.</w:t>
      </w:r>
    </w:p>
    <w:p>
      <w:pPr>
        <w:pStyle w:val="Heading3"/>
        <w:keepNext/>
        <w:spacing w:after="80" w:before="200"/>
      </w:pPr>
      <w:r>
        <w:rPr>
          <w:rFonts w:ascii="Calibri" w:cs="Calibri" w:eastAsia="Calibri" w:hAnsi="Calibri"/>
          <w:b/>
          <w:bCs/>
          <w:color w:val="2BB5BF"/>
          <w:sz w:val="22"/>
          <w:szCs w:val="22"/>
        </w:rPr>
        <w:t xml:space="preserve">Vision</w:t>
      </w:r>
    </w:p>
    <w:p>
      <w:pPr>
        <w:spacing w:after="120" w:before="0" w:line="276"/>
        <w:jc w:val="left"/>
      </w:pPr>
      <w:r>
        <w:rPr>
          <w:rFonts w:ascii="Calibri" w:cs="Calibri" w:eastAsia="Calibri" w:hAnsi="Calibri"/>
        </w:rPr>
        <w:t xml:space="preserve">Être le seul complexe d'hébergement et d'activités récréotouristiques au concept entièrement cubain au Québec, ouvert à l'année, reconnu pour son offre unique, son service personnalisé, ses pratiques conformes et durables et ses partenariats avec la communauté cubaine et locale.</w:t>
      </w:r>
    </w:p>
    <w:p>
      <w:pPr>
        <w:pStyle w:val="Heading3"/>
        <w:keepNext/>
        <w:spacing w:after="80" w:before="200"/>
      </w:pPr>
      <w:r>
        <w:rPr>
          <w:rFonts w:ascii="Calibri" w:cs="Calibri" w:eastAsia="Calibri" w:hAnsi="Calibri"/>
          <w:b/>
          <w:bCs/>
          <w:color w:val="2BB5BF"/>
          <w:sz w:val="22"/>
          <w:szCs w:val="22"/>
        </w:rPr>
        <w:t xml:space="preserve">Valeurs</w:t>
      </w:r>
    </w:p>
    <w:p>
      <w:pPr>
        <w:pStyle w:val="ListParagraph"/>
        <w:numPr>
          <w:ilvl w:val="0"/>
          <w:numId w:val="2"/>
        </w:numPr>
        <w:spacing w:after="80" w:line="276"/>
      </w:pPr>
      <w:r>
        <w:rPr>
          <w:rFonts w:ascii="Calibri" w:cs="Calibri" w:eastAsia="Calibri" w:hAnsi="Calibri"/>
          <w:b/>
          <w:bCs/>
          <w:color w:val="1E2A2E"/>
          <w:sz w:val="21"/>
          <w:szCs w:val="21"/>
        </w:rPr>
        <w:t xml:space="preserve">Chaleur et convivialité : </w:t>
      </w:r>
      <w:r>
        <w:rPr>
          <w:rFonts w:ascii="Calibri" w:cs="Calibri" w:eastAsia="Calibri" w:hAnsi="Calibri"/>
          <w:color w:val="1E2A2E"/>
          <w:sz w:val="21"/>
          <w:szCs w:val="21"/>
        </w:rPr>
        <w:t xml:space="preserve">un accueil qui fait sentir chaque invité comme un membre de la famille.</w:t>
      </w:r>
    </w:p>
    <w:p>
      <w:pPr>
        <w:pStyle w:val="ListParagraph"/>
        <w:numPr>
          <w:ilvl w:val="0"/>
          <w:numId w:val="2"/>
        </w:numPr>
        <w:spacing w:after="80" w:line="276"/>
      </w:pPr>
      <w:r>
        <w:rPr>
          <w:rFonts w:ascii="Calibri" w:cs="Calibri" w:eastAsia="Calibri" w:hAnsi="Calibri"/>
          <w:b/>
          <w:bCs/>
          <w:color w:val="1E2A2E"/>
          <w:sz w:val="21"/>
          <w:szCs w:val="21"/>
        </w:rPr>
        <w:t xml:space="preserve">Authenticité : </w:t>
      </w:r>
      <w:r>
        <w:rPr>
          <w:rFonts w:ascii="Calibri" w:cs="Calibri" w:eastAsia="Calibri" w:hAnsi="Calibri"/>
          <w:color w:val="1E2A2E"/>
          <w:sz w:val="21"/>
          <w:szCs w:val="21"/>
        </w:rPr>
        <w:t xml:space="preserve">une expérience cubaine crédible, dans l'ambiance, la musique et l'assiette.</w:t>
      </w:r>
    </w:p>
    <w:p>
      <w:pPr>
        <w:pStyle w:val="ListParagraph"/>
        <w:numPr>
          <w:ilvl w:val="0"/>
          <w:numId w:val="2"/>
        </w:numPr>
        <w:spacing w:after="80" w:line="276"/>
      </w:pPr>
      <w:r>
        <w:rPr>
          <w:rFonts w:ascii="Calibri" w:cs="Calibri" w:eastAsia="Calibri" w:hAnsi="Calibri"/>
          <w:b/>
          <w:bCs/>
          <w:color w:val="1E2A2E"/>
          <w:sz w:val="21"/>
          <w:szCs w:val="21"/>
        </w:rPr>
        <w:t xml:space="preserve">Rigueur : </w:t>
      </w:r>
      <w:r>
        <w:rPr>
          <w:rFonts w:ascii="Calibri" w:cs="Calibri" w:eastAsia="Calibri" w:hAnsi="Calibri"/>
          <w:color w:val="1E2A2E"/>
          <w:sz w:val="21"/>
          <w:szCs w:val="21"/>
        </w:rPr>
        <w:t xml:space="preserve">des opérations, une conformité et une gestion financière disciplinées, appuyées sur des systèmes et des rapports au prêteur.</w:t>
      </w:r>
    </w:p>
    <w:p>
      <w:pPr>
        <w:pStyle w:val="ListParagraph"/>
        <w:numPr>
          <w:ilvl w:val="0"/>
          <w:numId w:val="2"/>
        </w:numPr>
        <w:spacing w:after="80" w:line="276"/>
      </w:pPr>
      <w:r>
        <w:rPr>
          <w:rFonts w:ascii="Calibri" w:cs="Calibri" w:eastAsia="Calibri" w:hAnsi="Calibri"/>
          <w:b/>
          <w:bCs/>
          <w:color w:val="1E2A2E"/>
          <w:sz w:val="21"/>
          <w:szCs w:val="21"/>
        </w:rPr>
        <w:t xml:space="preserve">Bon voisinage : </w:t>
      </w:r>
      <w:r>
        <w:rPr>
          <w:rFonts w:ascii="Calibri" w:cs="Calibri" w:eastAsia="Calibri" w:hAnsi="Calibri"/>
          <w:color w:val="1E2A2E"/>
          <w:sz w:val="21"/>
          <w:szCs w:val="21"/>
        </w:rPr>
        <w:t xml:space="preserve">un site qui vit avec son milieu : protocole de bruit, communication avec la municipalité et les voisins.</w:t>
      </w:r>
    </w:p>
    <w:p>
      <w:pPr>
        <w:pStyle w:val="Heading2"/>
        <w:keepNext/>
        <w:spacing w:after="120" w:before="300"/>
      </w:pPr>
      <w:r>
        <w:rPr>
          <w:rFonts w:ascii="Calibri" w:cs="Calibri" w:eastAsia="Calibri" w:hAnsi="Calibri"/>
          <w:b/>
          <w:bCs/>
          <w:color w:val="0C4A5E"/>
          <w:sz w:val="27"/>
          <w:szCs w:val="27"/>
        </w:rPr>
        <w:t xml:space="preserve">2.3 Structure juridique et propriété</w:t>
      </w:r>
    </w:p>
    <w:tbl>
      <w:tblPr>
        <w:tblW w:type="dxa" w:w="9648"/>
        <w:tblBorders>
          <w:top w:val="none" w:color="FFFFFF" w:sz="0"/>
          <w:left w:val="none" w:color="FFFFFF" w:sz="0"/>
          <w:bottom w:val="single" w:color="0C4A5E" w:sz="8"/>
          <w:right w:val="none" w:color="FFFFFF" w:sz="0"/>
          <w:insideH w:val="single" w:color="CFE3E6" w:sz="4"/>
          <w:insideV w:val="none" w:color="FFFFFF" w:sz="0"/>
        </w:tblBorders>
      </w:tblPr>
      <w:tblGrid>
        <w:gridCol w:w="3200"/>
        <w:gridCol w:w="6448"/>
      </w:tblGrid>
      <w:tr>
        <w:trPr>
          <w:tblHeader/>
        </w:trPr>
        <w:tc>
          <w:tcPr>
            <w:tcW w:type="dxa" w:w="3200"/>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8"/>
                <w:szCs w:val="18"/>
              </w:rPr>
              <w:t xml:space="preserve">Élément</w:t>
            </w:r>
          </w:p>
        </w:tc>
        <w:tc>
          <w:tcPr>
            <w:tcW w:type="dxa" w:w="6448"/>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8"/>
                <w:szCs w:val="18"/>
              </w:rPr>
              <w:t xml:space="preserve">Détail</w:t>
            </w:r>
          </w:p>
        </w:tc>
      </w:tr>
      <w:tr>
        <w:trPr>
          <w:cantSplit/>
        </w:trPr>
        <w:tc>
          <w:tcPr>
            <w:tcW w:type="dxa" w:w="32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Société propriétaire des trois lots</w:t>
            </w:r>
          </w:p>
        </w:tc>
        <w:tc>
          <w:tcPr>
            <w:tcW w:type="dxa" w:w="64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9504-5050 Québec inc. (Camping Havana Resort)</w:t>
            </w:r>
          </w:p>
        </w:tc>
      </w:tr>
      <w:tr>
        <w:trPr>
          <w:cantSplit/>
        </w:trPr>
        <w:tc>
          <w:tcPr>
            <w:tcW w:type="dxa" w:w="32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Lots et superficie</w:t>
            </w:r>
          </w:p>
        </w:tc>
        <w:tc>
          <w:tcPr>
            <w:tcW w:type="dxa" w:w="6448"/>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5 626 900 (hôtel, 43 183 m²), 6 040 494 (98 687 m²), 6 040 495 (camping, 969 255 m²) ; total 1 111 126 m² = 274,57 acres</w:t>
            </w:r>
          </w:p>
        </w:tc>
      </w:tr>
      <w:tr>
        <w:trPr>
          <w:cantSplit/>
        </w:trPr>
        <w:tc>
          <w:tcPr>
            <w:tcW w:type="dxa" w:w="32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Siège social</w:t>
            </w:r>
          </w:p>
        </w:tc>
        <w:tc>
          <w:tcPr>
            <w:tcW w:type="dxa" w:w="64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631, 7e Rang, Maricourt (Québec) J0E 2L2</w:t>
            </w:r>
          </w:p>
        </w:tc>
      </w:tr>
      <w:tr>
        <w:trPr>
          <w:cantSplit/>
        </w:trPr>
        <w:tc>
          <w:tcPr>
            <w:tcW w:type="dxa" w:w="32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Actionnaires</w:t>
            </w:r>
          </w:p>
        </w:tc>
        <w:tc>
          <w:tcPr>
            <w:tcW w:type="dxa" w:w="6448"/>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Famille Perrier ; partenaires industriels Coolbox HPA et Construction Prospère</w:t>
            </w:r>
          </w:p>
        </w:tc>
      </w:tr>
      <w:tr>
        <w:trPr>
          <w:cantSplit/>
        </w:trPr>
        <w:tc>
          <w:tcPr>
            <w:tcW w:type="dxa" w:w="32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Zonage</w:t>
            </w:r>
          </w:p>
        </w:tc>
        <w:tc>
          <w:tcPr>
            <w:tcW w:type="dxa" w:w="64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Récréotouristique (règlement 328-2007 de Maricourt), usage camping et hébergement en place depuis 2015</w:t>
            </w:r>
          </w:p>
        </w:tc>
      </w:tr>
    </w:tbl>
    <w:p>
      <w:pPr>
        <w:pStyle w:val="Heading2"/>
        <w:keepNext/>
        <w:spacing w:after="120" w:before="300"/>
      </w:pPr>
      <w:r>
        <w:rPr>
          <w:rFonts w:ascii="Calibri" w:cs="Calibri" w:eastAsia="Calibri" w:hAnsi="Calibri"/>
          <w:b/>
          <w:bCs/>
          <w:color w:val="0C4A5E"/>
          <w:sz w:val="27"/>
          <w:szCs w:val="27"/>
        </w:rPr>
        <w:t xml:space="preserve">2.4 Actifs et installations</w:t>
      </w:r>
    </w:p>
    <w:tbl>
      <w:tblPr>
        <w:tblW w:type="dxa" w:w="9648"/>
        <w:tblBorders>
          <w:top w:val="none" w:color="FFFFFF" w:sz="0"/>
          <w:left w:val="none" w:color="FFFFFF" w:sz="0"/>
          <w:bottom w:val="single" w:color="0C4A5E" w:sz="8"/>
          <w:right w:val="none" w:color="FFFFFF" w:sz="0"/>
          <w:insideH w:val="single" w:color="CFE3E6" w:sz="4"/>
          <w:insideV w:val="none" w:color="FFFFFF" w:sz="0"/>
        </w:tblBorders>
      </w:tblPr>
      <w:tblGrid>
        <w:gridCol w:w="3100"/>
        <w:gridCol w:w="1500"/>
        <w:gridCol w:w="1500"/>
        <w:gridCol w:w="1300"/>
        <w:gridCol w:w="2248"/>
      </w:tblGrid>
      <w:tr>
        <w:trPr>
          <w:tblHeader/>
        </w:trPr>
        <w:tc>
          <w:tcPr>
            <w:tcW w:type="dxa" w:w="3100"/>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7"/>
                <w:szCs w:val="17"/>
              </w:rPr>
              <w:t xml:space="preserve">Installation</w:t>
            </w:r>
          </w:p>
        </w:tc>
        <w:tc>
          <w:tcPr>
            <w:tcW w:type="dxa" w:w="1500"/>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7"/>
                <w:szCs w:val="17"/>
              </w:rPr>
              <w:t xml:space="preserve">Quantité</w:t>
            </w:r>
          </w:p>
        </w:tc>
        <w:tc>
          <w:tcPr>
            <w:tcW w:type="dxa" w:w="1500"/>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7"/>
                <w:szCs w:val="17"/>
              </w:rPr>
              <w:t xml:space="preserve">Tarif affiché</w:t>
            </w:r>
          </w:p>
        </w:tc>
        <w:tc>
          <w:tcPr>
            <w:tcW w:type="dxa" w:w="1300"/>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7"/>
                <w:szCs w:val="17"/>
              </w:rPr>
              <w:t xml:space="preserve">Saison actuelle</w:t>
            </w:r>
          </w:p>
        </w:tc>
        <w:tc>
          <w:tcPr>
            <w:tcW w:type="dxa" w:w="2248"/>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7"/>
                <w:szCs w:val="17"/>
              </w:rPr>
              <w:t xml:space="preserve">Après le projet</w:t>
            </w:r>
          </w:p>
        </w:tc>
      </w:tr>
      <w:tr>
        <w:trPr>
          <w:cantSplit/>
        </w:trPr>
        <w:tc>
          <w:tcPr>
            <w:tcW w:type="dxa" w:w="31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Terrains de camping (2 et 3 services)</w:t>
            </w:r>
          </w:p>
        </w:tc>
        <w:tc>
          <w:tcPr>
            <w:tcW w:type="dxa" w:w="15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313 inventoriés</w:t>
            </w:r>
          </w:p>
        </w:tc>
        <w:tc>
          <w:tcPr>
            <w:tcW w:type="dxa" w:w="15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65 $ à 90 $ / nuit</w:t>
            </w:r>
          </w:p>
        </w:tc>
        <w:tc>
          <w:tcPr>
            <w:tcW w:type="dxa" w:w="13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Mai à octobre</w:t>
            </w:r>
          </w:p>
        </w:tc>
        <w:tc>
          <w:tcPr>
            <w:tcW w:type="dxa" w:w="22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Inchangé</w:t>
            </w:r>
          </w:p>
        </w:tc>
      </w:tr>
      <w:tr>
        <w:trPr>
          <w:cantSplit/>
        </w:trPr>
        <w:tc>
          <w:tcPr>
            <w:tcW w:type="dxa" w:w="31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Terrains saisonniers (contrats)</w:t>
            </w:r>
          </w:p>
        </w:tc>
        <w:tc>
          <w:tcPr>
            <w:tcW w:type="dxa" w:w="15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 12 en 2026</w:t>
            </w:r>
          </w:p>
        </w:tc>
        <w:tc>
          <w:tcPr>
            <w:tcW w:type="dxa" w:w="15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3 650 $ / saison</w:t>
            </w:r>
          </w:p>
        </w:tc>
        <w:tc>
          <w:tcPr>
            <w:tcW w:type="dxa" w:w="13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Mai à octobre</w:t>
            </w:r>
          </w:p>
        </w:tc>
        <w:tc>
          <w:tcPr>
            <w:tcW w:type="dxa" w:w="2248"/>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Jusqu'à 70 par conversion de terrains existants</w:t>
            </w:r>
          </w:p>
        </w:tc>
      </w:tr>
      <w:tr>
        <w:trPr>
          <w:cantSplit/>
        </w:trPr>
        <w:tc>
          <w:tcPr>
            <w:tcW w:type="dxa" w:w="31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Chalets</w:t>
            </w:r>
          </w:p>
        </w:tc>
        <w:tc>
          <w:tcPr>
            <w:tcW w:type="dxa" w:w="15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16 en location</w:t>
            </w:r>
          </w:p>
        </w:tc>
        <w:tc>
          <w:tcPr>
            <w:tcW w:type="dxa" w:w="15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235 $ / nuit</w:t>
            </w:r>
          </w:p>
        </w:tc>
        <w:tc>
          <w:tcPr>
            <w:tcW w:type="dxa" w:w="13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Été</w:t>
            </w:r>
          </w:p>
        </w:tc>
        <w:tc>
          <w:tcPr>
            <w:tcW w:type="dxa" w:w="22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Hivernisés, 4 saisons</w:t>
            </w:r>
          </w:p>
        </w:tc>
      </w:tr>
      <w:tr>
        <w:trPr>
          <w:cantSplit/>
        </w:trPr>
        <w:tc>
          <w:tcPr>
            <w:tcW w:type="dxa" w:w="31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Chambres d'hôtel</w:t>
            </w:r>
          </w:p>
        </w:tc>
        <w:tc>
          <w:tcPr>
            <w:tcW w:type="dxa" w:w="15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6</w:t>
            </w:r>
          </w:p>
        </w:tc>
        <w:tc>
          <w:tcPr>
            <w:tcW w:type="dxa" w:w="15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190 $ / nuit</w:t>
            </w:r>
          </w:p>
        </w:tc>
        <w:tc>
          <w:tcPr>
            <w:tcW w:type="dxa" w:w="13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Été</w:t>
            </w:r>
          </w:p>
        </w:tc>
        <w:tc>
          <w:tcPr>
            <w:tcW w:type="dxa" w:w="2248"/>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17, ouvertes 12 mois</w:t>
            </w:r>
          </w:p>
        </w:tc>
      </w:tr>
      <w:tr>
        <w:trPr>
          <w:cantSplit/>
        </w:trPr>
        <w:tc>
          <w:tcPr>
            <w:tcW w:type="dxa" w:w="31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Cabanas prêt-à-camper</w:t>
            </w:r>
          </w:p>
        </w:tc>
        <w:tc>
          <w:tcPr>
            <w:tcW w:type="dxa" w:w="15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13 à 14</w:t>
            </w:r>
          </w:p>
        </w:tc>
        <w:tc>
          <w:tcPr>
            <w:tcW w:type="dxa" w:w="15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200 $ / nuit</w:t>
            </w:r>
          </w:p>
        </w:tc>
        <w:tc>
          <w:tcPr>
            <w:tcW w:type="dxa" w:w="13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Été</w:t>
            </w:r>
          </w:p>
        </w:tc>
        <w:tc>
          <w:tcPr>
            <w:tcW w:type="dxa" w:w="22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Inchangé</w:t>
            </w:r>
          </w:p>
        </w:tc>
      </w:tr>
      <w:tr>
        <w:trPr>
          <w:cantSplit/>
        </w:trPr>
        <w:tc>
          <w:tcPr>
            <w:tcW w:type="dxa" w:w="31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Villas (en construction)</w:t>
            </w:r>
          </w:p>
        </w:tc>
        <w:tc>
          <w:tcPr>
            <w:tcW w:type="dxa" w:w="15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13</w:t>
            </w:r>
          </w:p>
        </w:tc>
        <w:tc>
          <w:tcPr>
            <w:tcW w:type="dxa" w:w="15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275 $ / nuit</w:t>
            </w:r>
          </w:p>
        </w:tc>
        <w:tc>
          <w:tcPr>
            <w:tcW w:type="dxa" w:w="13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À livrer</w:t>
            </w:r>
          </w:p>
        </w:tc>
        <w:tc>
          <w:tcPr>
            <w:tcW w:type="dxa" w:w="2248"/>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Livrées en juillet 2027</w:t>
            </w:r>
          </w:p>
        </w:tc>
      </w:tr>
      <w:tr>
        <w:trPr>
          <w:cantSplit/>
        </w:trPr>
        <w:tc>
          <w:tcPr>
            <w:tcW w:type="dxa" w:w="31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Unités Coolbox 4 saisons</w:t>
            </w:r>
          </w:p>
        </w:tc>
        <w:tc>
          <w:tcPr>
            <w:tcW w:type="dxa" w:w="15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9 exploitées / 18 emplacements aménagés</w:t>
            </w:r>
          </w:p>
        </w:tc>
        <w:tc>
          <w:tcPr>
            <w:tcW w:type="dxa" w:w="15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225 $ / nuit</w:t>
            </w:r>
          </w:p>
        </w:tc>
        <w:tc>
          <w:tcPr>
            <w:tcW w:type="dxa" w:w="13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Été</w:t>
            </w:r>
          </w:p>
        </w:tc>
        <w:tc>
          <w:tcPr>
            <w:tcW w:type="dxa" w:w="22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20 unités, propriété de Havana, été et hiver</w:t>
            </w:r>
          </w:p>
        </w:tc>
      </w:tr>
      <w:tr>
        <w:trPr>
          <w:cantSplit/>
        </w:trPr>
        <w:tc>
          <w:tcPr>
            <w:tcW w:type="dxa" w:w="31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Piscine extérieure, bar de piscine, lac et plage</w:t>
            </w:r>
          </w:p>
        </w:tc>
        <w:tc>
          <w:tcPr>
            <w:tcW w:type="dxa" w:w="15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1</w:t>
            </w:r>
          </w:p>
        </w:tc>
        <w:tc>
          <w:tcPr>
            <w:tcW w:type="dxa" w:w="15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Inclus</w:t>
            </w:r>
          </w:p>
        </w:tc>
        <w:tc>
          <w:tcPr>
            <w:tcW w:type="dxa" w:w="13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Été</w:t>
            </w:r>
          </w:p>
        </w:tc>
        <w:tc>
          <w:tcPr>
            <w:tcW w:type="dxa" w:w="2248"/>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Inchangé</w:t>
            </w:r>
          </w:p>
        </w:tc>
      </w:tr>
      <w:tr>
        <w:trPr>
          <w:cantSplit/>
        </w:trPr>
        <w:tc>
          <w:tcPr>
            <w:tcW w:type="dxa" w:w="31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Piscine intérieure, chapiteau 1 600 places, scène extérieure</w:t>
            </w:r>
          </w:p>
        </w:tc>
        <w:tc>
          <w:tcPr>
            <w:tcW w:type="dxa" w:w="15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w:t>
            </w:r>
          </w:p>
        </w:tc>
        <w:tc>
          <w:tcPr>
            <w:tcW w:type="dxa" w:w="15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w:t>
            </w:r>
          </w:p>
        </w:tc>
        <w:tc>
          <w:tcPr>
            <w:tcW w:type="dxa" w:w="13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Existant</w:t>
            </w:r>
          </w:p>
        </w:tc>
        <w:tc>
          <w:tcPr>
            <w:tcW w:type="dxa" w:w="22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Existant</w:t>
            </w:r>
          </w:p>
        </w:tc>
      </w:tr>
      <w:tr>
        <w:trPr>
          <w:cantSplit/>
        </w:trPr>
        <w:tc>
          <w:tcPr>
            <w:tcW w:type="dxa" w:w="31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Usine d'épuration privée (Ecochem, 2019), 2 puits</w:t>
            </w:r>
          </w:p>
        </w:tc>
        <w:tc>
          <w:tcPr>
            <w:tcW w:type="dxa" w:w="15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1</w:t>
            </w:r>
          </w:p>
        </w:tc>
        <w:tc>
          <w:tcPr>
            <w:tcW w:type="dxa" w:w="15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w:t>
            </w:r>
          </w:p>
        </w:tc>
        <w:tc>
          <w:tcPr>
            <w:tcW w:type="dxa" w:w="13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12 mois</w:t>
            </w:r>
          </w:p>
        </w:tc>
        <w:tc>
          <w:tcPr>
            <w:tcW w:type="dxa" w:w="2248"/>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12 mois</w:t>
            </w:r>
          </w:p>
        </w:tc>
      </w:tr>
    </w:tbl>
    <w:p>
      <w:pPr>
        <w:spacing w:after="120"/>
      </w:pPr>
    </w:p>
    <w:tbl>
      <w:tblPr>
        <w:tblW w:type="dxa" w:w="9648"/>
        <w:tblBorders>
          <w:top w:val="none" w:color="FFFFFF" w:sz="0"/>
          <w:left w:val="none" w:color="FFFFFF" w:sz="0"/>
          <w:bottom w:val="none" w:color="FFFFFF" w:sz="0"/>
          <w:right w:val="none" w:color="FFFFFF" w:sz="0"/>
          <w:insideH w:val="none" w:color="FFFFFF" w:sz="0"/>
          <w:insideV w:val="none" w:color="FFFFFF" w:sz="0"/>
        </w:tblBorders>
      </w:tblPr>
      <w:tblGrid>
        <w:gridCol w:w="4724"/>
        <w:gridCol w:w="200"/>
        <w:gridCol w:w="4724"/>
      </w:tblGrid>
      <w:tr>
        <w:tc>
          <w:tcPr>
            <w:tcW w:type="dxa" w:w="4724"/>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jc w:val="left"/>
            </w:pPr>
            <w:r>
              <w:drawing>
                <wp:inline distT="0" distB="0" distL="0" distR="0">
                  <wp:extent cx="3000375"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00375" cy="2000250"/>
                          </a:xfrm>
                          <a:prstGeom prst="rect">
                            <a:avLst/>
                          </a:prstGeom>
                        </pic:spPr>
                      </pic:pic>
                    </a:graphicData>
                  </a:graphic>
                </wp:inline>
              </w:drawing>
            </w:r>
          </w:p>
          <w:p>
            <w:pPr>
              <w:pBdr>
                <w:top w:val="single" w:color="2BB5BF" w:sz="6" w:space="3"/>
              </w:pBdr>
              <w:spacing w:after="0" w:line="240"/>
              <w:jc w:val="left"/>
            </w:pPr>
            <w:r>
              <w:rPr>
                <w:rFonts w:ascii="Calibri" w:cs="Calibri" w:eastAsia="Calibri" w:hAnsi="Calibri"/>
                <w:color w:val="6F8A90"/>
                <w:sz w:val="16"/>
                <w:szCs w:val="16"/>
              </w:rPr>
              <w:t xml:space="preserve">265 terrains de camping : 52 % des revenus 2026, complets en haute saison</w:t>
            </w:r>
          </w:p>
        </w:tc>
        <w:tc>
          <w:tcPr>
            <w:tcW w:type="dxa" w:w="200"/>
            <w:tcBorders>
              <w:top w:val="none" w:color="FFFFFF" w:sz="0"/>
              <w:left w:val="none" w:color="FFFFFF" w:sz="0"/>
              <w:bottom w:val="none" w:color="FFFFFF" w:sz="0"/>
              <w:right w:val="none" w:color="FFFFFF" w:sz="0"/>
            </w:tcBorders>
          </w:tcPr>
          <w:p>
            <w:r>
              <w:t xml:space="preserve"/>
            </w:r>
          </w:p>
        </w:tc>
        <w:tc>
          <w:tcPr>
            <w:tcW w:type="dxa" w:w="4724"/>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jc w:val="left"/>
            </w:pPr>
            <w:r>
              <w:drawing>
                <wp:inline distT="0" distB="0" distL="0" distR="0">
                  <wp:extent cx="3000375"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000375" cy="2000250"/>
                          </a:xfrm>
                          <a:prstGeom prst="rect">
                            <a:avLst/>
                          </a:prstGeom>
                        </pic:spPr>
                      </pic:pic>
                    </a:graphicData>
                  </a:graphic>
                </wp:inline>
              </w:drawing>
            </w:r>
          </w:p>
          <w:p>
            <w:pPr>
              <w:pBdr>
                <w:top w:val="single" w:color="2BB5BF" w:sz="6" w:space="3"/>
              </w:pBdr>
              <w:spacing w:after="0" w:line="240"/>
              <w:jc w:val="left"/>
            </w:pPr>
            <w:r>
              <w:rPr>
                <w:rFonts w:ascii="Calibri" w:cs="Calibri" w:eastAsia="Calibri" w:hAnsi="Calibri"/>
                <w:color w:val="6F8A90"/>
                <w:sz w:val="16"/>
                <w:szCs w:val="16"/>
              </w:rPr>
              <w:t xml:space="preserve">Chalets et chambres : 33 % des revenus 2026, en hausse de 24 % en un an</w:t>
            </w:r>
          </w:p>
        </w:tc>
      </w:tr>
    </w:tbl>
    <w:p>
      <w:pPr>
        <w:spacing w:after="120"/>
      </w:pPr>
    </w:p>
    <w:p>
      <w:pPr>
        <w:pStyle w:val="Heading2"/>
        <w:keepNext/>
        <w:spacing w:after="120" w:before="300"/>
      </w:pPr>
      <w:r>
        <w:rPr>
          <w:rFonts w:ascii="Calibri" w:cs="Calibri" w:eastAsia="Calibri" w:hAnsi="Calibri"/>
          <w:b/>
          <w:bCs/>
          <w:color w:val="0C4A5E"/>
          <w:sz w:val="27"/>
          <w:szCs w:val="27"/>
        </w:rPr>
        <w:t xml:space="preserve">2.5 Performance récente</w:t>
      </w:r>
    </w:p>
    <w:tbl>
      <w:tblPr>
        <w:tblW w:type="dxa" w:w="9648"/>
        <w:tblBorders>
          <w:top w:val="none" w:color="FFFFFF" w:sz="0"/>
          <w:left w:val="none" w:color="FFFFFF" w:sz="0"/>
          <w:bottom w:val="single" w:color="0C4A5E" w:sz="8"/>
          <w:right w:val="none" w:color="FFFFFF" w:sz="0"/>
          <w:insideH w:val="single" w:color="CFE3E6" w:sz="4"/>
          <w:insideV w:val="none" w:color="FFFFFF" w:sz="0"/>
        </w:tblBorders>
      </w:tblPr>
      <w:tblGrid>
        <w:gridCol w:w="4300"/>
        <w:gridCol w:w="1800"/>
        <w:gridCol w:w="1800"/>
        <w:gridCol w:w="1748"/>
      </w:tblGrid>
      <w:tr>
        <w:trPr>
          <w:tblHeader/>
        </w:trPr>
        <w:tc>
          <w:tcPr>
            <w:tcW w:type="dxa" w:w="4300"/>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8"/>
                <w:szCs w:val="18"/>
              </w:rPr>
              <w:t xml:space="preserve">Catégorie (avant taxes, par date de transaction)</w:t>
            </w:r>
          </w:p>
        </w:tc>
        <w:tc>
          <w:tcPr>
            <w:tcW w:type="dxa" w:w="180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8"/>
                <w:szCs w:val="18"/>
              </w:rPr>
              <w:t xml:space="preserve">Saison 2025</w:t>
            </w:r>
          </w:p>
        </w:tc>
        <w:tc>
          <w:tcPr>
            <w:tcW w:type="dxa" w:w="180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8"/>
                <w:szCs w:val="18"/>
              </w:rPr>
              <w:t xml:space="preserve">Saison 2026</w:t>
            </w:r>
          </w:p>
        </w:tc>
        <w:tc>
          <w:tcPr>
            <w:tcW w:type="dxa" w:w="1748"/>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8"/>
                <w:szCs w:val="18"/>
              </w:rPr>
              <w:t xml:space="preserve">Variation</w:t>
            </w:r>
          </w:p>
        </w:tc>
      </w:tr>
      <w:tr>
        <w:trPr>
          <w:cantSplit/>
        </w:trPr>
        <w:tc>
          <w:tcPr>
            <w:tcW w:type="dxa" w:w="43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Terrains de camping</w:t>
            </w:r>
          </w:p>
        </w:tc>
        <w:tc>
          <w:tcPr>
            <w:tcW w:type="dxa" w:w="18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8"/>
                <w:szCs w:val="18"/>
              </w:rPr>
              <w:t xml:space="preserve">837 256 $</w:t>
            </w:r>
          </w:p>
        </w:tc>
        <w:tc>
          <w:tcPr>
            <w:tcW w:type="dxa" w:w="18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8"/>
                <w:szCs w:val="18"/>
              </w:rPr>
              <w:t xml:space="preserve">791 894 $</w:t>
            </w:r>
          </w:p>
        </w:tc>
        <w:tc>
          <w:tcPr>
            <w:tcW w:type="dxa" w:w="17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8"/>
                <w:szCs w:val="18"/>
              </w:rPr>
              <w:t xml:space="preserve">−5,4 %</w:t>
            </w:r>
          </w:p>
        </w:tc>
      </w:tr>
      <w:tr>
        <w:trPr>
          <w:cantSplit/>
        </w:trPr>
        <w:tc>
          <w:tcPr>
            <w:tcW w:type="dxa" w:w="43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Chalets et chambres</w:t>
            </w:r>
          </w:p>
        </w:tc>
        <w:tc>
          <w:tcPr>
            <w:tcW w:type="dxa" w:w="18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8"/>
                <w:szCs w:val="18"/>
              </w:rPr>
              <w:t xml:space="preserve">400 868 $</w:t>
            </w:r>
          </w:p>
        </w:tc>
        <w:tc>
          <w:tcPr>
            <w:tcW w:type="dxa" w:w="18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8"/>
                <w:szCs w:val="18"/>
              </w:rPr>
              <w:t xml:space="preserve">497 723 $</w:t>
            </w:r>
          </w:p>
        </w:tc>
        <w:tc>
          <w:tcPr>
            <w:tcW w:type="dxa" w:w="17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8"/>
                <w:szCs w:val="18"/>
              </w:rPr>
              <w:t xml:space="preserve">+24,2 %</w:t>
            </w:r>
          </w:p>
        </w:tc>
      </w:tr>
      <w:tr>
        <w:trPr>
          <w:cantSplit/>
        </w:trPr>
        <w:tc>
          <w:tcPr>
            <w:tcW w:type="dxa" w:w="43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Cabanas prêt-à-camper</w:t>
            </w:r>
          </w:p>
        </w:tc>
        <w:tc>
          <w:tcPr>
            <w:tcW w:type="dxa" w:w="18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8"/>
                <w:szCs w:val="18"/>
              </w:rPr>
              <w:t xml:space="preserve">195 575 $</w:t>
            </w:r>
          </w:p>
        </w:tc>
        <w:tc>
          <w:tcPr>
            <w:tcW w:type="dxa" w:w="18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8"/>
                <w:szCs w:val="18"/>
              </w:rPr>
              <w:t xml:space="preserve">199 016 $</w:t>
            </w:r>
          </w:p>
        </w:tc>
        <w:tc>
          <w:tcPr>
            <w:tcW w:type="dxa" w:w="17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8"/>
                <w:szCs w:val="18"/>
              </w:rPr>
              <w:t xml:space="preserve">+1,8 %</w:t>
            </w:r>
          </w:p>
        </w:tc>
      </w:tr>
      <w:tr>
        <w:trPr>
          <w:cantSplit/>
        </w:trPr>
        <w:tc>
          <w:tcPr>
            <w:tcW w:type="dxa" w:w="43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Terrains saisonniers</w:t>
            </w:r>
          </w:p>
        </w:tc>
        <w:tc>
          <w:tcPr>
            <w:tcW w:type="dxa" w:w="18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8"/>
                <w:szCs w:val="18"/>
              </w:rPr>
              <w:t xml:space="preserve">19 732 $</w:t>
            </w:r>
          </w:p>
        </w:tc>
        <w:tc>
          <w:tcPr>
            <w:tcW w:type="dxa" w:w="18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8"/>
                <w:szCs w:val="18"/>
              </w:rPr>
              <w:t xml:space="preserve">43 209 $</w:t>
            </w:r>
          </w:p>
        </w:tc>
        <w:tc>
          <w:tcPr>
            <w:tcW w:type="dxa" w:w="17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8"/>
                <w:szCs w:val="18"/>
              </w:rPr>
              <w:t xml:space="preserve">+119,0 %</w:t>
            </w:r>
          </w:p>
        </w:tc>
      </w:tr>
      <w:tr>
        <w:trPr>
          <w:cantSplit/>
        </w:trPr>
        <w:tc>
          <w:tcPr>
            <w:tcW w:type="dxa" w:w="4300"/>
            <w:shd w:fill="CFE3E6"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1E2A2E"/>
                <w:sz w:val="18"/>
                <w:szCs w:val="18"/>
              </w:rPr>
              <w:t xml:space="preserve">Total des ventes du système de réservation</w:t>
            </w:r>
          </w:p>
        </w:tc>
        <w:tc>
          <w:tcPr>
            <w:tcW w:type="dxa" w:w="1800"/>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8"/>
                <w:szCs w:val="18"/>
              </w:rPr>
              <w:t xml:space="preserve">1 453 605 $</w:t>
            </w:r>
          </w:p>
        </w:tc>
        <w:tc>
          <w:tcPr>
            <w:tcW w:type="dxa" w:w="1800"/>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8"/>
                <w:szCs w:val="18"/>
              </w:rPr>
              <w:t xml:space="preserve">1 531 842 $</w:t>
            </w:r>
          </w:p>
        </w:tc>
        <w:tc>
          <w:tcPr>
            <w:tcW w:type="dxa" w:w="1748"/>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8"/>
                <w:szCs w:val="18"/>
              </w:rPr>
              <w:t xml:space="preserve">+5,4 %</w:t>
            </w:r>
          </w:p>
        </w:tc>
      </w:tr>
      <w:tr>
        <w:trPr>
          <w:cantSplit/>
        </w:trPr>
        <w:tc>
          <w:tcPr>
            <w:tcW w:type="dxa" w:w="43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Nombre de transactions / panier moyen</w:t>
            </w:r>
          </w:p>
        </w:tc>
        <w:tc>
          <w:tcPr>
            <w:tcW w:type="dxa" w:w="18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8"/>
                <w:szCs w:val="18"/>
              </w:rPr>
              <w:t xml:space="preserve">10 587 / 137,30 $</w:t>
            </w:r>
          </w:p>
        </w:tc>
        <w:tc>
          <w:tcPr>
            <w:tcW w:type="dxa" w:w="18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8"/>
                <w:szCs w:val="18"/>
              </w:rPr>
              <w:t xml:space="preserve">9 670 / 158,41 $</w:t>
            </w:r>
          </w:p>
        </w:tc>
        <w:tc>
          <w:tcPr>
            <w:tcW w:type="dxa" w:w="17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8"/>
                <w:szCs w:val="18"/>
              </w:rPr>
              <w:t xml:space="preserve">−8,7 % / +15,4 %</w:t>
            </w:r>
          </w:p>
        </w:tc>
      </w:tr>
      <w:tr>
        <w:trPr>
          <w:cantSplit/>
        </w:trPr>
        <w:tc>
          <w:tcPr>
            <w:tcW w:type="dxa" w:w="43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Ventes des unités Coolbox (plateforme Coolbox, 9 unités)</w:t>
            </w:r>
          </w:p>
        </w:tc>
        <w:tc>
          <w:tcPr>
            <w:tcW w:type="dxa" w:w="18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8"/>
                <w:szCs w:val="18"/>
              </w:rPr>
              <w:t xml:space="preserve">—</w:t>
            </w:r>
          </w:p>
        </w:tc>
        <w:tc>
          <w:tcPr>
            <w:tcW w:type="dxa" w:w="18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8"/>
                <w:szCs w:val="18"/>
              </w:rPr>
              <w:t xml:space="preserve">180 334 $</w:t>
            </w:r>
          </w:p>
        </w:tc>
        <w:tc>
          <w:tcPr>
            <w:tcW w:type="dxa" w:w="17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8"/>
                <w:szCs w:val="18"/>
              </w:rPr>
              <w:t xml:space="preserve">—</w:t>
            </w:r>
          </w:p>
        </w:tc>
      </w:tr>
      <w:tr>
        <w:trPr>
          <w:cantSplit/>
        </w:trPr>
        <w:tc>
          <w:tcPr>
            <w:tcW w:type="dxa" w:w="43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Restauration et activités (budget interne)</w:t>
            </w:r>
          </w:p>
        </w:tc>
        <w:tc>
          <w:tcPr>
            <w:tcW w:type="dxa" w:w="18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8"/>
                <w:szCs w:val="18"/>
              </w:rPr>
              <w:t xml:space="preserve">—</w:t>
            </w:r>
          </w:p>
        </w:tc>
        <w:tc>
          <w:tcPr>
            <w:tcW w:type="dxa" w:w="18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8"/>
                <w:szCs w:val="18"/>
              </w:rPr>
              <w:t xml:space="preserve">196 700 $</w:t>
            </w:r>
          </w:p>
        </w:tc>
        <w:tc>
          <w:tcPr>
            <w:tcW w:type="dxa" w:w="17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8"/>
                <w:szCs w:val="18"/>
              </w:rPr>
              <w:t xml:space="preserve">—</w:t>
            </w:r>
          </w:p>
        </w:tc>
      </w:tr>
    </w:tbl>
    <w:p>
      <w:pPr>
        <w:spacing w:after="120"/>
      </w:pPr>
    </w:p>
    <w:p>
      <w:pPr>
        <w:pStyle w:val="Heading3"/>
        <w:keepNext/>
        <w:spacing w:after="80" w:before="200"/>
      </w:pPr>
      <w:r>
        <w:rPr>
          <w:rFonts w:ascii="Calibri" w:cs="Calibri" w:eastAsia="Calibri" w:hAnsi="Calibri"/>
          <w:b/>
          <w:bCs/>
          <w:color w:val="2BB5BF"/>
          <w:sz w:val="22"/>
          <w:szCs w:val="22"/>
        </w:rPr>
        <w:t xml:space="preserve">Réconciliation des chiffres de revenus 2026</w:t>
      </w:r>
    </w:p>
    <w:p>
      <w:pPr>
        <w:spacing w:after="120" w:before="0" w:line="276"/>
        <w:jc w:val="left"/>
      </w:pPr>
      <w:r>
        <w:rPr>
          <w:rFonts w:ascii="Calibri" w:cs="Calibri" w:eastAsia="Calibri" w:hAnsi="Calibri"/>
        </w:rPr>
        <w:t xml:space="preserve">Trois chiffres circulent pour 2026 ; le plan les réconcilie plutôt que d'en choisir un :</w:t>
      </w:r>
    </w:p>
    <w:tbl>
      <w:tblPr>
        <w:tblW w:type="dxa" w:w="9648"/>
        <w:tblBorders>
          <w:top w:val="none" w:color="FFFFFF" w:sz="0"/>
          <w:left w:val="none" w:color="FFFFFF" w:sz="0"/>
          <w:bottom w:val="single" w:color="0C4A5E" w:sz="8"/>
          <w:right w:val="none" w:color="FFFFFF" w:sz="0"/>
          <w:insideH w:val="single" w:color="CFE3E6" w:sz="4"/>
          <w:insideV w:val="none" w:color="FFFFFF" w:sz="0"/>
        </w:tblBorders>
      </w:tblPr>
      <w:tblGrid>
        <w:gridCol w:w="4200"/>
        <w:gridCol w:w="1600"/>
        <w:gridCol w:w="3848"/>
      </w:tblGrid>
      <w:tr>
        <w:trPr>
          <w:tblHeader/>
        </w:trPr>
        <w:tc>
          <w:tcPr>
            <w:tcW w:type="dxa" w:w="4200"/>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8"/>
                <w:szCs w:val="18"/>
              </w:rPr>
              <w:t xml:space="preserve">Source</w:t>
            </w:r>
          </w:p>
        </w:tc>
        <w:tc>
          <w:tcPr>
            <w:tcW w:type="dxa" w:w="160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8"/>
                <w:szCs w:val="18"/>
              </w:rPr>
              <w:t xml:space="preserve">Montant</w:t>
            </w:r>
          </w:p>
        </w:tc>
        <w:tc>
          <w:tcPr>
            <w:tcW w:type="dxa" w:w="3848"/>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8"/>
                <w:szCs w:val="18"/>
              </w:rPr>
              <w:t xml:space="preserve">Ce qu'il mesure</w:t>
            </w:r>
          </w:p>
        </w:tc>
      </w:tr>
      <w:tr>
        <w:trPr>
          <w:cantSplit/>
        </w:trPr>
        <w:tc>
          <w:tcPr>
            <w:tcW w:type="dxa" w:w="42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Système de réservation (Pixum), saison 2025-09-15 → 2026-09-15</w:t>
            </w:r>
          </w:p>
        </w:tc>
        <w:tc>
          <w:tcPr>
            <w:tcW w:type="dxa" w:w="16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8"/>
                <w:szCs w:val="18"/>
              </w:rPr>
              <w:t xml:space="preserve">1 531 842 $</w:t>
            </w:r>
          </w:p>
        </w:tc>
        <w:tc>
          <w:tcPr>
            <w:tcW w:type="dxa" w:w="38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8"/>
                <w:szCs w:val="18"/>
              </w:rPr>
              <w:t xml:space="preserve">Ventes encaissées d'hébergement, hors Coolbox, restauration et activités</w:t>
            </w:r>
          </w:p>
        </w:tc>
      </w:tr>
      <w:tr>
        <w:trPr>
          <w:cantSplit/>
        </w:trPr>
        <w:tc>
          <w:tcPr>
            <w:tcW w:type="dxa" w:w="42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An 0 du présent modèle</w:t>
            </w:r>
          </w:p>
        </w:tc>
        <w:tc>
          <w:tcPr>
            <w:tcW w:type="dxa" w:w="16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8"/>
                <w:szCs w:val="18"/>
              </w:rPr>
              <w:t xml:space="preserve">1 805 209 $</w:t>
            </w:r>
          </w:p>
        </w:tc>
        <w:tc>
          <w:tcPr>
            <w:tcW w:type="dxa" w:w="38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8"/>
                <w:szCs w:val="18"/>
              </w:rPr>
              <w:t xml:space="preserve">Pixum + restauration et activités (budget interne) + part Havana des ventes Coolbox</w:t>
            </w:r>
          </w:p>
        </w:tc>
      </w:tr>
      <w:tr>
        <w:trPr>
          <w:cantSplit/>
        </w:trPr>
        <w:tc>
          <w:tcPr>
            <w:tcW w:type="dxa" w:w="42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Budget d'exploitation de la direction</w:t>
            </w:r>
          </w:p>
        </w:tc>
        <w:tc>
          <w:tcPr>
            <w:tcW w:type="dxa" w:w="16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8"/>
                <w:szCs w:val="18"/>
              </w:rPr>
              <w:t xml:space="preserve">2 630 438 $</w:t>
            </w:r>
          </w:p>
        </w:tc>
        <w:tc>
          <w:tcPr>
            <w:tcW w:type="dxa" w:w="38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8"/>
                <w:szCs w:val="18"/>
              </w:rPr>
              <w:t xml:space="preserve">Revenus modélisés à pleine capacité (unités × tarif × occupation)</w:t>
            </w:r>
          </w:p>
        </w:tc>
      </w:tr>
    </w:tbl>
    <w:p>
      <w:pPr>
        <w:pageBreakBefore/>
        <w:spacing w:after="0" w:before="0" w:line="20" w:lineRule="exact"/>
      </w:pPr>
      <w:r>
        <w:drawing>
          <wp:anchor distT="0" distB="0" distL="0" distR="0" simplePos="0" allowOverlap="1" behindDoc="1" locked="1" layoutInCell="0" relativeHeight="3838575">
            <wp:simplePos x="0" y="0"/>
            <wp:positionH relativeFrom="page">
              <wp:posOffset>0</wp:posOffset>
            </wp:positionH>
            <wp:positionV relativeFrom="page">
              <wp:posOffset>566928</wp:posOffset>
            </wp:positionV>
            <wp:extent cx="7772400" cy="3838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7772400" cy="3838575"/>
                    </a:xfrm>
                    <a:prstGeom prst="rect">
                      <a:avLst/>
                    </a:prstGeom>
                  </pic:spPr>
                </pic:pic>
              </a:graphicData>
            </a:graphic>
          </wp:anchor>
        </w:drawing>
      </w:r>
    </w:p>
    <w:p>
      <w:pPr>
        <w:spacing w:after="0" w:before="0" w:line="3800" w:lineRule="exact"/>
      </w:pPr>
    </w:p>
    <w:p>
      <w:pPr>
        <w:spacing w:after="60" w:before="0"/>
      </w:pPr>
      <w:r>
        <w:rPr>
          <w:rFonts w:ascii="Calibri" w:cs="Calibri" w:eastAsia="Calibri" w:hAnsi="Calibri"/>
          <w:b/>
          <w:bCs/>
          <w:color w:val="F4B942"/>
          <w:sz w:val="26"/>
          <w:szCs w:val="26"/>
        </w:rPr>
        <w:t xml:space="preserve">03</w:t>
      </w:r>
    </w:p>
    <w:p>
      <w:pPr>
        <w:pStyle w:val="Heading1"/>
        <w:spacing w:after="0" w:before="0"/>
      </w:pPr>
      <w:r>
        <w:rPr>
          <w:rFonts w:ascii="Calibri" w:cs="Calibri" w:eastAsia="Calibri" w:hAnsi="Calibri"/>
          <w:b/>
          <w:bCs/>
          <w:color w:val="FFFFFF"/>
          <w:sz w:val="46"/>
          <w:szCs w:val="46"/>
        </w:rPr>
        <w:t xml:space="preserve">Le projet</w:t>
      </w:r>
    </w:p>
    <w:p>
      <w:pPr>
        <w:spacing w:after="0" w:before="0" w:line="1250" w:lineRule="exact"/>
      </w:pPr>
    </w:p>
    <w:p>
      <w:pPr>
        <w:spacing w:after="240" w:before="0" w:line="300"/>
      </w:pPr>
      <w:r>
        <w:rPr>
          <w:rFonts w:ascii="Georgia" w:cs="Georgia" w:eastAsia="Georgia" w:hAnsi="Georgia"/>
          <w:i/>
          <w:iCs/>
          <w:color w:val="2BB5BF"/>
          <w:sz w:val="25"/>
          <w:szCs w:val="25"/>
        </w:rPr>
        <w:t xml:space="preserve">Mettre en valeur les actifs existants et ajouter la capacité qui se vend douze mois par année.</w:t>
      </w:r>
    </w:p>
    <w:p>
      <w:pPr>
        <w:pStyle w:val="Heading2"/>
        <w:keepNext/>
        <w:spacing w:after="120" w:before="300"/>
      </w:pPr>
      <w:r>
        <w:rPr>
          <w:rFonts w:ascii="Calibri" w:cs="Calibri" w:eastAsia="Calibri" w:hAnsi="Calibri"/>
          <w:b/>
          <w:bCs/>
          <w:color w:val="0C4A5E"/>
          <w:sz w:val="27"/>
          <w:szCs w:val="27"/>
        </w:rPr>
        <w:t xml:space="preserve">3.1 Objectif</w:t>
      </w:r>
    </w:p>
    <w:p>
      <w:pPr>
        <w:spacing w:after="120" w:before="0" w:line="276"/>
        <w:jc w:val="left"/>
      </w:pPr>
      <w:r>
        <w:rPr>
          <w:rFonts w:ascii="Calibri" w:cs="Calibri" w:eastAsia="Calibri" w:hAnsi="Calibri"/>
        </w:rPr>
        <w:t xml:space="preserve">Rendre le site vendable douze mois par année en s'appuyant sur les actifs existants : hôtel, chalets, emplacements Coolbox desservis, terrains. Chaque composante répond à l'un de deux critères : elle produit des revenus l'année même du décaissement, ou elle allonge la saison des unités existantes.</w:t>
      </w:r>
    </w:p>
    <w:p>
      <w:pPr>
        <w:pStyle w:val="Heading2"/>
        <w:keepNext/>
        <w:spacing w:after="120" w:before="300"/>
      </w:pPr>
      <w:r>
        <w:rPr>
          <w:rFonts w:ascii="Calibri" w:cs="Calibri" w:eastAsia="Calibri" w:hAnsi="Calibri"/>
          <w:b/>
          <w:bCs/>
          <w:color w:val="0C4A5E"/>
          <w:sz w:val="27"/>
          <w:szCs w:val="27"/>
        </w:rPr>
        <w:t xml:space="preserve">3.2 Composantes et coûts</w:t>
      </w:r>
    </w:p>
    <w:tbl>
      <w:tblPr>
        <w:tblW w:type="dxa" w:w="9648"/>
        <w:tblBorders>
          <w:top w:val="none" w:color="FFFFFF" w:sz="0"/>
          <w:left w:val="none" w:color="FFFFFF" w:sz="0"/>
          <w:bottom w:val="single" w:color="0C4A5E" w:sz="8"/>
          <w:right w:val="none" w:color="FFFFFF" w:sz="0"/>
          <w:insideH w:val="single" w:color="CFE3E6" w:sz="4"/>
          <w:insideV w:val="none" w:color="FFFFFF" w:sz="0"/>
        </w:tblBorders>
      </w:tblPr>
      <w:tblGrid>
        <w:gridCol w:w="6000"/>
        <w:gridCol w:w="1500"/>
        <w:gridCol w:w="2148"/>
      </w:tblGrid>
      <w:tr>
        <w:trPr>
          <w:tblHeader/>
        </w:trPr>
        <w:tc>
          <w:tcPr>
            <w:tcW w:type="dxa" w:w="6000"/>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8"/>
                <w:szCs w:val="18"/>
              </w:rPr>
              <w:t xml:space="preserve">Composante</w:t>
            </w:r>
          </w:p>
        </w:tc>
        <w:tc>
          <w:tcPr>
            <w:tcW w:type="dxa" w:w="1500"/>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8"/>
                <w:szCs w:val="18"/>
              </w:rPr>
              <w:t xml:space="preserve">Type</w:t>
            </w:r>
          </w:p>
        </w:tc>
        <w:tc>
          <w:tcPr>
            <w:tcW w:type="dxa" w:w="2148"/>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8"/>
                <w:szCs w:val="18"/>
              </w:rPr>
              <w:t xml:space="preserve">Coût</w:t>
            </w:r>
          </w:p>
        </w:tc>
      </w:tr>
      <w:tr>
        <w:trPr>
          <w:cantSplit/>
        </w:trPr>
        <w:tc>
          <w:tcPr>
            <w:tcW w:type="dxa" w:w="60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Hôtel : de 6 à 17 chambres, exploitation 12 mois</w:t>
            </w:r>
          </w:p>
        </w:tc>
        <w:tc>
          <w:tcPr>
            <w:tcW w:type="dxa" w:w="15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Chantier</w:t>
            </w:r>
          </w:p>
        </w:tc>
        <w:tc>
          <w:tcPr>
            <w:tcW w:type="dxa" w:w="21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8"/>
                <w:szCs w:val="18"/>
              </w:rPr>
              <w:t xml:space="preserve">700 000 $</w:t>
            </w:r>
          </w:p>
        </w:tc>
      </w:tr>
      <w:tr>
        <w:trPr>
          <w:cantSplit/>
        </w:trPr>
        <w:tc>
          <w:tcPr>
            <w:tcW w:type="dxa" w:w="60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Restaurant Madera et salle de conférence</w:t>
            </w:r>
          </w:p>
        </w:tc>
        <w:tc>
          <w:tcPr>
            <w:tcW w:type="dxa" w:w="15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Chantier</w:t>
            </w:r>
          </w:p>
        </w:tc>
        <w:tc>
          <w:tcPr>
            <w:tcW w:type="dxa" w:w="21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8"/>
                <w:szCs w:val="18"/>
              </w:rPr>
              <w:t xml:space="preserve">800 000 $</w:t>
            </w:r>
          </w:p>
        </w:tc>
      </w:tr>
      <w:tr>
        <w:trPr>
          <w:cantSplit/>
        </w:trPr>
        <w:tc>
          <w:tcPr>
            <w:tcW w:type="dxa" w:w="60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Achèvement des 13 villas</w:t>
            </w:r>
          </w:p>
        </w:tc>
        <w:tc>
          <w:tcPr>
            <w:tcW w:type="dxa" w:w="15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Chantier</w:t>
            </w:r>
          </w:p>
        </w:tc>
        <w:tc>
          <w:tcPr>
            <w:tcW w:type="dxa" w:w="21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8"/>
                <w:szCs w:val="18"/>
              </w:rPr>
              <w:t xml:space="preserve">150 000 $</w:t>
            </w:r>
          </w:p>
        </w:tc>
      </w:tr>
      <w:tr>
        <w:trPr>
          <w:cantSplit/>
        </w:trPr>
        <w:tc>
          <w:tcPr>
            <w:tcW w:type="dxa" w:w="60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Chalets existants : hivernisation (isolation, chauffage, plomberie)</w:t>
            </w:r>
          </w:p>
        </w:tc>
        <w:tc>
          <w:tcPr>
            <w:tcW w:type="dxa" w:w="15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Chantier</w:t>
            </w:r>
          </w:p>
        </w:tc>
        <w:tc>
          <w:tcPr>
            <w:tcW w:type="dxa" w:w="21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8"/>
                <w:szCs w:val="18"/>
              </w:rPr>
              <w:t xml:space="preserve">150 000 $</w:t>
            </w:r>
          </w:p>
        </w:tc>
      </w:tr>
      <w:tr>
        <w:trPr>
          <w:cantSplit/>
        </w:trPr>
        <w:tc>
          <w:tcPr>
            <w:tcW w:type="dxa" w:w="60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20 unités Coolbox 12×24 quatre saisons (apport en nature de Coolbox HPA)</w:t>
            </w:r>
          </w:p>
        </w:tc>
        <w:tc>
          <w:tcPr>
            <w:tcW w:type="dxa" w:w="15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Forfait d'usine</w:t>
            </w:r>
          </w:p>
        </w:tc>
        <w:tc>
          <w:tcPr>
            <w:tcW w:type="dxa" w:w="21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8"/>
                <w:szCs w:val="18"/>
              </w:rPr>
              <w:t xml:space="preserve">2 120 000 $</w:t>
            </w:r>
          </w:p>
        </w:tc>
      </w:tr>
      <w:tr>
        <w:trPr>
          <w:cantSplit/>
        </w:trPr>
        <w:tc>
          <w:tcPr>
            <w:tcW w:type="dxa" w:w="60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Conversion de 40 terrains existants en terrains saisonniers</w:t>
            </w:r>
          </w:p>
        </w:tc>
        <w:tc>
          <w:tcPr>
            <w:tcW w:type="dxa" w:w="15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Chantier</w:t>
            </w:r>
          </w:p>
        </w:tc>
        <w:tc>
          <w:tcPr>
            <w:tcW w:type="dxa" w:w="21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8"/>
                <w:szCs w:val="18"/>
              </w:rPr>
              <w:t xml:space="preserve">50 000 $</w:t>
            </w:r>
          </w:p>
        </w:tc>
      </w:tr>
      <w:tr>
        <w:trPr>
          <w:cantSplit/>
        </w:trPr>
        <w:tc>
          <w:tcPr>
            <w:tcW w:type="dxa" w:w="6000"/>
            <w:shd w:fill="CFE3E6"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1E2A2E"/>
                <w:sz w:val="18"/>
                <w:szCs w:val="18"/>
              </w:rPr>
              <w:t xml:space="preserve">Sous-total des travaux</w:t>
            </w:r>
          </w:p>
        </w:tc>
        <w:tc>
          <w:tcPr>
            <w:tcW w:type="dxa" w:w="1500"/>
            <w:shd w:fill="CFE3E6"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1E2A2E"/>
                <w:sz w:val="18"/>
                <w:szCs w:val="18"/>
              </w:rPr>
              <w:t xml:space="preserve"/>
            </w:r>
          </w:p>
        </w:tc>
        <w:tc>
          <w:tcPr>
            <w:tcW w:type="dxa" w:w="2148"/>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8"/>
                <w:szCs w:val="18"/>
              </w:rPr>
              <w:t xml:space="preserve">3 970 000 $</w:t>
            </w:r>
          </w:p>
        </w:tc>
      </w:tr>
      <w:tr>
        <w:trPr>
          <w:cantSplit/>
        </w:trPr>
        <w:tc>
          <w:tcPr>
            <w:tcW w:type="dxa" w:w="60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Contingence : 5 % sur les forfaits d'usine, 10 % sur les travaux de chantier</w:t>
            </w:r>
          </w:p>
        </w:tc>
        <w:tc>
          <w:tcPr>
            <w:tcW w:type="dxa" w:w="15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
            </w:r>
          </w:p>
        </w:tc>
        <w:tc>
          <w:tcPr>
            <w:tcW w:type="dxa" w:w="21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8"/>
                <w:szCs w:val="18"/>
              </w:rPr>
              <w:t xml:space="preserve">291 000 $</w:t>
            </w:r>
          </w:p>
        </w:tc>
      </w:tr>
      <w:tr>
        <w:trPr>
          <w:cantSplit/>
        </w:trPr>
        <w:tc>
          <w:tcPr>
            <w:tcW w:type="dxa" w:w="6000"/>
            <w:shd w:fill="CFE3E6"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1E2A2E"/>
                <w:sz w:val="18"/>
                <w:szCs w:val="18"/>
              </w:rPr>
              <w:t xml:space="preserve">Total</w:t>
            </w:r>
          </w:p>
        </w:tc>
        <w:tc>
          <w:tcPr>
            <w:tcW w:type="dxa" w:w="1500"/>
            <w:shd w:fill="CFE3E6"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1E2A2E"/>
                <w:sz w:val="18"/>
                <w:szCs w:val="18"/>
              </w:rPr>
              <w:t xml:space="preserve"/>
            </w:r>
          </w:p>
        </w:tc>
        <w:tc>
          <w:tcPr>
            <w:tcW w:type="dxa" w:w="2148"/>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8"/>
                <w:szCs w:val="18"/>
              </w:rPr>
              <w:t xml:space="preserve">4 261 000 $</w:t>
            </w:r>
          </w:p>
        </w:tc>
      </w:tr>
    </w:tbl>
    <w:p>
      <w:pPr>
        <w:spacing w:after="120" w:before="0" w:line="276"/>
        <w:jc w:val="left"/>
      </w:pPr>
      <w:r>
        <w:rPr>
          <w:rFonts w:ascii="Calibri" w:cs="Calibri" w:eastAsia="Calibri" w:hAnsi="Calibri"/>
          <w:i/>
          <w:iCs/>
          <w:color w:val="6F8A90"/>
          <w:sz w:val="18"/>
          <w:szCs w:val="18"/>
        </w:rPr>
        <w:t xml:space="preserve">Les coûts de chantier sont ceux de la direction, appuyés par les soumissions à forfait de Construction Prospère (annexe C). Le coût des unités Coolbox est le prix de catalogue 2026 : 106 000 $ par unité installée, raccordée et meublée.</w:t>
      </w:r>
    </w:p>
    <w:p>
      <w:pPr>
        <w:pStyle w:val="Heading2"/>
        <w:keepNext/>
        <w:spacing w:after="120" w:before="300"/>
      </w:pPr>
      <w:r>
        <w:rPr>
          <w:rFonts w:ascii="Calibri" w:cs="Calibri" w:eastAsia="Calibri" w:hAnsi="Calibri"/>
          <w:b/>
          <w:bCs/>
          <w:color w:val="0C4A5E"/>
          <w:sz w:val="27"/>
          <w:szCs w:val="27"/>
        </w:rPr>
        <w:t xml:space="preserve">3.3 Description des composantes</w:t>
      </w:r>
    </w:p>
    <w:p>
      <w:pPr>
        <w:pStyle w:val="Heading3"/>
        <w:keepNext/>
        <w:spacing w:after="80" w:before="200"/>
      </w:pPr>
      <w:r>
        <w:rPr>
          <w:rFonts w:ascii="Calibri" w:cs="Calibri" w:eastAsia="Calibri" w:hAnsi="Calibri"/>
          <w:b/>
          <w:bCs/>
          <w:color w:val="2BB5BF"/>
          <w:sz w:val="22"/>
          <w:szCs w:val="22"/>
        </w:rPr>
        <w:t xml:space="preserve">Hôtel : de 6 à 17 chambres, ouvert douze mois</w:t>
      </w:r>
    </w:p>
    <w:p>
      <w:pPr>
        <w:spacing w:after="120" w:before="0" w:line="276"/>
        <w:jc w:val="left"/>
      </w:pPr>
      <w:r>
        <w:rPr>
          <w:rFonts w:ascii="Calibri" w:cs="Calibri" w:eastAsia="Calibri" w:hAnsi="Calibri"/>
        </w:rPr>
        <w:t xml:space="preserve">Rénovation intérieure du bâtiment de 1997 (24 860 pi²) pour exploiter les 17 unités prévues, avec salle de conférence attenante. L'hôtel devient le pivot de l'exploitation hivernale : couples, groupes, retraites d'entreprise.</w:t>
      </w:r>
    </w:p>
    <w:tbl>
      <w:tblPr>
        <w:tblW w:type="dxa" w:w="9648"/>
        <w:tblBorders>
          <w:top w:val="none" w:color="FFFFFF" w:sz="0"/>
          <w:left w:val="none" w:color="FFFFFF" w:sz="0"/>
          <w:bottom w:val="none" w:color="FFFFFF" w:sz="0"/>
          <w:right w:val="none" w:color="FFFFFF" w:sz="0"/>
          <w:insideH w:val="none" w:color="FFFFFF" w:sz="0"/>
          <w:insideV w:val="none" w:color="FFFFFF" w:sz="0"/>
        </w:tblBorders>
      </w:tblPr>
      <w:tblGrid>
        <w:gridCol w:w="4724"/>
        <w:gridCol w:w="200"/>
        <w:gridCol w:w="4724"/>
      </w:tblGrid>
      <w:tr>
        <w:tc>
          <w:tcPr>
            <w:tcW w:type="dxa" w:w="4724"/>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jc w:val="left"/>
            </w:pPr>
            <w:r>
              <w:drawing>
                <wp:inline distT="0" distB="0" distL="0" distR="0">
                  <wp:extent cx="2857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857500" cy="1905000"/>
                          </a:xfrm>
                          <a:prstGeom prst="rect">
                            <a:avLst/>
                          </a:prstGeom>
                        </pic:spPr>
                      </pic:pic>
                    </a:graphicData>
                  </a:graphic>
                </wp:inline>
              </w:drawing>
            </w:r>
          </w:p>
          <w:p>
            <w:pPr>
              <w:pBdr>
                <w:top w:val="single" w:color="2BB5BF" w:sz="6" w:space="3"/>
              </w:pBdr>
              <w:spacing w:after="0" w:line="240"/>
              <w:jc w:val="left"/>
            </w:pPr>
            <w:r>
              <w:rPr>
                <w:rFonts w:ascii="Calibri" w:cs="Calibri" w:eastAsia="Calibri" w:hAnsi="Calibri"/>
                <w:color w:val="6F8A90"/>
                <w:sz w:val="16"/>
                <w:szCs w:val="16"/>
              </w:rPr>
              <w:t xml:space="preserve">L'hôtel actuel : 6 chambres, à porter à 17</w:t>
            </w:r>
          </w:p>
        </w:tc>
        <w:tc>
          <w:tcPr>
            <w:tcW w:type="dxa" w:w="200"/>
            <w:tcBorders>
              <w:top w:val="none" w:color="FFFFFF" w:sz="0"/>
              <w:left w:val="none" w:color="FFFFFF" w:sz="0"/>
              <w:bottom w:val="none" w:color="FFFFFF" w:sz="0"/>
              <w:right w:val="none" w:color="FFFFFF" w:sz="0"/>
            </w:tcBorders>
          </w:tcPr>
          <w:p>
            <w:r>
              <w:t xml:space="preserve"/>
            </w:r>
          </w:p>
        </w:tc>
        <w:tc>
          <w:tcPr>
            <w:tcW w:type="dxa" w:w="4724"/>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jc w:val="left"/>
            </w:pPr>
            <w:r>
              <w:drawing>
                <wp:inline distT="0" distB="0" distL="0" distR="0">
                  <wp:extent cx="2857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857500" cy="1905000"/>
                          </a:xfrm>
                          <a:prstGeom prst="rect">
                            <a:avLst/>
                          </a:prstGeom>
                        </pic:spPr>
                      </pic:pic>
                    </a:graphicData>
                  </a:graphic>
                </wp:inline>
              </w:drawing>
            </w:r>
          </w:p>
          <w:p>
            <w:pPr>
              <w:pBdr>
                <w:top w:val="single" w:color="2BB5BF" w:sz="6" w:space="3"/>
              </w:pBdr>
              <w:spacing w:after="0" w:line="240"/>
              <w:jc w:val="left"/>
            </w:pPr>
            <w:r>
              <w:rPr>
                <w:rFonts w:ascii="Calibri" w:cs="Calibri" w:eastAsia="Calibri" w:hAnsi="Calibri"/>
                <w:color w:val="6F8A90"/>
                <w:sz w:val="16"/>
                <w:szCs w:val="16"/>
              </w:rPr>
              <w:t xml:space="preserve">L'aile arrière : les chambres à rénover pour une exploitation 12 mois</w:t>
            </w:r>
          </w:p>
        </w:tc>
      </w:tr>
    </w:tbl>
    <w:p>
      <w:pPr>
        <w:spacing w:after="80"/>
      </w:pPr>
    </w:p>
    <w:p>
      <w:pPr>
        <w:pStyle w:val="Heading3"/>
        <w:keepNext/>
        <w:spacing w:after="80" w:before="200"/>
      </w:pPr>
      <w:r>
        <w:rPr>
          <w:rFonts w:ascii="Calibri" w:cs="Calibri" w:eastAsia="Calibri" w:hAnsi="Calibri"/>
          <w:b/>
          <w:bCs/>
          <w:color w:val="2BB5BF"/>
          <w:sz w:val="22"/>
          <w:szCs w:val="22"/>
        </w:rPr>
        <w:t xml:space="preserve">Restaurant Madera et salle de conférence</w:t>
      </w:r>
    </w:p>
    <w:p>
      <w:pPr>
        <w:spacing w:after="120" w:before="0" w:line="276"/>
        <w:jc w:val="left"/>
      </w:pPr>
      <w:r>
        <w:rPr>
          <w:rFonts w:ascii="Calibri" w:cs="Calibri" w:eastAsia="Calibri" w:hAnsi="Calibri"/>
        </w:rPr>
        <w:t xml:space="preserve">Restaurant de cuisine cubaine et latino-américaine ouvert à la clientèle du site et au public régional, avec le café Cubano, la cantine et le Mojito bar. À maturité, la restauration et les bars représentent 23 % des revenus d'hébergement, sous le budget de la direction (cantine 100 000 $, café 200 000 $, Mojito bar 300 000 $, Madera 289 500 $).</w:t>
      </w:r>
    </w:p>
    <w:tbl>
      <w:tblPr>
        <w:tblW w:type="dxa" w:w="9648"/>
        <w:tblBorders>
          <w:top w:val="none" w:color="FFFFFF" w:sz="0"/>
          <w:left w:val="none" w:color="FFFFFF" w:sz="0"/>
          <w:bottom w:val="none" w:color="FFFFFF" w:sz="0"/>
          <w:right w:val="none" w:color="FFFFFF" w:sz="0"/>
          <w:insideH w:val="none" w:color="FFFFFF" w:sz="0"/>
          <w:insideV w:val="none" w:color="FFFFFF" w:sz="0"/>
        </w:tblBorders>
      </w:tblPr>
      <w:tblGrid>
        <w:gridCol w:w="9648"/>
      </w:tblGrid>
      <w:tr>
        <w:tc>
          <w:tcPr>
            <w:tcW w:type="dxa" w:w="9648"/>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jc w:val="left"/>
            </w:pPr>
            <w:r>
              <w:drawing>
                <wp:inline distT="0" distB="0" distL="0" distR="0">
                  <wp:extent cx="3838575"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38575" cy="2162175"/>
                          </a:xfrm>
                          <a:prstGeom prst="rect">
                            <a:avLst/>
                          </a:prstGeom>
                        </pic:spPr>
                      </pic:pic>
                    </a:graphicData>
                  </a:graphic>
                </wp:inline>
              </w:drawing>
            </w:r>
          </w:p>
          <w:p>
            <w:pPr>
              <w:pBdr>
                <w:top w:val="single" w:color="2BB5BF" w:sz="6" w:space="3"/>
              </w:pBdr>
              <w:spacing w:after="0" w:line="240"/>
              <w:jc w:val="left"/>
            </w:pPr>
            <w:r>
              <w:rPr>
                <w:rFonts w:ascii="Calibri" w:cs="Calibri" w:eastAsia="Calibri" w:hAnsi="Calibri"/>
                <w:color w:val="6F8A90"/>
                <w:sz w:val="16"/>
                <w:szCs w:val="16"/>
              </w:rPr>
              <w:t xml:space="preserve">L'Aqua Bar : la vente de boissons fonctionne déjà ; le restaurant Madera y ajoute les repas et l'hiver</w:t>
            </w:r>
          </w:p>
        </w:tc>
      </w:tr>
    </w:tbl>
    <w:p>
      <w:pPr>
        <w:spacing w:after="80"/>
      </w:pPr>
    </w:p>
    <w:p>
      <w:pPr>
        <w:pStyle w:val="Heading3"/>
        <w:keepNext/>
        <w:spacing w:after="80" w:before="200"/>
      </w:pPr>
      <w:r>
        <w:rPr>
          <w:rFonts w:ascii="Calibri" w:cs="Calibri" w:eastAsia="Calibri" w:hAnsi="Calibri"/>
          <w:b/>
          <w:bCs/>
          <w:color w:val="2BB5BF"/>
          <w:sz w:val="22"/>
          <w:szCs w:val="22"/>
        </w:rPr>
        <w:t xml:space="preserve">Vingt unités Coolbox quatre saisons</w:t>
      </w:r>
    </w:p>
    <w:p>
      <w:pPr>
        <w:spacing w:after="120" w:before="0" w:line="276"/>
        <w:jc w:val="left"/>
      </w:pPr>
      <w:r>
        <w:rPr>
          <w:rFonts w:ascii="Calibri" w:cs="Calibri" w:eastAsia="Calibri" w:hAnsi="Calibri"/>
        </w:rPr>
        <w:t xml:space="preserve">Vingt unités 12×24 fabriquées en usine par Coolbox HPA (structure d'acier autoportante, isolation haute performance, thermopompe), apportées en nature au projet pour 2 120 000 $ : les 9 déjà en place sur les emplacements aménagés en 2022, et 11 livrées pour juin 2027 (délai usine de 12 à 16 semaines). Elles appartiennent à Havana et 100 % de leurs ventes lui reviennent. Les 9 unités déjà exploitées sur le site par Coolbox HPA ont produit 180 334 $ de ventes durant l'été 2026, dont 90 167 $ de part pour Havana.</w:t>
      </w:r>
    </w:p>
    <w:p>
      <w:pPr>
        <w:pStyle w:val="Heading3"/>
        <w:keepNext/>
        <w:spacing w:after="80" w:before="200"/>
      </w:pPr>
      <w:r>
        <w:rPr>
          <w:rFonts w:ascii="Calibri" w:cs="Calibri" w:eastAsia="Calibri" w:hAnsi="Calibri"/>
          <w:b/>
          <w:bCs/>
          <w:color w:val="2BB5BF"/>
          <w:sz w:val="22"/>
          <w:szCs w:val="22"/>
        </w:rPr>
        <w:t xml:space="preserve">Villas, chalets et terrains saisonniers</w:t>
      </w:r>
    </w:p>
    <w:p>
      <w:pPr>
        <w:spacing w:after="120" w:before="0" w:line="276"/>
        <w:jc w:val="left"/>
      </w:pPr>
      <w:r>
        <w:rPr>
          <w:rFonts w:ascii="Calibri" w:cs="Calibri" w:eastAsia="Calibri" w:hAnsi="Calibri"/>
        </w:rPr>
        <w:t xml:space="preserve">Achèvement des 13 villas en construction, hivernisation des 16 chalets (isolation, chauffage, plomberie) et conversion de 40 terrains 3 services existants en contrats saisonniers. Le saisonnier est encaissé avant la saison, de janvier à mars : c'est le revenu qui sécurise le printemps.</w:t>
      </w:r>
    </w:p>
    <w:p>
      <w:pPr>
        <w:pStyle w:val="Heading3"/>
        <w:keepNext/>
        <w:spacing w:after="80" w:before="200"/>
      </w:pPr>
      <w:r>
        <w:rPr>
          <w:rFonts w:ascii="Calibri" w:cs="Calibri" w:eastAsia="Calibri" w:hAnsi="Calibri"/>
          <w:b/>
          <w:bCs/>
          <w:color w:val="2BB5BF"/>
          <w:sz w:val="22"/>
          <w:szCs w:val="22"/>
        </w:rPr>
        <w:t xml:space="preserve">Développement futur</w:t>
      </w:r>
    </w:p>
    <w:p>
      <w:pPr>
        <w:spacing w:after="120" w:before="0" w:line="276"/>
        <w:jc w:val="left"/>
      </w:pPr>
      <w:r>
        <w:rPr>
          <w:rFonts w:ascii="Calibri" w:cs="Calibri" w:eastAsia="Calibri" w:hAnsi="Calibri"/>
        </w:rPr>
        <w:t xml:space="preserve">L'achèvement de la piscine intérieure et un spa quatre saisons constituent la prochaine étape de développement du site, prévue en 2029 et financée séparément sur les résultats du présent projet. Ils ne sont pas comptés dans les projections.</w:t>
      </w:r>
    </w:p>
    <w:p>
      <w:pPr>
        <w:pStyle w:val="Heading2"/>
        <w:keepNext/>
        <w:spacing w:after="120" w:before="300"/>
      </w:pPr>
      <w:r>
        <w:rPr>
          <w:rFonts w:ascii="Calibri" w:cs="Calibri" w:eastAsia="Calibri" w:hAnsi="Calibri"/>
          <w:b/>
          <w:bCs/>
          <w:color w:val="0C4A5E"/>
          <w:sz w:val="27"/>
          <w:szCs w:val="27"/>
        </w:rPr>
        <w:t xml:space="preserve">3.4 Échéancier de réalisation</w:t>
      </w:r>
    </w:p>
    <w:p>
      <w:pPr>
        <w:spacing w:after="40" w:before="120"/>
        <w:jc w:val="center"/>
      </w:pPr>
      <w:r>
        <w:drawing>
          <wp:inline distT="0" distB="0" distL="0" distR="0">
            <wp:extent cx="603885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38850" cy="2428875"/>
                    </a:xfrm>
                    <a:prstGeom prst="rect">
                      <a:avLst/>
                    </a:prstGeom>
                  </pic:spPr>
                </pic:pic>
              </a:graphicData>
            </a:graphic>
          </wp:inline>
        </w:drawing>
      </w:r>
    </w:p>
    <w:p>
      <w:pPr>
        <w:spacing w:after="200"/>
        <w:jc w:val="center"/>
      </w:pPr>
      <w:r>
        <w:rPr>
          <w:rFonts w:ascii="Calibri" w:cs="Calibri" w:eastAsia="Calibri" w:hAnsi="Calibri"/>
          <w:i/>
          <w:iCs/>
          <w:color w:val="6F8A90"/>
          <w:sz w:val="17"/>
          <w:szCs w:val="17"/>
        </w:rPr>
        <w:t xml:space="preserve">Figure 1 – Échéancier de réalisation</w:t>
      </w:r>
    </w:p>
    <w:p>
      <w:pPr>
        <w:spacing w:after="120" w:before="0" w:line="276"/>
        <w:jc w:val="left"/>
      </w:pPr>
      <w:r>
        <w:rPr>
          <w:rFonts w:ascii="Calibri" w:cs="Calibri" w:eastAsia="Calibri" w:hAnsi="Calibri"/>
        </w:rPr>
        <w:t xml:space="preserve">Les travaux se réalisent en basse saison, entre la clôture et juillet 2027, sans perturber l'exploitation estivale. Les unités Coolbox sont commandées à la clôture et livrées pour l'été. Les contrats saisonniers 2028 se vendent dès l'automne 2027.</w:t>
      </w:r>
    </w:p>
    <w:p>
      <w:pPr>
        <w:pStyle w:val="Heading2"/>
        <w:keepNext/>
        <w:spacing w:after="120" w:before="300"/>
      </w:pPr>
      <w:r>
        <w:rPr>
          <w:rFonts w:ascii="Calibri" w:cs="Calibri" w:eastAsia="Calibri" w:hAnsi="Calibri"/>
          <w:b/>
          <w:bCs/>
          <w:color w:val="0C4A5E"/>
          <w:sz w:val="27"/>
          <w:szCs w:val="27"/>
        </w:rPr>
        <w:t xml:space="preserve">3.5 Partenaires de réalisation</w:t>
      </w:r>
    </w:p>
    <w:p>
      <w:pPr>
        <w:pStyle w:val="ListParagraph"/>
        <w:numPr>
          <w:ilvl w:val="0"/>
          <w:numId w:val="2"/>
        </w:numPr>
        <w:spacing w:after="80" w:line="276"/>
      </w:pPr>
      <w:r>
        <w:rPr>
          <w:rFonts w:ascii="Calibri" w:cs="Calibri" w:eastAsia="Calibri" w:hAnsi="Calibri"/>
          <w:b/>
          <w:bCs/>
          <w:color w:val="1E2A2E"/>
          <w:sz w:val="21"/>
          <w:szCs w:val="21"/>
        </w:rPr>
        <w:t xml:space="preserve">Construction Prospère (Dolbeau-Mistassini), entrepreneur général : </w:t>
      </w:r>
      <w:r>
        <w:rPr>
          <w:rFonts w:ascii="Calibri" w:cs="Calibri" w:eastAsia="Calibri" w:hAnsi="Calibri"/>
          <w:color w:val="1E2A2E"/>
          <w:sz w:val="21"/>
          <w:szCs w:val="21"/>
        </w:rPr>
        <w:t xml:space="preserve">contrat clé en main à prix forfaitaire par composante, licence RBQ, cautionnements d'exécution et de paiement, retenue contractuelle de 10 % convertie en billet subordonné.</w:t>
      </w:r>
    </w:p>
    <w:p>
      <w:pPr>
        <w:pStyle w:val="ListParagraph"/>
        <w:numPr>
          <w:ilvl w:val="0"/>
          <w:numId w:val="2"/>
        </w:numPr>
        <w:spacing w:after="80" w:line="276"/>
      </w:pPr>
      <w:r>
        <w:rPr>
          <w:rFonts w:ascii="Calibri" w:cs="Calibri" w:eastAsia="Calibri" w:hAnsi="Calibri"/>
          <w:b/>
          <w:bCs/>
          <w:color w:val="1E2A2E"/>
          <w:sz w:val="21"/>
          <w:szCs w:val="21"/>
        </w:rPr>
        <w:t xml:space="preserve">Coolbox HPA, fabricant et partenaire : </w:t>
      </w:r>
      <w:r>
        <w:rPr>
          <w:rFonts w:ascii="Calibri" w:cs="Calibri" w:eastAsia="Calibri" w:hAnsi="Calibri"/>
          <w:color w:val="1E2A2E"/>
          <w:sz w:val="21"/>
          <w:szCs w:val="21"/>
        </w:rPr>
        <w:t xml:space="preserve">apport en nature de 20 unités quatre saisons (2 120 000 $), fiche technique, garantie du fabricant, plateforme de vente reservationcoolbox.ca (annexe J).</w:t>
      </w:r>
    </w:p>
    <w:p>
      <w:pPr>
        <w:pStyle w:val="ListParagraph"/>
        <w:numPr>
          <w:ilvl w:val="0"/>
          <w:numId w:val="2"/>
        </w:numPr>
        <w:spacing w:after="80" w:line="276"/>
      </w:pPr>
      <w:r>
        <w:rPr>
          <w:rFonts w:ascii="Calibri" w:cs="Calibri" w:eastAsia="Calibri" w:hAnsi="Calibri"/>
          <w:color w:val="1E2A2E"/>
          <w:sz w:val="21"/>
          <w:szCs w:val="21"/>
        </w:rPr>
        <w:t xml:space="preserve">Professionnels : architecte, ingénieur, firme comptable, évaluateur agréé mandaté par l'institution.</w:t>
      </w:r>
    </w:p>
    <w:p>
      <w:pPr>
        <w:spacing w:after="120" w:before="0" w:line="276"/>
        <w:jc w:val="left"/>
      </w:pPr>
      <w:r>
        <w:rPr>
          <w:rFonts w:ascii="Calibri" w:cs="Calibri" w:eastAsia="Calibri" w:hAnsi="Calibri"/>
        </w:rPr>
        <w:t xml:space="preserve">Les autorisations, permis, documents et pièces complémentaires requis seront fournis et pris en considération aux étapes subséquentes du projet, au fur et à mesure de sa progression, en collaboration avec l'institution financière et les professionnels mandatés.</w:t>
      </w:r>
    </w:p>
    <w:p>
      <w:pPr>
        <w:pStyle w:val="Heading2"/>
        <w:keepNext/>
        <w:spacing w:after="120" w:before="300"/>
      </w:pPr>
      <w:r>
        <w:rPr>
          <w:rFonts w:ascii="Calibri" w:cs="Calibri" w:eastAsia="Calibri" w:hAnsi="Calibri"/>
          <w:b/>
          <w:bCs/>
          <w:color w:val="0C4A5E"/>
          <w:sz w:val="27"/>
          <w:szCs w:val="27"/>
        </w:rPr>
        <w:t xml:space="preserve">3.6 Plan d'aménagement du site</w:t>
      </w:r>
    </w:p>
    <w:p>
      <w:pPr>
        <w:spacing w:after="120" w:before="0" w:line="276"/>
        <w:jc w:val="left"/>
      </w:pPr>
      <w:r>
        <w:rPr>
          <w:rFonts w:ascii="Calibri" w:cs="Calibri" w:eastAsia="Calibri" w:hAnsi="Calibri"/>
        </w:rPr>
        <w:t xml:space="preserve">Le plan ci-dessous localise les installations existantes : l'hôtel et les condos (02) à l'entrée, la piscine centrale (06) avec la scène et le café cubain (08), la zone de restauration (09), les cabanas (14), les emplacements Coolbox et le terrain de volleyball (16), l'amphithéâtre (18), le chapiteau (19) et les secteurs de terrains desservis. Les travaux du projet portent sur l'hôtel, le restaurant, les villas, les chalets, les emplacements Coolbox et les terrains existants convertis en saisonniers.</w:t>
      </w:r>
    </w:p>
    <w:tbl>
      <w:tblPr>
        <w:tblW w:type="dxa" w:w="9648"/>
        <w:tblBorders>
          <w:top w:val="none" w:color="FFFFFF" w:sz="0"/>
          <w:left w:val="none" w:color="FFFFFF" w:sz="0"/>
          <w:bottom w:val="none" w:color="FFFFFF" w:sz="0"/>
          <w:right w:val="none" w:color="FFFFFF" w:sz="0"/>
          <w:insideH w:val="none" w:color="FFFFFF" w:sz="0"/>
          <w:insideV w:val="none" w:color="FFFFFF" w:sz="0"/>
        </w:tblBorders>
      </w:tblPr>
      <w:tblGrid>
        <w:gridCol w:w="9648"/>
      </w:tblGrid>
      <w:tr>
        <w:tc>
          <w:tcPr>
            <w:tcW w:type="dxa" w:w="9648"/>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jc w:val="left"/>
            </w:pPr>
            <w:r>
              <w:drawing>
                <wp:inline distT="0" distB="0" distL="0" distR="0">
                  <wp:extent cx="5495925"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95925" cy="3552825"/>
                          </a:xfrm>
                          <a:prstGeom prst="rect">
                            <a:avLst/>
                          </a:prstGeom>
                        </pic:spPr>
                      </pic:pic>
                    </a:graphicData>
                  </a:graphic>
                </wp:inline>
              </w:drawing>
            </w:r>
          </w:p>
          <w:p>
            <w:pPr>
              <w:pBdr>
                <w:top w:val="single" w:color="2BB5BF" w:sz="6" w:space="3"/>
              </w:pBdr>
              <w:spacing w:after="0" w:line="240"/>
              <w:jc w:val="left"/>
            </w:pPr>
            <w:r>
              <w:rPr>
                <w:rFonts w:ascii="Calibri" w:cs="Calibri" w:eastAsia="Calibri" w:hAnsi="Calibri"/>
                <w:color w:val="6F8A90"/>
                <w:sz w:val="16"/>
                <w:szCs w:val="16"/>
              </w:rPr>
              <w:t xml:space="preserve">Plan d'aménagement actuel du site (source : Havana Resort)</w:t>
            </w:r>
          </w:p>
        </w:tc>
      </w:tr>
    </w:tbl>
    <w:p>
      <w:pPr>
        <w:spacing w:after="80"/>
      </w:pPr>
    </w:p>
    <w:tbl>
      <w:tblPr>
        <w:tblW w:type="dxa" w:w="9648"/>
        <w:tblBorders>
          <w:top w:val="none" w:color="FFFFFF" w:sz="0"/>
          <w:left w:val="none" w:color="FFFFFF" w:sz="0"/>
          <w:bottom w:val="single" w:color="0C4A5E" w:sz="8"/>
          <w:right w:val="none" w:color="FFFFFF" w:sz="0"/>
          <w:insideH w:val="single" w:color="CFE3E6" w:sz="4"/>
          <w:insideV w:val="none" w:color="FFFFFF" w:sz="0"/>
        </w:tblBorders>
      </w:tblPr>
      <w:tblGrid>
        <w:gridCol w:w="500"/>
        <w:gridCol w:w="2716"/>
        <w:gridCol w:w="500"/>
        <w:gridCol w:w="2716"/>
        <w:gridCol w:w="500"/>
        <w:gridCol w:w="2716"/>
      </w:tblGrid>
      <w:tr>
        <w:trPr>
          <w:tblHeader/>
        </w:trPr>
        <w:tc>
          <w:tcPr>
            <w:tcW w:type="dxa" w:w="500"/>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6"/>
                <w:szCs w:val="16"/>
              </w:rPr>
              <w:t xml:space="preserve">N°</w:t>
            </w:r>
          </w:p>
        </w:tc>
        <w:tc>
          <w:tcPr>
            <w:tcW w:type="dxa" w:w="2716"/>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6"/>
                <w:szCs w:val="16"/>
              </w:rPr>
              <w:t xml:space="preserve">Installation</w:t>
            </w:r>
          </w:p>
        </w:tc>
        <w:tc>
          <w:tcPr>
            <w:tcW w:type="dxa" w:w="500"/>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6"/>
                <w:szCs w:val="16"/>
              </w:rPr>
              <w:t xml:space="preserve">N°</w:t>
            </w:r>
          </w:p>
        </w:tc>
        <w:tc>
          <w:tcPr>
            <w:tcW w:type="dxa" w:w="2716"/>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6"/>
                <w:szCs w:val="16"/>
              </w:rPr>
              <w:t xml:space="preserve">Installation</w:t>
            </w:r>
          </w:p>
        </w:tc>
        <w:tc>
          <w:tcPr>
            <w:tcW w:type="dxa" w:w="500"/>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6"/>
                <w:szCs w:val="16"/>
              </w:rPr>
              <w:t xml:space="preserve">N°</w:t>
            </w:r>
          </w:p>
        </w:tc>
        <w:tc>
          <w:tcPr>
            <w:tcW w:type="dxa" w:w="2716"/>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6"/>
                <w:szCs w:val="16"/>
              </w:rPr>
              <w:t xml:space="preserve">Installation</w:t>
            </w:r>
          </w:p>
        </w:tc>
      </w:tr>
      <w:tr>
        <w:trPr>
          <w:cantSplit/>
        </w:trPr>
        <w:tc>
          <w:tcPr>
            <w:tcW w:type="dxa" w:w="5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01</w:t>
            </w:r>
          </w:p>
        </w:tc>
        <w:tc>
          <w:tcPr>
            <w:tcW w:type="dxa" w:w="2716"/>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Accueil</w:t>
            </w:r>
          </w:p>
        </w:tc>
        <w:tc>
          <w:tcPr>
            <w:tcW w:type="dxa" w:w="5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08</w:t>
            </w:r>
          </w:p>
        </w:tc>
        <w:tc>
          <w:tcPr>
            <w:tcW w:type="dxa" w:w="2716"/>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Scène et café cubain</w:t>
            </w:r>
          </w:p>
        </w:tc>
        <w:tc>
          <w:tcPr>
            <w:tcW w:type="dxa" w:w="5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15</w:t>
            </w:r>
          </w:p>
        </w:tc>
        <w:tc>
          <w:tcPr>
            <w:tcW w:type="dxa" w:w="2716"/>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Toilettes et stationnement</w:t>
            </w:r>
          </w:p>
        </w:tc>
      </w:tr>
      <w:tr>
        <w:trPr>
          <w:cantSplit/>
        </w:trPr>
        <w:tc>
          <w:tcPr>
            <w:tcW w:type="dxa" w:w="5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02</w:t>
            </w:r>
          </w:p>
        </w:tc>
        <w:tc>
          <w:tcPr>
            <w:tcW w:type="dxa" w:w="2716"/>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Hôtel, condos</w:t>
            </w:r>
          </w:p>
        </w:tc>
        <w:tc>
          <w:tcPr>
            <w:tcW w:type="dxa" w:w="5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09</w:t>
            </w:r>
          </w:p>
        </w:tc>
        <w:tc>
          <w:tcPr>
            <w:tcW w:type="dxa" w:w="2716"/>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Zone restauration</w:t>
            </w:r>
          </w:p>
        </w:tc>
        <w:tc>
          <w:tcPr>
            <w:tcW w:type="dxa" w:w="5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16</w:t>
            </w:r>
          </w:p>
        </w:tc>
        <w:tc>
          <w:tcPr>
            <w:tcW w:type="dxa" w:w="2716"/>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Coolbox et terrain de volleyball</w:t>
            </w:r>
          </w:p>
        </w:tc>
      </w:tr>
      <w:tr>
        <w:trPr>
          <w:cantSplit/>
        </w:trPr>
        <w:tc>
          <w:tcPr>
            <w:tcW w:type="dxa" w:w="5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03</w:t>
            </w:r>
          </w:p>
        </w:tc>
        <w:tc>
          <w:tcPr>
            <w:tcW w:type="dxa" w:w="2716"/>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Parc, jeux pour enfants</w:t>
            </w:r>
          </w:p>
        </w:tc>
        <w:tc>
          <w:tcPr>
            <w:tcW w:type="dxa" w:w="5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10</w:t>
            </w:r>
          </w:p>
        </w:tc>
        <w:tc>
          <w:tcPr>
            <w:tcW w:type="dxa" w:w="2716"/>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Salle communautaire</w:t>
            </w:r>
          </w:p>
        </w:tc>
        <w:tc>
          <w:tcPr>
            <w:tcW w:type="dxa" w:w="5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17</w:t>
            </w:r>
          </w:p>
        </w:tc>
        <w:tc>
          <w:tcPr>
            <w:tcW w:type="dxa" w:w="2716"/>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Toilettes, douches, buanderie</w:t>
            </w:r>
          </w:p>
        </w:tc>
      </w:tr>
      <w:tr>
        <w:trPr>
          <w:cantSplit/>
        </w:trPr>
        <w:tc>
          <w:tcPr>
            <w:tcW w:type="dxa" w:w="5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04</w:t>
            </w:r>
          </w:p>
        </w:tc>
        <w:tc>
          <w:tcPr>
            <w:tcW w:type="dxa" w:w="2716"/>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Kiosque de mangues</w:t>
            </w:r>
          </w:p>
        </w:tc>
        <w:tc>
          <w:tcPr>
            <w:tcW w:type="dxa" w:w="5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11</w:t>
            </w:r>
          </w:p>
        </w:tc>
        <w:tc>
          <w:tcPr>
            <w:tcW w:type="dxa" w:w="2716"/>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Dépanneur et cantine</w:t>
            </w:r>
          </w:p>
        </w:tc>
        <w:tc>
          <w:tcPr>
            <w:tcW w:type="dxa" w:w="5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18</w:t>
            </w:r>
          </w:p>
        </w:tc>
        <w:tc>
          <w:tcPr>
            <w:tcW w:type="dxa" w:w="2716"/>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Amphithéâtre</w:t>
            </w:r>
          </w:p>
        </w:tc>
      </w:tr>
      <w:tr>
        <w:trPr>
          <w:cantSplit/>
        </w:trPr>
        <w:tc>
          <w:tcPr>
            <w:tcW w:type="dxa" w:w="5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05</w:t>
            </w:r>
          </w:p>
        </w:tc>
        <w:tc>
          <w:tcPr>
            <w:tcW w:type="dxa" w:w="2716"/>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Jeux d'eau</w:t>
            </w:r>
          </w:p>
        </w:tc>
        <w:tc>
          <w:tcPr>
            <w:tcW w:type="dxa" w:w="5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12</w:t>
            </w:r>
          </w:p>
        </w:tc>
        <w:tc>
          <w:tcPr>
            <w:tcW w:type="dxa" w:w="2716"/>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Soucoupe volante</w:t>
            </w:r>
          </w:p>
        </w:tc>
        <w:tc>
          <w:tcPr>
            <w:tcW w:type="dxa" w:w="5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19</w:t>
            </w:r>
          </w:p>
        </w:tc>
        <w:tc>
          <w:tcPr>
            <w:tcW w:type="dxa" w:w="2716"/>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Chapiteau</w:t>
            </w:r>
          </w:p>
        </w:tc>
      </w:tr>
      <w:tr>
        <w:trPr>
          <w:cantSplit/>
        </w:trPr>
        <w:tc>
          <w:tcPr>
            <w:tcW w:type="dxa" w:w="5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06</w:t>
            </w:r>
          </w:p>
        </w:tc>
        <w:tc>
          <w:tcPr>
            <w:tcW w:type="dxa" w:w="2716"/>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Piscine</w:t>
            </w:r>
          </w:p>
        </w:tc>
        <w:tc>
          <w:tcPr>
            <w:tcW w:type="dxa" w:w="5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13</w:t>
            </w:r>
          </w:p>
        </w:tc>
        <w:tc>
          <w:tcPr>
            <w:tcW w:type="dxa" w:w="2716"/>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Location de triporteurs</w:t>
            </w:r>
          </w:p>
        </w:tc>
        <w:tc>
          <w:tcPr>
            <w:tcW w:type="dxa" w:w="5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20</w:t>
            </w:r>
          </w:p>
        </w:tc>
        <w:tc>
          <w:tcPr>
            <w:tcW w:type="dxa" w:w="2716"/>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Boutique Havana et informations</w:t>
            </w:r>
          </w:p>
        </w:tc>
      </w:tr>
      <w:tr>
        <w:trPr>
          <w:cantSplit/>
        </w:trPr>
        <w:tc>
          <w:tcPr>
            <w:tcW w:type="dxa" w:w="5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07</w:t>
            </w:r>
          </w:p>
        </w:tc>
        <w:tc>
          <w:tcPr>
            <w:tcW w:type="dxa" w:w="2716"/>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Toilettes</w:t>
            </w:r>
          </w:p>
        </w:tc>
        <w:tc>
          <w:tcPr>
            <w:tcW w:type="dxa" w:w="5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14</w:t>
            </w:r>
          </w:p>
        </w:tc>
        <w:tc>
          <w:tcPr>
            <w:tcW w:type="dxa" w:w="2716"/>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Cabanas</w:t>
            </w:r>
          </w:p>
        </w:tc>
        <w:tc>
          <w:tcPr>
            <w:tcW w:type="dxa" w:w="5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21</w:t>
            </w:r>
          </w:p>
        </w:tc>
        <w:tc>
          <w:tcPr>
            <w:tcW w:type="dxa" w:w="2716"/>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Jeux gonflables</w:t>
            </w:r>
          </w:p>
        </w:tc>
      </w:tr>
    </w:tbl>
    <w:p>
      <w:pPr>
        <w:pageBreakBefore/>
        <w:spacing w:after="0" w:before="0" w:line="20" w:lineRule="exact"/>
      </w:pPr>
      <w:r>
        <w:drawing>
          <wp:anchor distT="0" distB="0" distL="0" distR="0" simplePos="0" allowOverlap="1" behindDoc="1" locked="1" layoutInCell="0" relativeHeight="3838575">
            <wp:simplePos x="0" y="0"/>
            <wp:positionH relativeFrom="page">
              <wp:posOffset>0</wp:posOffset>
            </wp:positionH>
            <wp:positionV relativeFrom="page">
              <wp:posOffset>566928</wp:posOffset>
            </wp:positionV>
            <wp:extent cx="7772400" cy="3838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7772400" cy="3838575"/>
                    </a:xfrm>
                    <a:prstGeom prst="rect">
                      <a:avLst/>
                    </a:prstGeom>
                  </pic:spPr>
                </pic:pic>
              </a:graphicData>
            </a:graphic>
          </wp:anchor>
        </w:drawing>
      </w:r>
    </w:p>
    <w:p>
      <w:pPr>
        <w:spacing w:after="0" w:before="0" w:line="3800" w:lineRule="exact"/>
      </w:pPr>
    </w:p>
    <w:p>
      <w:pPr>
        <w:spacing w:after="60" w:before="0"/>
      </w:pPr>
      <w:r>
        <w:rPr>
          <w:rFonts w:ascii="Calibri" w:cs="Calibri" w:eastAsia="Calibri" w:hAnsi="Calibri"/>
          <w:b/>
          <w:bCs/>
          <w:color w:val="F4B942"/>
          <w:sz w:val="26"/>
          <w:szCs w:val="26"/>
        </w:rPr>
        <w:t xml:space="preserve">04</w:t>
      </w:r>
    </w:p>
    <w:p>
      <w:pPr>
        <w:pStyle w:val="Heading1"/>
        <w:spacing w:after="0" w:before="0"/>
      </w:pPr>
      <w:r>
        <w:rPr>
          <w:rFonts w:ascii="Calibri" w:cs="Calibri" w:eastAsia="Calibri" w:hAnsi="Calibri"/>
          <w:b/>
          <w:bCs/>
          <w:color w:val="FFFFFF"/>
          <w:sz w:val="46"/>
          <w:szCs w:val="46"/>
        </w:rPr>
        <w:t xml:space="preserve">Analyse du marché</w:t>
      </w:r>
    </w:p>
    <w:p>
      <w:pPr>
        <w:spacing w:after="0" w:before="0" w:line="1250" w:lineRule="exact"/>
      </w:pPr>
    </w:p>
    <w:p>
      <w:pPr>
        <w:spacing w:after="240" w:before="0" w:line="300"/>
      </w:pPr>
      <w:r>
        <w:rPr>
          <w:rFonts w:ascii="Georgia" w:cs="Georgia" w:eastAsia="Georgia" w:hAnsi="Georgia"/>
          <w:i/>
          <w:iCs/>
          <w:color w:val="2BB5BF"/>
          <w:sz w:val="25"/>
          <w:szCs w:val="25"/>
        </w:rPr>
        <w:t xml:space="preserve">Un marché de proximité de plusieurs millions de personnes, une région quatre saisons établie, et un produit hivernal déjà vendu ailleurs par le réseau Coolbox.</w:t>
      </w:r>
    </w:p>
    <w:p>
      <w:pPr>
        <w:pStyle w:val="Heading2"/>
        <w:keepNext/>
        <w:spacing w:after="120" w:before="300"/>
      </w:pPr>
      <w:r>
        <w:rPr>
          <w:rFonts w:ascii="Calibri" w:cs="Calibri" w:eastAsia="Calibri" w:hAnsi="Calibri"/>
          <w:b/>
          <w:bCs/>
          <w:color w:val="0C4A5E"/>
          <w:sz w:val="27"/>
          <w:szCs w:val="27"/>
        </w:rPr>
        <w:t xml:space="preserve">4.1 Indicateurs de marché</w:t>
      </w:r>
    </w:p>
    <w:p>
      <w:pPr>
        <w:spacing w:after="120" w:before="0" w:line="276"/>
        <w:jc w:val="left"/>
      </w:pPr>
      <w:r>
        <w:rPr>
          <w:rFonts w:ascii="Calibri" w:cs="Calibri" w:eastAsia="Calibri" w:hAnsi="Calibri"/>
        </w:rPr>
        <w:t xml:space="preserve">Sources nommées.</w:t>
      </w:r>
    </w:p>
    <w:tbl>
      <w:tblPr>
        <w:tblW w:type="dxa" w:w="9648"/>
        <w:tblBorders>
          <w:top w:val="none" w:color="FFFFFF" w:sz="0"/>
          <w:left w:val="none" w:color="FFFFFF" w:sz="0"/>
          <w:bottom w:val="single" w:color="0C4A5E" w:sz="8"/>
          <w:right w:val="none" w:color="FFFFFF" w:sz="0"/>
          <w:insideH w:val="single" w:color="CFE3E6" w:sz="4"/>
          <w:insideV w:val="none" w:color="FFFFFF" w:sz="0"/>
        </w:tblBorders>
      </w:tblPr>
      <w:tblGrid>
        <w:gridCol w:w="3400"/>
        <w:gridCol w:w="3000"/>
        <w:gridCol w:w="3248"/>
      </w:tblGrid>
      <w:tr>
        <w:trPr>
          <w:tblHeader/>
        </w:trPr>
        <w:tc>
          <w:tcPr>
            <w:tcW w:type="dxa" w:w="3400"/>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7"/>
                <w:szCs w:val="17"/>
              </w:rPr>
              <w:t xml:space="preserve">Indicateur</w:t>
            </w:r>
          </w:p>
        </w:tc>
        <w:tc>
          <w:tcPr>
            <w:tcW w:type="dxa" w:w="3000"/>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7"/>
                <w:szCs w:val="17"/>
              </w:rPr>
              <w:t xml:space="preserve">Valeur</w:t>
            </w:r>
          </w:p>
        </w:tc>
        <w:tc>
          <w:tcPr>
            <w:tcW w:type="dxa" w:w="3248"/>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7"/>
                <w:szCs w:val="17"/>
              </w:rPr>
              <w:t xml:space="preserve">Source</w:t>
            </w:r>
          </w:p>
        </w:tc>
      </w:tr>
      <w:tr>
        <w:trPr>
          <w:cantSplit/>
        </w:trPr>
        <w:tc>
          <w:tcPr>
            <w:tcW w:type="dxa" w:w="34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Occupation des campings du Québec, juin à août 2025</w:t>
            </w:r>
          </w:p>
        </w:tc>
        <w:tc>
          <w:tcPr>
            <w:tcW w:type="dxa" w:w="30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 75 % (74 % en 2024)</w:t>
            </w:r>
          </w:p>
        </w:tc>
        <w:tc>
          <w:tcPr>
            <w:tcW w:type="dxa" w:w="32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Camping Québec, bilan de fréquentation 2025</w:t>
            </w:r>
          </w:p>
        </w:tc>
      </w:tr>
      <w:tr>
        <w:trPr>
          <w:cantSplit/>
        </w:trPr>
        <w:tc>
          <w:tcPr>
            <w:tcW w:type="dxa" w:w="34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Occupation, Cantons-de-l'Est, été 2025</w:t>
            </w:r>
          </w:p>
        </w:tc>
        <w:tc>
          <w:tcPr>
            <w:tcW w:type="dxa" w:w="30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 76 %</w:t>
            </w:r>
          </w:p>
        </w:tc>
        <w:tc>
          <w:tcPr>
            <w:tcW w:type="dxa" w:w="3248"/>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Camping Québec, bilan 2025</w:t>
            </w:r>
          </w:p>
        </w:tc>
      </w:tr>
      <w:tr>
        <w:trPr>
          <w:cantSplit/>
        </w:trPr>
        <w:tc>
          <w:tcPr>
            <w:tcW w:type="dxa" w:w="34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Occupation des grands campings, 2015-2020</w:t>
            </w:r>
          </w:p>
        </w:tc>
        <w:tc>
          <w:tcPr>
            <w:tcW w:type="dxa" w:w="30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75 % à 78 % ; saisonniers ≈ 62 % des sites</w:t>
            </w:r>
          </w:p>
        </w:tc>
        <w:tc>
          <w:tcPr>
            <w:tcW w:type="dxa" w:w="32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Rapport Grenier 2021, p. 94-100 (Camping Québec)</w:t>
            </w:r>
          </w:p>
        </w:tc>
      </w:tr>
      <w:tr>
        <w:trPr>
          <w:cantSplit/>
        </w:trPr>
        <w:tc>
          <w:tcPr>
            <w:tcW w:type="dxa" w:w="34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Occupation hôtelière, Cantons-de-l'Est, hiver 2025-2026</w:t>
            </w:r>
          </w:p>
        </w:tc>
        <w:tc>
          <w:tcPr>
            <w:tcW w:type="dxa" w:w="30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 42 %</w:t>
            </w:r>
          </w:p>
        </w:tc>
        <w:tc>
          <w:tcPr>
            <w:tcW w:type="dxa" w:w="3248"/>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Tourisme Cantons-de-l'Est, communiqué hiver 2025-26</w:t>
            </w:r>
          </w:p>
        </w:tc>
      </w:tr>
      <w:tr>
        <w:trPr>
          <w:cantSplit/>
        </w:trPr>
        <w:tc>
          <w:tcPr>
            <w:tcW w:type="dxa" w:w="34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Bassin à moins de 2 heures de route</w:t>
            </w:r>
          </w:p>
        </w:tc>
        <w:tc>
          <w:tcPr>
            <w:tcW w:type="dxa" w:w="30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RMR de Montréal ≈ 4,3 M, RMR de Sherbrooke ≈ 0,23 M, Granby, Drummondville, Saint-Hyacinthe</w:t>
            </w:r>
          </w:p>
        </w:tc>
        <w:tc>
          <w:tcPr>
            <w:tcW w:type="dxa" w:w="32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Statistique Canada, recensement 2021</w:t>
            </w:r>
          </w:p>
        </w:tc>
      </w:tr>
      <w:tr>
        <w:trPr>
          <w:cantSplit/>
        </w:trPr>
        <w:tc>
          <w:tcPr>
            <w:tcW w:type="dxa" w:w="34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Population d'origine latino-américaine, RMR de Montréal</w:t>
            </w:r>
          </w:p>
        </w:tc>
        <w:tc>
          <w:tcPr>
            <w:tcW w:type="dxa" w:w="30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 137 850 (3,3 %)</w:t>
            </w:r>
          </w:p>
        </w:tc>
        <w:tc>
          <w:tcPr>
            <w:tcW w:type="dxa" w:w="3248"/>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Statistique Canada, recensement 2021</w:t>
            </w:r>
          </w:p>
        </w:tc>
      </w:tr>
      <w:tr>
        <w:trPr>
          <w:cantSplit/>
        </w:trPr>
        <w:tc>
          <w:tcPr>
            <w:tcW w:type="dxa" w:w="34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Distance</w:t>
            </w:r>
          </w:p>
        </w:tc>
        <w:tc>
          <w:tcPr>
            <w:tcW w:type="dxa" w:w="30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1 h 15 de Montréal, 35 min de Sherbrooke et de Drummondville</w:t>
            </w:r>
          </w:p>
        </w:tc>
        <w:tc>
          <w:tcPr>
            <w:tcW w:type="dxa" w:w="32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Site havanaresort.ca</w:t>
            </w:r>
          </w:p>
        </w:tc>
      </w:tr>
    </w:tbl>
    <w:p>
      <w:pPr>
        <w:spacing w:after="120"/>
      </w:pPr>
    </w:p>
    <w:p>
      <w:pPr>
        <w:pStyle w:val="Heading2"/>
        <w:keepNext/>
        <w:spacing w:after="120" w:before="300"/>
      </w:pPr>
      <w:r>
        <w:rPr>
          <w:rFonts w:ascii="Calibri" w:cs="Calibri" w:eastAsia="Calibri" w:hAnsi="Calibri"/>
          <w:b/>
          <w:bCs/>
          <w:color w:val="0C4A5E"/>
          <w:sz w:val="27"/>
          <w:szCs w:val="27"/>
        </w:rPr>
        <w:t xml:space="preserve">4.2 Tendances</w:t>
      </w:r>
    </w:p>
    <w:p>
      <w:pPr>
        <w:pStyle w:val="ListParagraph"/>
        <w:numPr>
          <w:ilvl w:val="0"/>
          <w:numId w:val="2"/>
        </w:numPr>
        <w:spacing w:after="80" w:line="276"/>
      </w:pPr>
      <w:r>
        <w:rPr>
          <w:rFonts w:ascii="Calibri" w:cs="Calibri" w:eastAsia="Calibri" w:hAnsi="Calibri"/>
          <w:b/>
          <w:bCs/>
          <w:color w:val="1E2A2E"/>
          <w:sz w:val="21"/>
          <w:szCs w:val="21"/>
        </w:rPr>
        <w:t xml:space="preserve">Le confort et le prêt-à-camper : </w:t>
      </w:r>
      <w:r>
        <w:rPr>
          <w:rFonts w:ascii="Calibri" w:cs="Calibri" w:eastAsia="Calibri" w:hAnsi="Calibri"/>
          <w:color w:val="1E2A2E"/>
          <w:sz w:val="21"/>
          <w:szCs w:val="21"/>
        </w:rPr>
        <w:t xml:space="preserve">cabanas, chalets et unités tout équipées croissent plus vite que le camping traditionnel et commandent des tarifs deux à trois fois supérieurs ; à Havana, les chalets ont progressé de 24 % en 2026.</w:t>
      </w:r>
    </w:p>
    <w:p>
      <w:pPr>
        <w:pStyle w:val="ListParagraph"/>
        <w:numPr>
          <w:ilvl w:val="0"/>
          <w:numId w:val="2"/>
        </w:numPr>
        <w:spacing w:after="80" w:line="276"/>
      </w:pPr>
      <w:r>
        <w:rPr>
          <w:rFonts w:ascii="Calibri" w:cs="Calibri" w:eastAsia="Calibri" w:hAnsi="Calibri"/>
          <w:b/>
          <w:bCs/>
          <w:color w:val="1E2A2E"/>
          <w:sz w:val="21"/>
          <w:szCs w:val="21"/>
        </w:rPr>
        <w:t xml:space="preserve">L'expérience et l'animation : </w:t>
      </w:r>
      <w:r>
        <w:rPr>
          <w:rFonts w:ascii="Calibri" w:cs="Calibri" w:eastAsia="Calibri" w:hAnsi="Calibri"/>
          <w:color w:val="1E2A2E"/>
          <w:sz w:val="21"/>
          <w:szCs w:val="21"/>
        </w:rPr>
        <w:t xml:space="preserve">les clients choisissent un lieu pour ce qu'ils y vivront autant que pour l'hébergement.</w:t>
      </w:r>
    </w:p>
    <w:p>
      <w:pPr>
        <w:pStyle w:val="ListParagraph"/>
        <w:numPr>
          <w:ilvl w:val="0"/>
          <w:numId w:val="2"/>
        </w:numPr>
        <w:spacing w:after="80" w:line="276"/>
      </w:pPr>
      <w:r>
        <w:rPr>
          <w:rFonts w:ascii="Calibri" w:cs="Calibri" w:eastAsia="Calibri" w:hAnsi="Calibri"/>
          <w:b/>
          <w:bCs/>
          <w:color w:val="1E2A2E"/>
          <w:sz w:val="21"/>
          <w:szCs w:val="21"/>
        </w:rPr>
        <w:t xml:space="preserve">Les quatre saisons : </w:t>
      </w:r>
      <w:r>
        <w:rPr>
          <w:rFonts w:ascii="Calibri" w:cs="Calibri" w:eastAsia="Calibri" w:hAnsi="Calibri"/>
          <w:color w:val="1E2A2E"/>
          <w:sz w:val="21"/>
          <w:szCs w:val="21"/>
        </w:rPr>
        <w:t xml:space="preserve">spas nordiques, sentiers illuminés et hébergements chauffés ont créé un marché hivernal de proximité dans les Cantons-de-l'Est.</w:t>
      </w:r>
    </w:p>
    <w:p>
      <w:pPr>
        <w:pStyle w:val="Heading2"/>
        <w:keepNext/>
        <w:spacing w:after="120" w:before="300"/>
      </w:pPr>
      <w:r>
        <w:rPr>
          <w:rFonts w:ascii="Calibri" w:cs="Calibri" w:eastAsia="Calibri" w:hAnsi="Calibri"/>
          <w:b/>
          <w:bCs/>
          <w:color w:val="0C4A5E"/>
          <w:sz w:val="27"/>
          <w:szCs w:val="27"/>
        </w:rPr>
        <w:t xml:space="preserve">4.3 La preuve de l'hiver par le produit</w:t>
      </w:r>
    </w:p>
    <w:p>
      <w:pPr>
        <w:spacing w:after="120" w:before="0" w:line="276"/>
        <w:jc w:val="left"/>
      </w:pPr>
      <w:r>
        <w:rPr>
          <w:rFonts w:ascii="Calibri" w:cs="Calibri" w:eastAsia="Calibri" w:hAnsi="Calibri"/>
        </w:rPr>
        <w:t xml:space="preserve">L'occupation hivernale projetée ne repose pas sur une hypothèse générale mais sur un produit qui existe : les unités Coolbox sont exploitées l'hiver sur d'autres destinations du réseau (fiches de ventes par site, annexe J). À Havana, elles n'ont été exploitées qu'en été jusqu'en 2026. Le plan retient pour les 20 unités du site une occupation hivernale de 30 % en An 1 à 40 % en An 5 (chalets : 12 % à 25 %), sous les taux observés dans le réseau.</w:t>
      </w:r>
    </w:p>
    <w:p>
      <w:pPr>
        <w:pStyle w:val="Heading2"/>
        <w:keepNext/>
        <w:spacing w:after="120" w:before="300"/>
      </w:pPr>
      <w:r>
        <w:rPr>
          <w:rFonts w:ascii="Calibri" w:cs="Calibri" w:eastAsia="Calibri" w:hAnsi="Calibri"/>
          <w:b/>
          <w:bCs/>
          <w:color w:val="0C4A5E"/>
          <w:sz w:val="27"/>
          <w:szCs w:val="27"/>
        </w:rPr>
        <w:t xml:space="preserve">4.4 Clientèle cible</w:t>
      </w:r>
    </w:p>
    <w:tbl>
      <w:tblPr>
        <w:tblW w:type="dxa" w:w="9648"/>
        <w:tblBorders>
          <w:top w:val="none" w:color="FFFFFF" w:sz="0"/>
          <w:left w:val="none" w:color="FFFFFF" w:sz="0"/>
          <w:bottom w:val="single" w:color="0C4A5E" w:sz="8"/>
          <w:right w:val="none" w:color="FFFFFF" w:sz="0"/>
          <w:insideH w:val="single" w:color="CFE3E6" w:sz="4"/>
          <w:insideV w:val="none" w:color="FFFFFF" w:sz="0"/>
        </w:tblBorders>
      </w:tblPr>
      <w:tblGrid>
        <w:gridCol w:w="2000"/>
        <w:gridCol w:w="2800"/>
        <w:gridCol w:w="3100"/>
        <w:gridCol w:w="1748"/>
      </w:tblGrid>
      <w:tr>
        <w:trPr>
          <w:tblHeader/>
        </w:trPr>
        <w:tc>
          <w:tcPr>
            <w:tcW w:type="dxa" w:w="2000"/>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7"/>
                <w:szCs w:val="17"/>
              </w:rPr>
              <w:t xml:space="preserve">Segment</w:t>
            </w:r>
          </w:p>
        </w:tc>
        <w:tc>
          <w:tcPr>
            <w:tcW w:type="dxa" w:w="2800"/>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7"/>
                <w:szCs w:val="17"/>
              </w:rPr>
              <w:t xml:space="preserve">Profil</w:t>
            </w:r>
          </w:p>
        </w:tc>
        <w:tc>
          <w:tcPr>
            <w:tcW w:type="dxa" w:w="3100"/>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7"/>
                <w:szCs w:val="17"/>
              </w:rPr>
              <w:t xml:space="preserve">Offre principale</w:t>
            </w:r>
          </w:p>
        </w:tc>
        <w:tc>
          <w:tcPr>
            <w:tcW w:type="dxa" w:w="1748"/>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7"/>
                <w:szCs w:val="17"/>
              </w:rPr>
              <w:t xml:space="preserve">Saison</w:t>
            </w:r>
          </w:p>
        </w:tc>
      </w:tr>
      <w:tr>
        <w:trPr>
          <w:cantSplit/>
        </w:trPr>
        <w:tc>
          <w:tcPr>
            <w:tcW w:type="dxa" w:w="20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Familles</w:t>
            </w:r>
          </w:p>
        </w:tc>
        <w:tc>
          <w:tcPr>
            <w:tcW w:type="dxa" w:w="28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Ménages avec enfants, rayon de 2 heures</w:t>
            </w:r>
          </w:p>
        </w:tc>
        <w:tc>
          <w:tcPr>
            <w:tcW w:type="dxa" w:w="31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Terrains, cabanas, chalets, Coolbox, piscine, animation</w:t>
            </w:r>
          </w:p>
        </w:tc>
        <w:tc>
          <w:tcPr>
            <w:tcW w:type="dxa" w:w="17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Été</w:t>
            </w:r>
          </w:p>
        </w:tc>
      </w:tr>
      <w:tr>
        <w:trPr>
          <w:cantSplit/>
        </w:trPr>
        <w:tc>
          <w:tcPr>
            <w:tcW w:type="dxa" w:w="20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Couples et groupes d'amis</w:t>
            </w:r>
          </w:p>
        </w:tc>
        <w:tc>
          <w:tcPr>
            <w:tcW w:type="dxa" w:w="28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25 à 55 ans, séjours courts</w:t>
            </w:r>
          </w:p>
        </w:tc>
        <w:tc>
          <w:tcPr>
            <w:tcW w:type="dxa" w:w="31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Villas, hôtel, Coolbox, restaurant, spectacles</w:t>
            </w:r>
          </w:p>
        </w:tc>
        <w:tc>
          <w:tcPr>
            <w:tcW w:type="dxa" w:w="1748"/>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4 saisons</w:t>
            </w:r>
          </w:p>
        </w:tc>
      </w:tr>
      <w:tr>
        <w:trPr>
          <w:cantSplit/>
        </w:trPr>
        <w:tc>
          <w:tcPr>
            <w:tcW w:type="dxa" w:w="20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Saisonniers</w:t>
            </w:r>
          </w:p>
        </w:tc>
        <w:tc>
          <w:tcPr>
            <w:tcW w:type="dxa" w:w="28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Retraités et familles fidèles</w:t>
            </w:r>
          </w:p>
        </w:tc>
        <w:tc>
          <w:tcPr>
            <w:tcW w:type="dxa" w:w="31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Terrains saisonniers (jusqu'à 70)</w:t>
            </w:r>
          </w:p>
        </w:tc>
        <w:tc>
          <w:tcPr>
            <w:tcW w:type="dxa" w:w="17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Mai à octobre</w:t>
            </w:r>
          </w:p>
        </w:tc>
      </w:tr>
      <w:tr>
        <w:trPr>
          <w:cantSplit/>
        </w:trPr>
        <w:tc>
          <w:tcPr>
            <w:tcW w:type="dxa" w:w="20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Entreprises et groupes</w:t>
            </w:r>
          </w:p>
        </w:tc>
        <w:tc>
          <w:tcPr>
            <w:tcW w:type="dxa" w:w="28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Réunions, retraites, mariages</w:t>
            </w:r>
          </w:p>
        </w:tc>
        <w:tc>
          <w:tcPr>
            <w:tcW w:type="dxa" w:w="31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Hôtel, salle de conférence, restaurant</w:t>
            </w:r>
          </w:p>
        </w:tc>
        <w:tc>
          <w:tcPr>
            <w:tcW w:type="dxa" w:w="1748"/>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Automne à printemps</w:t>
            </w:r>
          </w:p>
        </w:tc>
      </w:tr>
      <w:tr>
        <w:trPr>
          <w:cantSplit/>
        </w:trPr>
        <w:tc>
          <w:tcPr>
            <w:tcW w:type="dxa" w:w="20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Communauté cubaine et latino-américaine</w:t>
            </w:r>
          </w:p>
        </w:tc>
        <w:tc>
          <w:tcPr>
            <w:tcW w:type="dxa" w:w="28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 137 850 personnes d'origine latino-américaine dans la RMR de Montréal</w:t>
            </w:r>
          </w:p>
        </w:tc>
        <w:tc>
          <w:tcPr>
            <w:tcW w:type="dxa" w:w="31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Événements, festivals, restauration</w:t>
            </w:r>
          </w:p>
        </w:tc>
        <w:tc>
          <w:tcPr>
            <w:tcW w:type="dxa" w:w="17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4 saisons</w:t>
            </w:r>
          </w:p>
        </w:tc>
      </w:tr>
      <w:tr>
        <w:trPr>
          <w:cantSplit/>
        </w:trPr>
        <w:tc>
          <w:tcPr>
            <w:tcW w:type="dxa" w:w="20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Clientèle de jour</w:t>
            </w:r>
          </w:p>
        </w:tc>
        <w:tc>
          <w:tcPr>
            <w:tcW w:type="dxa" w:w="28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Résidents de la région</w:t>
            </w:r>
          </w:p>
        </w:tc>
        <w:tc>
          <w:tcPr>
            <w:tcW w:type="dxa" w:w="31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Restaurant, événements</w:t>
            </w:r>
          </w:p>
        </w:tc>
        <w:tc>
          <w:tcPr>
            <w:tcW w:type="dxa" w:w="1748"/>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4 saisons</w:t>
            </w:r>
          </w:p>
        </w:tc>
      </w:tr>
    </w:tbl>
    <w:p>
      <w:pPr>
        <w:pStyle w:val="Heading2"/>
        <w:keepNext/>
        <w:spacing w:after="120" w:before="300"/>
      </w:pPr>
      <w:r>
        <w:rPr>
          <w:rFonts w:ascii="Calibri" w:cs="Calibri" w:eastAsia="Calibri" w:hAnsi="Calibri"/>
          <w:b/>
          <w:bCs/>
          <w:color w:val="0C4A5E"/>
          <w:sz w:val="27"/>
          <w:szCs w:val="27"/>
        </w:rPr>
        <w:t xml:space="preserve">4.5 Concurrence</w:t>
      </w:r>
    </w:p>
    <w:p>
      <w:pPr>
        <w:spacing w:after="120" w:before="0" w:line="276"/>
        <w:jc w:val="left"/>
      </w:pPr>
      <w:r>
        <w:rPr>
          <w:rFonts w:ascii="Calibri" w:cs="Calibri" w:eastAsia="Calibri" w:hAnsi="Calibri"/>
        </w:rPr>
        <w:t xml:space="preserve">Aucun établissement québécois n'offre une thématique cubaine intégrée ; la concurrence est indirecte. Les établissements ci-dessous situent les tarifs et les capacités de la région.</w:t>
      </w:r>
    </w:p>
    <w:tbl>
      <w:tblPr>
        <w:tblW w:type="dxa" w:w="9648"/>
        <w:tblBorders>
          <w:top w:val="none" w:color="FFFFFF" w:sz="0"/>
          <w:left w:val="none" w:color="FFFFFF" w:sz="0"/>
          <w:bottom w:val="single" w:color="0C4A5E" w:sz="8"/>
          <w:right w:val="none" w:color="FFFFFF" w:sz="0"/>
          <w:insideH w:val="single" w:color="CFE3E6" w:sz="4"/>
          <w:insideV w:val="none" w:color="FFFFFF" w:sz="0"/>
        </w:tblBorders>
      </w:tblPr>
      <w:tblGrid>
        <w:gridCol w:w="2500"/>
        <w:gridCol w:w="2400"/>
        <w:gridCol w:w="2200"/>
        <w:gridCol w:w="2548"/>
      </w:tblGrid>
      <w:tr>
        <w:trPr>
          <w:tblHeader/>
        </w:trPr>
        <w:tc>
          <w:tcPr>
            <w:tcW w:type="dxa" w:w="2500"/>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6"/>
                <w:szCs w:val="16"/>
              </w:rPr>
              <w:t xml:space="preserve">Établissement</w:t>
            </w:r>
          </w:p>
        </w:tc>
        <w:tc>
          <w:tcPr>
            <w:tcW w:type="dxa" w:w="2400"/>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6"/>
                <w:szCs w:val="16"/>
              </w:rPr>
              <w:t xml:space="preserve">Offre</w:t>
            </w:r>
          </w:p>
        </w:tc>
        <w:tc>
          <w:tcPr>
            <w:tcW w:type="dxa" w:w="2200"/>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6"/>
                <w:szCs w:val="16"/>
              </w:rPr>
              <w:t xml:space="preserve">Ce qu'on retient</w:t>
            </w:r>
          </w:p>
        </w:tc>
        <w:tc>
          <w:tcPr>
            <w:tcW w:type="dxa" w:w="2548"/>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6"/>
                <w:szCs w:val="16"/>
              </w:rPr>
              <w:t xml:space="preserve">Notre différenciation</w:t>
            </w:r>
          </w:p>
        </w:tc>
      </w:tr>
      <w:tr>
        <w:trPr>
          <w:cantSplit/>
        </w:trPr>
        <w:tc>
          <w:tcPr>
            <w:tcW w:type="dxa" w:w="25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Camping Vacances Bromont (Bromont)</w:t>
            </w:r>
          </w:p>
        </w:tc>
        <w:tc>
          <w:tcPr>
            <w:tcW w:type="dxa" w:w="24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 543 emplacements, glissades d'eau, chalets 4 saisons</w:t>
            </w:r>
          </w:p>
        </w:tc>
        <w:tc>
          <w:tcPr>
            <w:tcW w:type="dxa" w:w="22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Référence régionale de prix et de volume</w:t>
            </w:r>
          </w:p>
        </w:tc>
        <w:tc>
          <w:tcPr>
            <w:tcW w:type="dxa" w:w="25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Thématique, piscine centrale avec bar, animation, tarifs sous le haut de gamme</w:t>
            </w:r>
          </w:p>
        </w:tc>
      </w:tr>
      <w:tr>
        <w:trPr>
          <w:cantSplit/>
        </w:trPr>
        <w:tc>
          <w:tcPr>
            <w:tcW w:type="dxa" w:w="25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Camping de la Vallée Bleue (Lac-Brome)</w:t>
            </w:r>
          </w:p>
        </w:tc>
        <w:tc>
          <w:tcPr>
            <w:tcW w:type="dxa" w:w="24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 213 sites, forte part de saisonniers</w:t>
            </w:r>
          </w:p>
        </w:tc>
        <w:tc>
          <w:tcPr>
            <w:tcW w:type="dxa" w:w="22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Modèle saisonnier de l'Estrie</w:t>
            </w:r>
          </w:p>
        </w:tc>
        <w:tc>
          <w:tcPr>
            <w:tcW w:type="dxa" w:w="2548"/>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Programme d'animation et d'événements</w:t>
            </w:r>
          </w:p>
        </w:tc>
      </w:tr>
      <w:tr>
        <w:trPr>
          <w:cantSplit/>
        </w:trPr>
        <w:tc>
          <w:tcPr>
            <w:tcW w:type="dxa" w:w="25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Camping des Baies (Windsor)</w:t>
            </w:r>
          </w:p>
        </w:tc>
        <w:tc>
          <w:tcPr>
            <w:tcW w:type="dxa" w:w="24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 170 sites, majorité de saisonniers</w:t>
            </w:r>
          </w:p>
        </w:tc>
        <w:tc>
          <w:tcPr>
            <w:tcW w:type="dxa" w:w="22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Proximité de Maricourt</w:t>
            </w:r>
          </w:p>
        </w:tc>
        <w:tc>
          <w:tcPr>
            <w:tcW w:type="dxa" w:w="25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Hébergement locatif diversifié, produit hiver</w:t>
            </w:r>
          </w:p>
        </w:tc>
      </w:tr>
      <w:tr>
        <w:trPr>
          <w:cantSplit/>
        </w:trPr>
        <w:tc>
          <w:tcPr>
            <w:tcW w:type="dxa" w:w="25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Spas nordiques régionaux (Eastman, Bromont, Magog)</w:t>
            </w:r>
          </w:p>
        </w:tc>
        <w:tc>
          <w:tcPr>
            <w:tcW w:type="dxa" w:w="24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Accès à la journée 65 $ à 80 $</w:t>
            </w:r>
          </w:p>
        </w:tc>
        <w:tc>
          <w:tcPr>
            <w:tcW w:type="dxa" w:w="22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Repère tarifaire régional</w:t>
            </w:r>
          </w:p>
        </w:tc>
        <w:tc>
          <w:tcPr>
            <w:tcW w:type="dxa" w:w="2548"/>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Spa intégré à un séjour, prix inférieur</w:t>
            </w:r>
          </w:p>
        </w:tc>
      </w:tr>
      <w:tr>
        <w:trPr>
          <w:cantSplit/>
        </w:trPr>
        <w:tc>
          <w:tcPr>
            <w:tcW w:type="dxa" w:w="25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Hôtels et auberges de l'Estrie</w:t>
            </w:r>
          </w:p>
        </w:tc>
        <w:tc>
          <w:tcPr>
            <w:tcW w:type="dxa" w:w="24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Chambres 3 étoiles</w:t>
            </w:r>
          </w:p>
        </w:tc>
        <w:tc>
          <w:tcPr>
            <w:tcW w:type="dxa" w:w="22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Repère tarifaire de l'hôtel (190 $)</w:t>
            </w:r>
          </w:p>
        </w:tc>
        <w:tc>
          <w:tcPr>
            <w:tcW w:type="dxa" w:w="25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Expérience immersive et activités sur place</w:t>
            </w:r>
          </w:p>
        </w:tc>
      </w:tr>
    </w:tbl>
    <w:p>
      <w:pPr>
        <w:pageBreakBefore/>
        <w:spacing w:after="0" w:before="0" w:line="20" w:lineRule="exact"/>
      </w:pPr>
      <w:r>
        <w:drawing>
          <wp:anchor distT="0" distB="0" distL="0" distR="0" simplePos="0" allowOverlap="1" behindDoc="1" locked="1" layoutInCell="0" relativeHeight="3838575">
            <wp:simplePos x="0" y="0"/>
            <wp:positionH relativeFrom="page">
              <wp:posOffset>0</wp:posOffset>
            </wp:positionH>
            <wp:positionV relativeFrom="page">
              <wp:posOffset>566928</wp:posOffset>
            </wp:positionV>
            <wp:extent cx="7772400" cy="3838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7772400" cy="3838575"/>
                    </a:xfrm>
                    <a:prstGeom prst="rect">
                      <a:avLst/>
                    </a:prstGeom>
                  </pic:spPr>
                </pic:pic>
              </a:graphicData>
            </a:graphic>
          </wp:anchor>
        </w:drawing>
      </w:r>
    </w:p>
    <w:p>
      <w:pPr>
        <w:spacing w:after="0" w:before="0" w:line="3800" w:lineRule="exact"/>
      </w:pPr>
    </w:p>
    <w:p>
      <w:pPr>
        <w:spacing w:after="60" w:before="0"/>
      </w:pPr>
      <w:r>
        <w:rPr>
          <w:rFonts w:ascii="Calibri" w:cs="Calibri" w:eastAsia="Calibri" w:hAnsi="Calibri"/>
          <w:b/>
          <w:bCs/>
          <w:color w:val="F4B942"/>
          <w:sz w:val="26"/>
          <w:szCs w:val="26"/>
        </w:rPr>
        <w:t xml:space="preserve">05</w:t>
      </w:r>
    </w:p>
    <w:p>
      <w:pPr>
        <w:pStyle w:val="Heading1"/>
        <w:spacing w:after="0" w:before="0"/>
      </w:pPr>
      <w:r>
        <w:rPr>
          <w:rFonts w:ascii="Calibri" w:cs="Calibri" w:eastAsia="Calibri" w:hAnsi="Calibri"/>
          <w:b/>
          <w:bCs/>
          <w:color w:val="FFFFFF"/>
          <w:sz w:val="46"/>
          <w:szCs w:val="46"/>
        </w:rPr>
        <w:t xml:space="preserve">Stratégie de commercialisation</w:t>
      </w:r>
    </w:p>
    <w:p>
      <w:pPr>
        <w:spacing w:after="0" w:before="0" w:line="1250" w:lineRule="exact"/>
      </w:pPr>
    </w:p>
    <w:p>
      <w:pPr>
        <w:spacing w:after="240" w:before="0" w:line="300"/>
      </w:pPr>
      <w:r>
        <w:rPr>
          <w:rFonts w:ascii="Georgia" w:cs="Georgia" w:eastAsia="Georgia" w:hAnsi="Georgia"/>
          <w:i/>
          <w:iCs/>
          <w:color w:val="2BB5BF"/>
          <w:sz w:val="25"/>
          <w:szCs w:val="25"/>
        </w:rPr>
        <w:t xml:space="preserve">Vendre d'abord la nouvelle capacité à la clientèle existante, encaisser les saisonniers avant la saison, et nommer ce qui se vend l'hiver.</w:t>
      </w:r>
    </w:p>
    <w:p>
      <w:pPr>
        <w:pStyle w:val="Heading2"/>
        <w:keepNext/>
        <w:spacing w:after="120" w:before="300"/>
      </w:pPr>
      <w:r>
        <w:rPr>
          <w:rFonts w:ascii="Calibri" w:cs="Calibri" w:eastAsia="Calibri" w:hAnsi="Calibri"/>
          <w:b/>
          <w:bCs/>
          <w:color w:val="0C4A5E"/>
          <w:sz w:val="27"/>
          <w:szCs w:val="27"/>
        </w:rPr>
        <w:t xml:space="preserve">5.1 Positionnement et tarification</w:t>
      </w:r>
    </w:p>
    <w:p>
      <w:pPr>
        <w:spacing w:after="120" w:before="0" w:line="276"/>
        <w:jc w:val="left"/>
      </w:pPr>
      <w:r>
        <w:rPr>
          <w:rFonts w:ascii="Calibri" w:cs="Calibri" w:eastAsia="Calibri" w:hAnsi="Calibri"/>
        </w:rPr>
        <w:t xml:space="preserve">« Cuba à 90 minutes de Montréal, douze mois par année. » Une destination d'évasion accessible, festive et familiale, à un prix inférieur aux centres de villégiature haut de gamme de la région.</w:t>
      </w:r>
    </w:p>
    <w:tbl>
      <w:tblPr>
        <w:tblW w:type="dxa" w:w="9648"/>
        <w:tblBorders>
          <w:top w:val="none" w:color="FFFFFF" w:sz="0"/>
          <w:left w:val="none" w:color="FFFFFF" w:sz="0"/>
          <w:bottom w:val="single" w:color="0C4A5E" w:sz="8"/>
          <w:right w:val="none" w:color="FFFFFF" w:sz="0"/>
          <w:insideH w:val="single" w:color="CFE3E6" w:sz="4"/>
          <w:insideV w:val="none" w:color="FFFFFF" w:sz="0"/>
        </w:tblBorders>
      </w:tblPr>
      <w:tblGrid>
        <w:gridCol w:w="2500"/>
        <w:gridCol w:w="2700"/>
        <w:gridCol w:w="1700"/>
        <w:gridCol w:w="2748"/>
      </w:tblGrid>
      <w:tr>
        <w:trPr>
          <w:tblHeader/>
        </w:trPr>
        <w:tc>
          <w:tcPr>
            <w:tcW w:type="dxa" w:w="2500"/>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8"/>
                <w:szCs w:val="18"/>
              </w:rPr>
              <w:t xml:space="preserve">Produit</w:t>
            </w:r>
          </w:p>
        </w:tc>
        <w:tc>
          <w:tcPr>
            <w:tcW w:type="dxa" w:w="2700"/>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8"/>
                <w:szCs w:val="18"/>
              </w:rPr>
              <w:t xml:space="preserve">Tarif de référence An 1</w:t>
            </w:r>
          </w:p>
        </w:tc>
        <w:tc>
          <w:tcPr>
            <w:tcW w:type="dxa" w:w="1700"/>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8"/>
                <w:szCs w:val="18"/>
              </w:rPr>
              <w:t xml:space="preserve">Indexation</w:t>
            </w:r>
          </w:p>
        </w:tc>
        <w:tc>
          <w:tcPr>
            <w:tcW w:type="dxa" w:w="2748"/>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8"/>
                <w:szCs w:val="18"/>
              </w:rPr>
              <w:t xml:space="preserve">Base</w:t>
            </w:r>
          </w:p>
        </w:tc>
      </w:tr>
      <w:tr>
        <w:trPr>
          <w:cantSplit/>
        </w:trPr>
        <w:tc>
          <w:tcPr>
            <w:tcW w:type="dxa" w:w="25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Terrain de camping</w:t>
            </w:r>
          </w:p>
        </w:tc>
        <w:tc>
          <w:tcPr>
            <w:tcW w:type="dxa" w:w="27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Selon grille 2026 (65 $ à 90 $)</w:t>
            </w:r>
          </w:p>
        </w:tc>
        <w:tc>
          <w:tcPr>
            <w:tcW w:type="dxa" w:w="17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3 % par année</w:t>
            </w:r>
          </w:p>
        </w:tc>
        <w:tc>
          <w:tcPr>
            <w:tcW w:type="dxa" w:w="27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Grille affichée, annexe G</w:t>
            </w:r>
          </w:p>
        </w:tc>
      </w:tr>
      <w:tr>
        <w:trPr>
          <w:cantSplit/>
        </w:trPr>
        <w:tc>
          <w:tcPr>
            <w:tcW w:type="dxa" w:w="25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Terrain saisonnier</w:t>
            </w:r>
          </w:p>
        </w:tc>
        <w:tc>
          <w:tcPr>
            <w:tcW w:type="dxa" w:w="27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3 650 $ / saison</w:t>
            </w:r>
          </w:p>
        </w:tc>
        <w:tc>
          <w:tcPr>
            <w:tcW w:type="dxa" w:w="17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3 % par année</w:t>
            </w:r>
          </w:p>
        </w:tc>
        <w:tc>
          <w:tcPr>
            <w:tcW w:type="dxa" w:w="2748"/>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Contrats 2026</w:t>
            </w:r>
          </w:p>
        </w:tc>
      </w:tr>
      <w:tr>
        <w:trPr>
          <w:cantSplit/>
        </w:trPr>
        <w:tc>
          <w:tcPr>
            <w:tcW w:type="dxa" w:w="25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Chalet 4 saisons</w:t>
            </w:r>
          </w:p>
        </w:tc>
        <w:tc>
          <w:tcPr>
            <w:tcW w:type="dxa" w:w="27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235 $ été, 210 $ hiver</w:t>
            </w:r>
          </w:p>
        </w:tc>
        <w:tc>
          <w:tcPr>
            <w:tcW w:type="dxa" w:w="17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3 % par année</w:t>
            </w:r>
          </w:p>
        </w:tc>
        <w:tc>
          <w:tcPr>
            <w:tcW w:type="dxa" w:w="27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Tarif 2026</w:t>
            </w:r>
          </w:p>
        </w:tc>
      </w:tr>
      <w:tr>
        <w:trPr>
          <w:cantSplit/>
        </w:trPr>
        <w:tc>
          <w:tcPr>
            <w:tcW w:type="dxa" w:w="25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Villa</w:t>
            </w:r>
          </w:p>
        </w:tc>
        <w:tc>
          <w:tcPr>
            <w:tcW w:type="dxa" w:w="27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275 $ été, 245 $ hiver</w:t>
            </w:r>
          </w:p>
        </w:tc>
        <w:tc>
          <w:tcPr>
            <w:tcW w:type="dxa" w:w="17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3 % par année</w:t>
            </w:r>
          </w:p>
        </w:tc>
        <w:tc>
          <w:tcPr>
            <w:tcW w:type="dxa" w:w="2748"/>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Direction</w:t>
            </w:r>
          </w:p>
        </w:tc>
      </w:tr>
      <w:tr>
        <w:trPr>
          <w:cantSplit/>
        </w:trPr>
        <w:tc>
          <w:tcPr>
            <w:tcW w:type="dxa" w:w="25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Chambre d'hôtel</w:t>
            </w:r>
          </w:p>
        </w:tc>
        <w:tc>
          <w:tcPr>
            <w:tcW w:type="dxa" w:w="27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190 $ / nuit</w:t>
            </w:r>
          </w:p>
        </w:tc>
        <w:tc>
          <w:tcPr>
            <w:tcW w:type="dxa" w:w="17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3 % par année</w:t>
            </w:r>
          </w:p>
        </w:tc>
        <w:tc>
          <w:tcPr>
            <w:tcW w:type="dxa" w:w="27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Tarif 2026</w:t>
            </w:r>
          </w:p>
        </w:tc>
      </w:tr>
      <w:tr>
        <w:trPr>
          <w:cantSplit/>
        </w:trPr>
        <w:tc>
          <w:tcPr>
            <w:tcW w:type="dxa" w:w="25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Unité Coolbox</w:t>
            </w:r>
          </w:p>
        </w:tc>
        <w:tc>
          <w:tcPr>
            <w:tcW w:type="dxa" w:w="27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225 $ été, 199 $ hiver</w:t>
            </w:r>
          </w:p>
        </w:tc>
        <w:tc>
          <w:tcPr>
            <w:tcW w:type="dxa" w:w="17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3 % par année</w:t>
            </w:r>
          </w:p>
        </w:tc>
        <w:tc>
          <w:tcPr>
            <w:tcW w:type="dxa" w:w="2748"/>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Tarif affiché 2023</w:t>
            </w:r>
          </w:p>
        </w:tc>
      </w:tr>
      <w:tr>
        <w:trPr>
          <w:cantSplit/>
        </w:trPr>
        <w:tc>
          <w:tcPr>
            <w:tcW w:type="dxa" w:w="25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Cabana prêt-à-camper</w:t>
            </w:r>
          </w:p>
        </w:tc>
        <w:tc>
          <w:tcPr>
            <w:tcW w:type="dxa" w:w="27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200 $ / nuit</w:t>
            </w:r>
          </w:p>
        </w:tc>
        <w:tc>
          <w:tcPr>
            <w:tcW w:type="dxa" w:w="17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3 % par année</w:t>
            </w:r>
          </w:p>
        </w:tc>
        <w:tc>
          <w:tcPr>
            <w:tcW w:type="dxa" w:w="27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Tarif 2026</w:t>
            </w:r>
          </w:p>
        </w:tc>
      </w:tr>
    </w:tbl>
    <w:p>
      <w:pPr>
        <w:pStyle w:val="Heading2"/>
        <w:keepNext/>
        <w:spacing w:after="120" w:before="300"/>
      </w:pPr>
      <w:r>
        <w:rPr>
          <w:rFonts w:ascii="Calibri" w:cs="Calibri" w:eastAsia="Calibri" w:hAnsi="Calibri"/>
          <w:b/>
          <w:bCs/>
          <w:color w:val="0C4A5E"/>
          <w:sz w:val="27"/>
          <w:szCs w:val="27"/>
        </w:rPr>
        <w:t xml:space="preserve">5.2 Plan de vente des terrains saisonniers</w:t>
      </w:r>
    </w:p>
    <w:p>
      <w:pPr>
        <w:spacing w:after="120" w:before="0" w:line="276"/>
        <w:jc w:val="left"/>
      </w:pPr>
      <w:r>
        <w:rPr>
          <w:rFonts w:ascii="Calibri" w:cs="Calibri" w:eastAsia="Calibri" w:hAnsi="Calibri"/>
        </w:rPr>
        <w:t xml:space="preserve">Point de départ réel : environ 12 contrats payés en 2026 (43 209 $). Les ventes de contrats 2027 ouvrent en septembre-octobre 2026 auprès des campeurs réguliers, avec dépôt à la signature et solde en mars. Trajectoire retenue : 12 → 30 → 45 → 58 → 66 → 70 contrats, sur des terrains existants convertis.</w:t>
      </w:r>
    </w:p>
    <w:tbl>
      <w:tblPr>
        <w:tblW w:type="dxa" w:w="9648"/>
        <w:tblBorders>
          <w:top w:val="none" w:color="FFFFFF" w:sz="0"/>
          <w:left w:val="none" w:color="FFFFFF" w:sz="0"/>
          <w:bottom w:val="single" w:color="0C4A5E" w:sz="8"/>
          <w:right w:val="none" w:color="FFFFFF" w:sz="0"/>
          <w:insideH w:val="single" w:color="CFE3E6" w:sz="4"/>
          <w:insideV w:val="none" w:color="FFFFFF" w:sz="0"/>
        </w:tblBorders>
      </w:tblPr>
      <w:tblGrid>
        <w:gridCol w:w="2700"/>
        <w:gridCol w:w="1160"/>
        <w:gridCol w:w="1160"/>
        <w:gridCol w:w="1160"/>
        <w:gridCol w:w="1160"/>
        <w:gridCol w:w="1160"/>
        <w:gridCol w:w="1148"/>
      </w:tblGrid>
      <w:tr>
        <w:trPr>
          <w:tblHeader/>
        </w:trPr>
        <w:tc>
          <w:tcPr>
            <w:tcW w:type="dxa" w:w="2700"/>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7"/>
                <w:szCs w:val="17"/>
              </w:rPr>
              <w:t xml:space="preserve"/>
            </w:r>
          </w:p>
        </w:tc>
        <w:tc>
          <w:tcPr>
            <w:tcW w:type="dxa" w:w="116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7"/>
                <w:szCs w:val="17"/>
              </w:rPr>
              <w:t xml:space="preserve">2026 (réel)</w:t>
            </w:r>
          </w:p>
        </w:tc>
        <w:tc>
          <w:tcPr>
            <w:tcW w:type="dxa" w:w="116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7"/>
                <w:szCs w:val="17"/>
              </w:rPr>
              <w:t xml:space="preserve">An 1
2027</w:t>
            </w:r>
          </w:p>
        </w:tc>
        <w:tc>
          <w:tcPr>
            <w:tcW w:type="dxa" w:w="116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7"/>
                <w:szCs w:val="17"/>
              </w:rPr>
              <w:t xml:space="preserve">An 2
2028</w:t>
            </w:r>
          </w:p>
        </w:tc>
        <w:tc>
          <w:tcPr>
            <w:tcW w:type="dxa" w:w="116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7"/>
                <w:szCs w:val="17"/>
              </w:rPr>
              <w:t xml:space="preserve">An 3
2029</w:t>
            </w:r>
          </w:p>
        </w:tc>
        <w:tc>
          <w:tcPr>
            <w:tcW w:type="dxa" w:w="116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7"/>
                <w:szCs w:val="17"/>
              </w:rPr>
              <w:t xml:space="preserve">An 4
2030</w:t>
            </w:r>
          </w:p>
        </w:tc>
        <w:tc>
          <w:tcPr>
            <w:tcW w:type="dxa" w:w="1148"/>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7"/>
                <w:szCs w:val="17"/>
              </w:rPr>
              <w:t xml:space="preserve">An 5
2031</w:t>
            </w:r>
          </w:p>
        </w:tc>
      </w:tr>
      <w:tr>
        <w:trPr>
          <w:cantSplit/>
        </w:trPr>
        <w:tc>
          <w:tcPr>
            <w:tcW w:type="dxa" w:w="27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Contrats saisonniers</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12</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30</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45</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58</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66</w:t>
            </w:r>
          </w:p>
        </w:tc>
        <w:tc>
          <w:tcPr>
            <w:tcW w:type="dxa" w:w="11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70</w:t>
            </w:r>
          </w:p>
        </w:tc>
      </w:tr>
      <w:tr>
        <w:trPr>
          <w:cantSplit/>
        </w:trPr>
        <w:tc>
          <w:tcPr>
            <w:tcW w:type="dxa" w:w="27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Ventes nettes à réaliser dans l'année</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18</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15</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13</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8</w:t>
            </w:r>
          </w:p>
        </w:tc>
        <w:tc>
          <w:tcPr>
            <w:tcW w:type="dxa" w:w="11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4</w:t>
            </w:r>
          </w:p>
        </w:tc>
      </w:tr>
      <w:tr>
        <w:trPr>
          <w:cantSplit/>
        </w:trPr>
        <w:tc>
          <w:tcPr>
            <w:tcW w:type="dxa" w:w="27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Revenus saisonniers</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43 209 $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109 500 $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169 178 $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224 593 $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263 238 $</w:t>
            </w:r>
          </w:p>
        </w:tc>
        <w:tc>
          <w:tcPr>
            <w:tcW w:type="dxa" w:w="11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287 568 $</w:t>
            </w:r>
          </w:p>
        </w:tc>
      </w:tr>
    </w:tbl>
    <w:p>
      <w:pPr>
        <w:pStyle w:val="Heading2"/>
        <w:keepNext/>
        <w:spacing w:after="120" w:before="300"/>
      </w:pPr>
      <w:r>
        <w:rPr>
          <w:rFonts w:ascii="Calibri" w:cs="Calibri" w:eastAsia="Calibri" w:hAnsi="Calibri"/>
          <w:b/>
          <w:bCs/>
          <w:color w:val="0C4A5E"/>
          <w:sz w:val="27"/>
          <w:szCs w:val="27"/>
        </w:rPr>
        <w:t xml:space="preserve">5.3 Ce qui se vend l'hiver 2027-2028</w:t>
      </w:r>
    </w:p>
    <w:p>
      <w:pPr>
        <w:spacing w:after="120" w:before="0" w:line="276"/>
        <w:jc w:val="left"/>
      </w:pPr>
      <w:r>
        <w:rPr>
          <w:rFonts w:ascii="Calibri" w:cs="Calibri" w:eastAsia="Calibri" w:hAnsi="Calibri"/>
        </w:rPr>
        <w:t xml:space="preserve">Le premier hiver repose sur des produits nommés : l'hôtel (17 chambres) et la salle de conférence livrés en juillet 2027, les 16 chalets hivernisés à l'automne 2027 et les 20 unités Coolbox quatre saisons.</w:t>
      </w:r>
    </w:p>
    <w:tbl>
      <w:tblPr>
        <w:tblW w:type="dxa" w:w="9648"/>
        <w:tblBorders>
          <w:top w:val="none" w:color="FFFFFF" w:sz="0"/>
          <w:left w:val="none" w:color="FFFFFF" w:sz="0"/>
          <w:bottom w:val="single" w:color="0C4A5E" w:sz="8"/>
          <w:right w:val="none" w:color="FFFFFF" w:sz="0"/>
          <w:insideH w:val="single" w:color="CFE3E6" w:sz="4"/>
          <w:insideV w:val="none" w:color="FFFFFF" w:sz="0"/>
        </w:tblBorders>
      </w:tblPr>
      <w:tblGrid>
        <w:gridCol w:w="2900"/>
        <w:gridCol w:w="1700"/>
        <w:gridCol w:w="2300"/>
        <w:gridCol w:w="2748"/>
      </w:tblGrid>
      <w:tr>
        <w:trPr>
          <w:tblHeader/>
        </w:trPr>
        <w:tc>
          <w:tcPr>
            <w:tcW w:type="dxa" w:w="2900"/>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7"/>
                <w:szCs w:val="17"/>
              </w:rPr>
              <w:t xml:space="preserve">Produit d'hiver</w:t>
            </w:r>
          </w:p>
        </w:tc>
        <w:tc>
          <w:tcPr>
            <w:tcW w:type="dxa" w:w="1700"/>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7"/>
                <w:szCs w:val="17"/>
              </w:rPr>
              <w:t xml:space="preserve">Période</w:t>
            </w:r>
          </w:p>
        </w:tc>
        <w:tc>
          <w:tcPr>
            <w:tcW w:type="dxa" w:w="2300"/>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7"/>
                <w:szCs w:val="17"/>
              </w:rPr>
              <w:t xml:space="preserve">Unités mobilisées</w:t>
            </w:r>
          </w:p>
        </w:tc>
        <w:tc>
          <w:tcPr>
            <w:tcW w:type="dxa" w:w="2748"/>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7"/>
                <w:szCs w:val="17"/>
              </w:rPr>
              <w:t xml:space="preserve">Source de la demande</w:t>
            </w:r>
          </w:p>
        </w:tc>
      </w:tr>
      <w:tr>
        <w:trPr>
          <w:cantSplit/>
        </w:trPr>
        <w:tc>
          <w:tcPr>
            <w:tcW w:type="dxa" w:w="29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Retraites et réunions d'entreprise en semaine</w:t>
            </w:r>
          </w:p>
        </w:tc>
        <w:tc>
          <w:tcPr>
            <w:tcW w:type="dxa" w:w="17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Novembre à avril</w:t>
            </w:r>
          </w:p>
        </w:tc>
        <w:tc>
          <w:tcPr>
            <w:tcW w:type="dxa" w:w="23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Hôtel, salle, restaurant</w:t>
            </w:r>
          </w:p>
        </w:tc>
        <w:tc>
          <w:tcPr>
            <w:tcW w:type="dxa" w:w="27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Entreprises de Sherbrooke, Drummondville, Granby ; ventes directes</w:t>
            </w:r>
          </w:p>
        </w:tc>
      </w:tr>
      <w:tr>
        <w:trPr>
          <w:cantSplit/>
        </w:trPr>
        <w:tc>
          <w:tcPr>
            <w:tcW w:type="dxa" w:w="29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Fêtes et jour de l'An cubain</w:t>
            </w:r>
          </w:p>
        </w:tc>
        <w:tc>
          <w:tcPr>
            <w:tcW w:type="dxa" w:w="17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20 déc. – 3 janv.</w:t>
            </w:r>
          </w:p>
        </w:tc>
        <w:tc>
          <w:tcPr>
            <w:tcW w:type="dxa" w:w="23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Hôtel, chalets, Coolbox</w:t>
            </w:r>
          </w:p>
        </w:tc>
        <w:tc>
          <w:tcPr>
            <w:tcW w:type="dxa" w:w="2748"/>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Clientèle estivale, communauté latino-américaine</w:t>
            </w:r>
          </w:p>
        </w:tc>
      </w:tr>
      <w:tr>
        <w:trPr>
          <w:cantSplit/>
        </w:trPr>
        <w:tc>
          <w:tcPr>
            <w:tcW w:type="dxa" w:w="29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Grand Prix Ski-Doo de Valcourt (février)</w:t>
            </w:r>
          </w:p>
        </w:tc>
        <w:tc>
          <w:tcPr>
            <w:tcW w:type="dxa" w:w="17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Fin de semaine de février</w:t>
            </w:r>
          </w:p>
        </w:tc>
        <w:tc>
          <w:tcPr>
            <w:tcW w:type="dxa" w:w="23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Toutes les unités chauffées</w:t>
            </w:r>
          </w:p>
        </w:tc>
        <w:tc>
          <w:tcPr>
            <w:tcW w:type="dxa" w:w="27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Forfaits hébergement + navette</w:t>
            </w:r>
          </w:p>
        </w:tc>
      </w:tr>
      <w:tr>
        <w:trPr>
          <w:cantSplit/>
        </w:trPr>
        <w:tc>
          <w:tcPr>
            <w:tcW w:type="dxa" w:w="29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Relâche scolaire</w:t>
            </w:r>
          </w:p>
        </w:tc>
        <w:tc>
          <w:tcPr>
            <w:tcW w:type="dxa" w:w="17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Début mars</w:t>
            </w:r>
          </w:p>
        </w:tc>
        <w:tc>
          <w:tcPr>
            <w:tcW w:type="dxa" w:w="23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Chalets, Coolbox, hôtel</w:t>
            </w:r>
          </w:p>
        </w:tc>
        <w:tc>
          <w:tcPr>
            <w:tcW w:type="dxa" w:w="2748"/>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Familles du Grand Montréal</w:t>
            </w:r>
          </w:p>
        </w:tc>
      </w:tr>
      <w:tr>
        <w:trPr>
          <w:cantSplit/>
        </w:trPr>
        <w:tc>
          <w:tcPr>
            <w:tcW w:type="dxa" w:w="29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Fins de semaine motoneige et plein air</w:t>
            </w:r>
          </w:p>
        </w:tc>
        <w:tc>
          <w:tcPr>
            <w:tcW w:type="dxa" w:w="17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Janvier à mars</w:t>
            </w:r>
          </w:p>
        </w:tc>
        <w:tc>
          <w:tcPr>
            <w:tcW w:type="dxa" w:w="23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Coolbox, chalets</w:t>
            </w:r>
          </w:p>
        </w:tc>
        <w:tc>
          <w:tcPr>
            <w:tcW w:type="dxa" w:w="27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Sentiers régionaux</w:t>
            </w:r>
          </w:p>
        </w:tc>
      </w:tr>
    </w:tbl>
    <w:p>
      <w:pPr>
        <w:pStyle w:val="Heading2"/>
        <w:keepNext/>
        <w:spacing w:after="120" w:before="300"/>
      </w:pPr>
      <w:r>
        <w:rPr>
          <w:rFonts w:ascii="Calibri" w:cs="Calibri" w:eastAsia="Calibri" w:hAnsi="Calibri"/>
          <w:b/>
          <w:bCs/>
          <w:color w:val="0C4A5E"/>
          <w:sz w:val="27"/>
          <w:szCs w:val="27"/>
        </w:rPr>
        <w:t xml:space="preserve">5.4 Distribution et réservation</w:t>
      </w:r>
    </w:p>
    <w:p>
      <w:pPr>
        <w:pStyle w:val="ListParagraph"/>
        <w:numPr>
          <w:ilvl w:val="0"/>
          <w:numId w:val="2"/>
        </w:numPr>
        <w:spacing w:after="80" w:line="276"/>
      </w:pPr>
      <w:r>
        <w:rPr>
          <w:rFonts w:ascii="Calibri" w:cs="Calibri" w:eastAsia="Calibri" w:hAnsi="Calibri"/>
          <w:color w:val="1E2A2E"/>
          <w:sz w:val="21"/>
          <w:szCs w:val="21"/>
        </w:rPr>
        <w:t xml:space="preserve">Terrains, cabanas, chalets et chambres actuelles : reservationcamping.ca (Solutions Web Pixum), 9 670 transactions en 2026.</w:t>
      </w:r>
    </w:p>
    <w:p>
      <w:pPr>
        <w:pStyle w:val="ListParagraph"/>
        <w:numPr>
          <w:ilvl w:val="0"/>
          <w:numId w:val="2"/>
        </w:numPr>
        <w:spacing w:after="80" w:line="276"/>
      </w:pPr>
      <w:r>
        <w:rPr>
          <w:rFonts w:ascii="Calibri" w:cs="Calibri" w:eastAsia="Calibri" w:hAnsi="Calibri"/>
          <w:color w:val="1E2A2E"/>
          <w:sz w:val="21"/>
          <w:szCs w:val="21"/>
        </w:rPr>
        <w:t xml:space="preserve">Unités Coolbox : plateforme reservationcoolbox.ca déjà active, 180 334 $ de ventes en 2026 pour 9 unités ; canal étendu aux 20 unités.</w:t>
      </w:r>
    </w:p>
    <w:p>
      <w:pPr>
        <w:pStyle w:val="ListParagraph"/>
        <w:numPr>
          <w:ilvl w:val="0"/>
          <w:numId w:val="2"/>
        </w:numPr>
        <w:spacing w:after="80" w:line="276"/>
      </w:pPr>
      <w:r>
        <w:rPr>
          <w:rFonts w:ascii="Calibri" w:cs="Calibri" w:eastAsia="Calibri" w:hAnsi="Calibri"/>
          <w:color w:val="1E2A2E"/>
          <w:sz w:val="21"/>
          <w:szCs w:val="21"/>
        </w:rPr>
        <w:t xml:space="preserve">Hôtel et villas : système de gestion hôtelière et gestionnaire de canaux (Booking, Expedia, Airbnb) ; commissions de plateformes inscrites aux charges (section 8).</w:t>
      </w:r>
    </w:p>
    <w:p>
      <w:pPr>
        <w:pStyle w:val="ListParagraph"/>
        <w:numPr>
          <w:ilvl w:val="0"/>
          <w:numId w:val="2"/>
        </w:numPr>
        <w:spacing w:after="80" w:line="276"/>
      </w:pPr>
      <w:r>
        <w:rPr>
          <w:rFonts w:ascii="Calibri" w:cs="Calibri" w:eastAsia="Calibri" w:hAnsi="Calibri"/>
          <w:color w:val="1E2A2E"/>
          <w:sz w:val="21"/>
          <w:szCs w:val="21"/>
        </w:rPr>
        <w:t xml:space="preserve">Groupes et entreprises : ressource de vente dédiée dès l'automne 2026 ; forfaits hiver, mariages, retraites.</w:t>
      </w:r>
    </w:p>
    <w:p>
      <w:pPr>
        <w:pStyle w:val="Heading2"/>
        <w:keepNext/>
        <w:spacing w:after="120" w:before="300"/>
      </w:pPr>
      <w:r>
        <w:rPr>
          <w:rFonts w:ascii="Calibri" w:cs="Calibri" w:eastAsia="Calibri" w:hAnsi="Calibri"/>
          <w:b/>
          <w:bCs/>
          <w:color w:val="0C4A5E"/>
          <w:sz w:val="27"/>
          <w:szCs w:val="27"/>
        </w:rPr>
        <w:t xml:space="preserve">5.5 Promotion et budget par canal</w:t>
      </w:r>
    </w:p>
    <w:tbl>
      <w:tblPr>
        <w:tblW w:type="dxa" w:w="9648"/>
        <w:tblBorders>
          <w:top w:val="none" w:color="FFFFFF" w:sz="0"/>
          <w:left w:val="none" w:color="FFFFFF" w:sz="0"/>
          <w:bottom w:val="single" w:color="0C4A5E" w:sz="8"/>
          <w:right w:val="none" w:color="FFFFFF" w:sz="0"/>
          <w:insideH w:val="single" w:color="CFE3E6" w:sz="4"/>
          <w:insideV w:val="none" w:color="FFFFFF" w:sz="0"/>
        </w:tblBorders>
      </w:tblPr>
      <w:tblGrid>
        <w:gridCol w:w="3600"/>
        <w:gridCol w:w="1300"/>
        <w:gridCol w:w="1300"/>
        <w:gridCol w:w="3448"/>
      </w:tblGrid>
      <w:tr>
        <w:trPr>
          <w:tblHeader/>
        </w:trPr>
        <w:tc>
          <w:tcPr>
            <w:tcW w:type="dxa" w:w="3600"/>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7"/>
                <w:szCs w:val="17"/>
              </w:rPr>
              <w:t xml:space="preserve">Canal</w:t>
            </w:r>
          </w:p>
        </w:tc>
        <w:tc>
          <w:tcPr>
            <w:tcW w:type="dxa" w:w="130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7"/>
                <w:szCs w:val="17"/>
              </w:rPr>
              <w:t xml:space="preserve">An 1</w:t>
            </w:r>
          </w:p>
        </w:tc>
        <w:tc>
          <w:tcPr>
            <w:tcW w:type="dxa" w:w="130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7"/>
                <w:szCs w:val="17"/>
              </w:rPr>
              <w:t xml:space="preserve">An 2</w:t>
            </w:r>
          </w:p>
        </w:tc>
        <w:tc>
          <w:tcPr>
            <w:tcW w:type="dxa" w:w="3448"/>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7"/>
                <w:szCs w:val="17"/>
              </w:rPr>
              <w:t xml:space="preserve">Contenu</w:t>
            </w:r>
          </w:p>
        </w:tc>
      </w:tr>
      <w:tr>
        <w:trPr>
          <w:cantSplit/>
        </w:trPr>
        <w:tc>
          <w:tcPr>
            <w:tcW w:type="dxa" w:w="36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Publicité numérique géociblée (Meta, Google), infolettre</w:t>
            </w:r>
          </w:p>
        </w:tc>
        <w:tc>
          <w:tcPr>
            <w:tcW w:type="dxa" w:w="13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49 157 $</w:t>
            </w:r>
          </w:p>
        </w:tc>
        <w:tc>
          <w:tcPr>
            <w:tcW w:type="dxa" w:w="13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68 895 $</w:t>
            </w:r>
          </w:p>
        </w:tc>
        <w:tc>
          <w:tcPr>
            <w:tcW w:type="dxa" w:w="34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Rayon de 2 heures, clientèle passée, communauté latino-américaine</w:t>
            </w:r>
          </w:p>
        </w:tc>
      </w:tr>
      <w:tr>
        <w:trPr>
          <w:cantSplit/>
        </w:trPr>
        <w:tc>
          <w:tcPr>
            <w:tcW w:type="dxa" w:w="36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Tourisme Cantons-de-l'Est, Camping Québec, guides et campagnes régionales</w:t>
            </w:r>
          </w:p>
        </w:tc>
        <w:tc>
          <w:tcPr>
            <w:tcW w:type="dxa" w:w="13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16 386 $</w:t>
            </w:r>
          </w:p>
        </w:tc>
        <w:tc>
          <w:tcPr>
            <w:tcW w:type="dxa" w:w="13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22 965 $</w:t>
            </w:r>
          </w:p>
        </w:tc>
        <w:tc>
          <w:tcPr>
            <w:tcW w:type="dxa" w:w="34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Adhésions, participation aux campagnes hiver et été</w:t>
            </w:r>
          </w:p>
        </w:tc>
      </w:tr>
      <w:tr>
        <w:trPr>
          <w:cantSplit/>
        </w:trPr>
        <w:tc>
          <w:tcPr>
            <w:tcW w:type="dxa" w:w="36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Relations médias, créateurs de contenu, lancement de l'hôtel</w:t>
            </w:r>
          </w:p>
        </w:tc>
        <w:tc>
          <w:tcPr>
            <w:tcW w:type="dxa" w:w="13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16 386 $</w:t>
            </w:r>
          </w:p>
        </w:tc>
        <w:tc>
          <w:tcPr>
            <w:tcW w:type="dxa" w:w="13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22 965 $</w:t>
            </w:r>
          </w:p>
        </w:tc>
        <w:tc>
          <w:tcPr>
            <w:tcW w:type="dxa" w:w="34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Ouverture juillet 2027, hiver 2027-2028</w:t>
            </w:r>
          </w:p>
        </w:tc>
      </w:tr>
      <w:tr>
        <w:trPr>
          <w:cantSplit/>
        </w:trPr>
        <w:tc>
          <w:tcPr>
            <w:tcW w:type="dxa" w:w="36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Événements signature et programmation</w:t>
            </w:r>
          </w:p>
        </w:tc>
        <w:tc>
          <w:tcPr>
            <w:tcW w:type="dxa" w:w="13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16 386 $</w:t>
            </w:r>
          </w:p>
        </w:tc>
        <w:tc>
          <w:tcPr>
            <w:tcW w:type="dxa" w:w="13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22 965 $</w:t>
            </w:r>
          </w:p>
        </w:tc>
        <w:tc>
          <w:tcPr>
            <w:tcW w:type="dxa" w:w="34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Festival cubain, soirées, Fêtes</w:t>
            </w:r>
          </w:p>
        </w:tc>
      </w:tr>
      <w:tr>
        <w:trPr>
          <w:cantSplit/>
        </w:trPr>
        <w:tc>
          <w:tcPr>
            <w:tcW w:type="dxa" w:w="36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Réputation en ligne et service client</w:t>
            </w:r>
          </w:p>
        </w:tc>
        <w:tc>
          <w:tcPr>
            <w:tcW w:type="dxa" w:w="13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10 924 $</w:t>
            </w:r>
          </w:p>
        </w:tc>
        <w:tc>
          <w:tcPr>
            <w:tcW w:type="dxa" w:w="13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15 310 $</w:t>
            </w:r>
          </w:p>
        </w:tc>
        <w:tc>
          <w:tcPr>
            <w:tcW w:type="dxa" w:w="34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Réponse à 100 % des avis, sondage de séjour, suivi mensuel</w:t>
            </w:r>
          </w:p>
        </w:tc>
      </w:tr>
      <w:tr>
        <w:trPr>
          <w:cantSplit/>
        </w:trPr>
        <w:tc>
          <w:tcPr>
            <w:tcW w:type="dxa" w:w="3600"/>
            <w:shd w:fill="CFE3E6"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1E2A2E"/>
                <w:sz w:val="17"/>
                <w:szCs w:val="17"/>
              </w:rPr>
              <w:t xml:space="preserve">Total marketing (3,5 % puis 3 % des revenus)</w:t>
            </w:r>
          </w:p>
        </w:tc>
        <w:tc>
          <w:tcPr>
            <w:tcW w:type="dxa" w:w="1300"/>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7"/>
                <w:szCs w:val="17"/>
              </w:rPr>
              <w:t xml:space="preserve">109 238 $</w:t>
            </w:r>
          </w:p>
        </w:tc>
        <w:tc>
          <w:tcPr>
            <w:tcW w:type="dxa" w:w="1300"/>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7"/>
                <w:szCs w:val="17"/>
              </w:rPr>
              <w:t xml:space="preserve">153 101 $</w:t>
            </w:r>
          </w:p>
        </w:tc>
        <w:tc>
          <w:tcPr>
            <w:tcW w:type="dxa" w:w="3448"/>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7"/>
                <w:szCs w:val="17"/>
              </w:rPr>
              <w:t xml:space="preserve">Commissions de plateformes comptées à part</w:t>
            </w:r>
          </w:p>
        </w:tc>
      </w:tr>
    </w:tbl>
    <w:tbl>
      <w:tblPr>
        <w:tblW w:type="dxa" w:w="9648"/>
        <w:tblBorders>
          <w:top w:val="none" w:color="FFFFFF" w:sz="0"/>
          <w:left w:val="none" w:color="FFFFFF" w:sz="0"/>
          <w:bottom w:val="none" w:color="FFFFFF" w:sz="0"/>
          <w:right w:val="none" w:color="FFFFFF" w:sz="0"/>
          <w:insideH w:val="none" w:color="FFFFFF" w:sz="0"/>
          <w:insideV w:val="none" w:color="FFFFFF" w:sz="0"/>
        </w:tblBorders>
      </w:tblPr>
      <w:tblGrid>
        <w:gridCol w:w="4724"/>
        <w:gridCol w:w="200"/>
        <w:gridCol w:w="4724"/>
      </w:tblGrid>
      <w:tr>
        <w:tc>
          <w:tcPr>
            <w:tcW w:type="dxa" w:w="4724"/>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jc w:val="left"/>
            </w:pPr>
            <w:r>
              <w:drawing>
                <wp:inline distT="0" distB="0" distL="0" distR="0">
                  <wp:extent cx="1133475"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133475" cy="2028825"/>
                          </a:xfrm>
                          <a:prstGeom prst="rect">
                            <a:avLst/>
                          </a:prstGeom>
                        </pic:spPr>
                      </pic:pic>
                    </a:graphicData>
                  </a:graphic>
                </wp:inline>
              </w:drawing>
            </w:r>
          </w:p>
          <w:p>
            <w:pPr>
              <w:pBdr>
                <w:top w:val="single" w:color="2BB5BF" w:sz="6" w:space="3"/>
              </w:pBdr>
              <w:spacing w:after="0" w:line="240"/>
              <w:jc w:val="left"/>
            </w:pPr>
            <w:r>
              <w:rPr>
                <w:rFonts w:ascii="Calibri" w:cs="Calibri" w:eastAsia="Calibri" w:hAnsi="Calibri"/>
                <w:color w:val="6F8A90"/>
                <w:sz w:val="16"/>
                <w:szCs w:val="16"/>
              </w:rPr>
              <w:t xml:space="preserve">Contenu vidéo des réseaux sociaux : animation aquatique</w:t>
            </w:r>
          </w:p>
        </w:tc>
        <w:tc>
          <w:tcPr>
            <w:tcW w:type="dxa" w:w="200"/>
            <w:tcBorders>
              <w:top w:val="none" w:color="FFFFFF" w:sz="0"/>
              <w:left w:val="none" w:color="FFFFFF" w:sz="0"/>
              <w:bottom w:val="none" w:color="FFFFFF" w:sz="0"/>
              <w:right w:val="none" w:color="FFFFFF" w:sz="0"/>
            </w:tcBorders>
          </w:tcPr>
          <w:p>
            <w:r>
              <w:t xml:space="preserve"/>
            </w:r>
          </w:p>
        </w:tc>
        <w:tc>
          <w:tcPr>
            <w:tcW w:type="dxa" w:w="4724"/>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jc w:val="left"/>
            </w:pPr>
            <w:r>
              <w:drawing>
                <wp:inline distT="0" distB="0" distL="0" distR="0">
                  <wp:extent cx="1143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143000" cy="2028825"/>
                          </a:xfrm>
                          <a:prstGeom prst="rect">
                            <a:avLst/>
                          </a:prstGeom>
                        </pic:spPr>
                      </pic:pic>
                    </a:graphicData>
                  </a:graphic>
                </wp:inline>
              </w:drawing>
            </w:r>
          </w:p>
          <w:p>
            <w:pPr>
              <w:pBdr>
                <w:top w:val="single" w:color="2BB5BF" w:sz="6" w:space="3"/>
              </w:pBdr>
              <w:spacing w:after="0" w:line="240"/>
              <w:jc w:val="left"/>
            </w:pPr>
            <w:r>
              <w:rPr>
                <w:rFonts w:ascii="Calibri" w:cs="Calibri" w:eastAsia="Calibri" w:hAnsi="Calibri"/>
                <w:color w:val="6F8A90"/>
                <w:sz w:val="16"/>
                <w:szCs w:val="16"/>
              </w:rPr>
              <w:t xml:space="preserve">Contenu vidéo des réseaux sociaux : le train du resort</w:t>
            </w:r>
          </w:p>
        </w:tc>
      </w:tr>
    </w:tbl>
    <w:p>
      <w:pPr>
        <w:pStyle w:val="Heading2"/>
        <w:keepNext/>
        <w:spacing w:after="120" w:before="300"/>
      </w:pPr>
      <w:r>
        <w:rPr>
          <w:rFonts w:ascii="Calibri" w:cs="Calibri" w:eastAsia="Calibri" w:hAnsi="Calibri"/>
          <w:b/>
          <w:bCs/>
          <w:color w:val="0C4A5E"/>
          <w:sz w:val="27"/>
          <w:szCs w:val="27"/>
        </w:rPr>
        <w:t xml:space="preserve">5.6 Tableau de bord pour le prêteur</w:t>
      </w:r>
    </w:p>
    <w:tbl>
      <w:tblPr>
        <w:tblW w:type="dxa" w:w="9648"/>
        <w:tblBorders>
          <w:top w:val="none" w:color="FFFFFF" w:sz="0"/>
          <w:left w:val="none" w:color="FFFFFF" w:sz="0"/>
          <w:bottom w:val="single" w:color="0C4A5E" w:sz="8"/>
          <w:right w:val="none" w:color="FFFFFF" w:sz="0"/>
          <w:insideH w:val="single" w:color="CFE3E6" w:sz="4"/>
          <w:insideV w:val="none" w:color="FFFFFF" w:sz="0"/>
        </w:tblBorders>
      </w:tblPr>
      <w:tblGrid>
        <w:gridCol w:w="3000"/>
        <w:gridCol w:w="1100"/>
        <w:gridCol w:w="1110"/>
        <w:gridCol w:w="1110"/>
        <w:gridCol w:w="1110"/>
        <w:gridCol w:w="1110"/>
        <w:gridCol w:w="1108"/>
      </w:tblGrid>
      <w:tr>
        <w:trPr>
          <w:tblHeader/>
        </w:trPr>
        <w:tc>
          <w:tcPr>
            <w:tcW w:type="dxa" w:w="3000"/>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7"/>
                <w:szCs w:val="17"/>
              </w:rPr>
              <w:t xml:space="preserve">Indicateur (trimestriel)</w:t>
            </w:r>
          </w:p>
        </w:tc>
        <w:tc>
          <w:tcPr>
            <w:tcW w:type="dxa" w:w="110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7"/>
                <w:szCs w:val="17"/>
              </w:rPr>
              <w:t xml:space="preserve">Départ 2026</w:t>
            </w:r>
          </w:p>
        </w:tc>
        <w:tc>
          <w:tcPr>
            <w:tcW w:type="dxa" w:w="111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7"/>
                <w:szCs w:val="17"/>
              </w:rPr>
              <w:t xml:space="preserve">An 1
2027</w:t>
            </w:r>
          </w:p>
        </w:tc>
        <w:tc>
          <w:tcPr>
            <w:tcW w:type="dxa" w:w="111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7"/>
                <w:szCs w:val="17"/>
              </w:rPr>
              <w:t xml:space="preserve">An 2
2028</w:t>
            </w:r>
          </w:p>
        </w:tc>
        <w:tc>
          <w:tcPr>
            <w:tcW w:type="dxa" w:w="111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7"/>
                <w:szCs w:val="17"/>
              </w:rPr>
              <w:t xml:space="preserve">An 3
2029</w:t>
            </w:r>
          </w:p>
        </w:tc>
        <w:tc>
          <w:tcPr>
            <w:tcW w:type="dxa" w:w="111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7"/>
                <w:szCs w:val="17"/>
              </w:rPr>
              <w:t xml:space="preserve">An 4
2030</w:t>
            </w:r>
          </w:p>
        </w:tc>
        <w:tc>
          <w:tcPr>
            <w:tcW w:type="dxa" w:w="1108"/>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7"/>
                <w:szCs w:val="17"/>
              </w:rPr>
              <w:t xml:space="preserve">An 5
2031</w:t>
            </w:r>
          </w:p>
        </w:tc>
      </w:tr>
      <w:tr>
        <w:trPr>
          <w:cantSplit/>
        </w:trPr>
        <w:tc>
          <w:tcPr>
            <w:tcW w:type="dxa" w:w="30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Contrats saisonniers signés</w:t>
            </w:r>
          </w:p>
        </w:tc>
        <w:tc>
          <w:tcPr>
            <w:tcW w:type="dxa" w:w="11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12</w:t>
            </w:r>
          </w:p>
        </w:tc>
        <w:tc>
          <w:tcPr>
            <w:tcW w:type="dxa" w:w="111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30</w:t>
            </w:r>
          </w:p>
        </w:tc>
        <w:tc>
          <w:tcPr>
            <w:tcW w:type="dxa" w:w="111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45</w:t>
            </w:r>
          </w:p>
        </w:tc>
        <w:tc>
          <w:tcPr>
            <w:tcW w:type="dxa" w:w="111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58</w:t>
            </w:r>
          </w:p>
        </w:tc>
        <w:tc>
          <w:tcPr>
            <w:tcW w:type="dxa" w:w="111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66</w:t>
            </w:r>
          </w:p>
        </w:tc>
        <w:tc>
          <w:tcPr>
            <w:tcW w:type="dxa" w:w="110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70</w:t>
            </w:r>
          </w:p>
        </w:tc>
      </w:tr>
      <w:tr>
        <w:trPr>
          <w:cantSplit/>
        </w:trPr>
        <w:tc>
          <w:tcPr>
            <w:tcW w:type="dxa" w:w="30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Occupation estivale des chalets</w:t>
            </w:r>
          </w:p>
        </w:tc>
        <w:tc>
          <w:tcPr>
            <w:tcW w:type="dxa" w:w="11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 55 %</w:t>
            </w:r>
          </w:p>
        </w:tc>
        <w:tc>
          <w:tcPr>
            <w:tcW w:type="dxa" w:w="111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58 %</w:t>
            </w:r>
          </w:p>
        </w:tc>
        <w:tc>
          <w:tcPr>
            <w:tcW w:type="dxa" w:w="111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61 %</w:t>
            </w:r>
          </w:p>
        </w:tc>
        <w:tc>
          <w:tcPr>
            <w:tcW w:type="dxa" w:w="111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63 %</w:t>
            </w:r>
          </w:p>
        </w:tc>
        <w:tc>
          <w:tcPr>
            <w:tcW w:type="dxa" w:w="111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65 %</w:t>
            </w:r>
          </w:p>
        </w:tc>
        <w:tc>
          <w:tcPr>
            <w:tcW w:type="dxa" w:w="110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66 %</w:t>
            </w:r>
          </w:p>
        </w:tc>
      </w:tr>
      <w:tr>
        <w:trPr>
          <w:cantSplit/>
        </w:trPr>
        <w:tc>
          <w:tcPr>
            <w:tcW w:type="dxa" w:w="30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Occupation hivernale des chalets</w:t>
            </w:r>
          </w:p>
        </w:tc>
        <w:tc>
          <w:tcPr>
            <w:tcW w:type="dxa" w:w="11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0 %</w:t>
            </w:r>
          </w:p>
        </w:tc>
        <w:tc>
          <w:tcPr>
            <w:tcW w:type="dxa" w:w="111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12 %</w:t>
            </w:r>
          </w:p>
        </w:tc>
        <w:tc>
          <w:tcPr>
            <w:tcW w:type="dxa" w:w="111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18 %</w:t>
            </w:r>
          </w:p>
        </w:tc>
        <w:tc>
          <w:tcPr>
            <w:tcW w:type="dxa" w:w="111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22 %</w:t>
            </w:r>
          </w:p>
        </w:tc>
        <w:tc>
          <w:tcPr>
            <w:tcW w:type="dxa" w:w="111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24 %</w:t>
            </w:r>
          </w:p>
        </w:tc>
        <w:tc>
          <w:tcPr>
            <w:tcW w:type="dxa" w:w="110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25 %</w:t>
            </w:r>
          </w:p>
        </w:tc>
      </w:tr>
      <w:tr>
        <w:trPr>
          <w:cantSplit/>
        </w:trPr>
        <w:tc>
          <w:tcPr>
            <w:tcW w:type="dxa" w:w="30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Occupation annuelle de l'hôtel</w:t>
            </w:r>
          </w:p>
        </w:tc>
        <w:tc>
          <w:tcPr>
            <w:tcW w:type="dxa" w:w="11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w:t>
            </w:r>
          </w:p>
        </w:tc>
        <w:tc>
          <w:tcPr>
            <w:tcW w:type="dxa" w:w="111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35 %</w:t>
            </w:r>
          </w:p>
        </w:tc>
        <w:tc>
          <w:tcPr>
            <w:tcW w:type="dxa" w:w="111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42 %</w:t>
            </w:r>
          </w:p>
        </w:tc>
        <w:tc>
          <w:tcPr>
            <w:tcW w:type="dxa" w:w="111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48 %</w:t>
            </w:r>
          </w:p>
        </w:tc>
        <w:tc>
          <w:tcPr>
            <w:tcW w:type="dxa" w:w="111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52 %</w:t>
            </w:r>
          </w:p>
        </w:tc>
        <w:tc>
          <w:tcPr>
            <w:tcW w:type="dxa" w:w="110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55 %</w:t>
            </w:r>
          </w:p>
        </w:tc>
      </w:tr>
      <w:tr>
        <w:trPr>
          <w:cantSplit/>
        </w:trPr>
        <w:tc>
          <w:tcPr>
            <w:tcW w:type="dxa" w:w="30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Occupation estivale des unités Coolbox</w:t>
            </w:r>
          </w:p>
        </w:tc>
        <w:tc>
          <w:tcPr>
            <w:tcW w:type="dxa" w:w="11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w:t>
            </w:r>
          </w:p>
        </w:tc>
        <w:tc>
          <w:tcPr>
            <w:tcW w:type="dxa" w:w="111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60 %</w:t>
            </w:r>
          </w:p>
        </w:tc>
        <w:tc>
          <w:tcPr>
            <w:tcW w:type="dxa" w:w="111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65 %</w:t>
            </w:r>
          </w:p>
        </w:tc>
        <w:tc>
          <w:tcPr>
            <w:tcW w:type="dxa" w:w="111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68 %</w:t>
            </w:r>
          </w:p>
        </w:tc>
        <w:tc>
          <w:tcPr>
            <w:tcW w:type="dxa" w:w="111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70 %</w:t>
            </w:r>
          </w:p>
        </w:tc>
        <w:tc>
          <w:tcPr>
            <w:tcW w:type="dxa" w:w="110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70 %</w:t>
            </w:r>
          </w:p>
        </w:tc>
      </w:tr>
      <w:tr>
        <w:trPr>
          <w:cantSplit/>
        </w:trPr>
        <w:tc>
          <w:tcPr>
            <w:tcW w:type="dxa" w:w="30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Restauration et bars / revenus d'hébergement</w:t>
            </w:r>
          </w:p>
        </w:tc>
        <w:tc>
          <w:tcPr>
            <w:tcW w:type="dxa" w:w="11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6,5 %</w:t>
            </w:r>
          </w:p>
        </w:tc>
        <w:tc>
          <w:tcPr>
            <w:tcW w:type="dxa" w:w="111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12 %</w:t>
            </w:r>
          </w:p>
        </w:tc>
        <w:tc>
          <w:tcPr>
            <w:tcW w:type="dxa" w:w="111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17 %</w:t>
            </w:r>
          </w:p>
        </w:tc>
        <w:tc>
          <w:tcPr>
            <w:tcW w:type="dxa" w:w="111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20 %</w:t>
            </w:r>
          </w:p>
        </w:tc>
        <w:tc>
          <w:tcPr>
            <w:tcW w:type="dxa" w:w="111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22 %</w:t>
            </w:r>
          </w:p>
        </w:tc>
        <w:tc>
          <w:tcPr>
            <w:tcW w:type="dxa" w:w="110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23 %</w:t>
            </w:r>
          </w:p>
        </w:tc>
      </w:tr>
      <w:tr>
        <w:trPr>
          <w:cantSplit/>
        </w:trPr>
        <w:tc>
          <w:tcPr>
            <w:tcW w:type="dxa" w:w="30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Panier moyen par transaction</w:t>
            </w:r>
          </w:p>
        </w:tc>
        <w:tc>
          <w:tcPr>
            <w:tcW w:type="dxa" w:w="11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158 $</w:t>
            </w:r>
          </w:p>
        </w:tc>
        <w:tc>
          <w:tcPr>
            <w:tcW w:type="dxa" w:w="111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w:t>
            </w:r>
          </w:p>
        </w:tc>
        <w:tc>
          <w:tcPr>
            <w:tcW w:type="dxa" w:w="111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w:t>
            </w:r>
          </w:p>
        </w:tc>
        <w:tc>
          <w:tcPr>
            <w:tcW w:type="dxa" w:w="111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w:t>
            </w:r>
          </w:p>
        </w:tc>
        <w:tc>
          <w:tcPr>
            <w:tcW w:type="dxa" w:w="111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w:t>
            </w:r>
          </w:p>
        </w:tc>
        <w:tc>
          <w:tcPr>
            <w:tcW w:type="dxa" w:w="110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w:t>
            </w:r>
          </w:p>
        </w:tc>
      </w:tr>
    </w:tbl>
    <w:p>
      <w:pPr>
        <w:pageBreakBefore/>
        <w:spacing w:after="0" w:before="0" w:line="20" w:lineRule="exact"/>
      </w:pPr>
      <w:r>
        <w:drawing>
          <wp:anchor distT="0" distB="0" distL="0" distR="0" simplePos="0" allowOverlap="1" behindDoc="1" locked="1" layoutInCell="0" relativeHeight="3838575">
            <wp:simplePos x="0" y="0"/>
            <wp:positionH relativeFrom="page">
              <wp:posOffset>0</wp:posOffset>
            </wp:positionH>
            <wp:positionV relativeFrom="page">
              <wp:posOffset>566928</wp:posOffset>
            </wp:positionV>
            <wp:extent cx="7772400" cy="3838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7772400" cy="3838575"/>
                    </a:xfrm>
                    <a:prstGeom prst="rect">
                      <a:avLst/>
                    </a:prstGeom>
                  </pic:spPr>
                </pic:pic>
              </a:graphicData>
            </a:graphic>
          </wp:anchor>
        </w:drawing>
      </w:r>
    </w:p>
    <w:p>
      <w:pPr>
        <w:spacing w:after="0" w:before="0" w:line="3800" w:lineRule="exact"/>
      </w:pPr>
    </w:p>
    <w:p>
      <w:pPr>
        <w:spacing w:after="60" w:before="0"/>
      </w:pPr>
      <w:r>
        <w:rPr>
          <w:rFonts w:ascii="Calibri" w:cs="Calibri" w:eastAsia="Calibri" w:hAnsi="Calibri"/>
          <w:b/>
          <w:bCs/>
          <w:color w:val="F4B942"/>
          <w:sz w:val="26"/>
          <w:szCs w:val="26"/>
        </w:rPr>
        <w:t xml:space="preserve">06</w:t>
      </w:r>
    </w:p>
    <w:p>
      <w:pPr>
        <w:pStyle w:val="Heading1"/>
        <w:spacing w:after="0" w:before="0"/>
      </w:pPr>
      <w:r>
        <w:rPr>
          <w:rFonts w:ascii="Calibri" w:cs="Calibri" w:eastAsia="Calibri" w:hAnsi="Calibri"/>
          <w:b/>
          <w:bCs/>
          <w:color w:val="FFFFFF"/>
          <w:sz w:val="46"/>
          <w:szCs w:val="46"/>
        </w:rPr>
        <w:t xml:space="preserve">Plan d'exploitation</w:t>
      </w:r>
    </w:p>
    <w:p>
      <w:pPr>
        <w:spacing w:after="0" w:before="0" w:line="1250" w:lineRule="exact"/>
      </w:pPr>
    </w:p>
    <w:p>
      <w:pPr>
        <w:spacing w:after="240" w:before="0" w:line="300"/>
      </w:pPr>
      <w:r>
        <w:rPr>
          <w:rFonts w:ascii="Georgia" w:cs="Georgia" w:eastAsia="Georgia" w:hAnsi="Georgia"/>
          <w:i/>
          <w:iCs/>
          <w:color w:val="2BB5BF"/>
          <w:sz w:val="25"/>
          <w:szCs w:val="25"/>
        </w:rPr>
        <w:t xml:space="preserve">Passer de six à douze mois d'activité : effectifs construits poste par poste, infrastructures suivies par des ingénieurs, entretien au niveau réel.</w:t>
      </w:r>
    </w:p>
    <w:p>
      <w:pPr>
        <w:pStyle w:val="Heading2"/>
        <w:keepNext/>
        <w:spacing w:after="120" w:before="300"/>
      </w:pPr>
      <w:r>
        <w:rPr>
          <w:rFonts w:ascii="Calibri" w:cs="Calibri" w:eastAsia="Calibri" w:hAnsi="Calibri"/>
          <w:b/>
          <w:bCs/>
          <w:color w:val="0C4A5E"/>
          <w:sz w:val="27"/>
          <w:szCs w:val="27"/>
        </w:rPr>
        <w:t xml:space="preserve">6.1 Organisation</w:t>
      </w:r>
    </w:p>
    <w:p>
      <w:pPr>
        <w:spacing w:after="120" w:before="0" w:line="276"/>
        <w:jc w:val="left"/>
      </w:pPr>
      <w:r>
        <w:rPr>
          <w:rFonts w:ascii="Calibri" w:cs="Calibri" w:eastAsia="Calibri" w:hAnsi="Calibri"/>
        </w:rPr>
        <w:t xml:space="preserve">Cinq services : hébergement et réservations, restauration, animation et événements, entretien et infrastructures, administration. Chaque service relève d'un responsable qui rend compte à la direction générale.</w:t>
      </w:r>
    </w:p>
    <w:p>
      <w:pPr>
        <w:pStyle w:val="Heading2"/>
        <w:keepNext/>
        <w:spacing w:after="120" w:before="300"/>
      </w:pPr>
      <w:r>
        <w:rPr>
          <w:rFonts w:ascii="Calibri" w:cs="Calibri" w:eastAsia="Calibri" w:hAnsi="Calibri"/>
          <w:b/>
          <w:bCs/>
          <w:color w:val="0C4A5E"/>
          <w:sz w:val="27"/>
          <w:szCs w:val="27"/>
        </w:rPr>
        <w:t xml:space="preserve">6.2 Effectifs</w:t>
      </w:r>
    </w:p>
    <w:p>
      <w:pPr>
        <w:spacing w:after="120" w:before="0" w:line="276"/>
        <w:jc w:val="left"/>
      </w:pPr>
      <w:r>
        <w:rPr>
          <w:rFonts w:ascii="Calibri" w:cs="Calibri" w:eastAsia="Calibri" w:hAnsi="Calibri"/>
        </w:rPr>
        <w:t xml:space="preserve">La masse salariale est le résultat d'un tableau d'effectifs (postes, mois, heures, taux horaire chargé) présenté dans le classeur financier, et non un pourcentage cible. Elle représente 36 % des revenus en An 1 et 30 % en An 5, en ligne avec la normalisation de l'évaluation par les revenus de 2021 (30 %). Recrutement : logement des employés sur le site, postes à l'année, partenariats avec les écoles hôtelières.</w:t>
      </w:r>
    </w:p>
    <w:tbl>
      <w:tblPr>
        <w:tblW w:type="dxa" w:w="9648"/>
        <w:tblBorders>
          <w:top w:val="none" w:color="FFFFFF" w:sz="0"/>
          <w:left w:val="none" w:color="FFFFFF" w:sz="0"/>
          <w:bottom w:val="single" w:color="0C4A5E" w:sz="8"/>
          <w:right w:val="none" w:color="FFFFFF" w:sz="0"/>
          <w:insideH w:val="single" w:color="CFE3E6" w:sz="4"/>
          <w:insideV w:val="none" w:color="FFFFFF" w:sz="0"/>
        </w:tblBorders>
      </w:tblPr>
      <w:tblGrid>
        <w:gridCol w:w="4200"/>
        <w:gridCol w:w="1300"/>
        <w:gridCol w:w="1300"/>
        <w:gridCol w:w="2848"/>
      </w:tblGrid>
      <w:tr>
        <w:trPr>
          <w:tblHeader/>
        </w:trPr>
        <w:tc>
          <w:tcPr>
            <w:tcW w:type="dxa" w:w="4200"/>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7"/>
                <w:szCs w:val="17"/>
              </w:rPr>
              <w:t xml:space="preserve">Poste</w:t>
            </w:r>
          </w:p>
        </w:tc>
        <w:tc>
          <w:tcPr>
            <w:tcW w:type="dxa" w:w="130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7"/>
                <w:szCs w:val="17"/>
              </w:rPr>
              <w:t xml:space="preserve">Été (ETP)</w:t>
            </w:r>
          </w:p>
        </w:tc>
        <w:tc>
          <w:tcPr>
            <w:tcW w:type="dxa" w:w="130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7"/>
                <w:szCs w:val="17"/>
              </w:rPr>
              <w:t xml:space="preserve">Hiver (ETP)</w:t>
            </w:r>
          </w:p>
        </w:tc>
        <w:tc>
          <w:tcPr>
            <w:tcW w:type="dxa" w:w="2848"/>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7"/>
                <w:szCs w:val="17"/>
              </w:rPr>
              <w:t xml:space="preserve">Base</w:t>
            </w:r>
          </w:p>
        </w:tc>
      </w:tr>
      <w:tr>
        <w:trPr>
          <w:cantSplit/>
        </w:trPr>
        <w:tc>
          <w:tcPr>
            <w:tcW w:type="dxa" w:w="42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Direction générale et finances</w:t>
            </w:r>
          </w:p>
        </w:tc>
        <w:tc>
          <w:tcPr>
            <w:tcW w:type="dxa" w:w="13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2</w:t>
            </w:r>
          </w:p>
        </w:tc>
        <w:tc>
          <w:tcPr>
            <w:tcW w:type="dxa" w:w="13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2</w:t>
            </w:r>
          </w:p>
        </w:tc>
        <w:tc>
          <w:tcPr>
            <w:tcW w:type="dxa" w:w="28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Salariés à l'année</w:t>
            </w:r>
          </w:p>
        </w:tc>
      </w:tr>
      <w:tr>
        <w:trPr>
          <w:cantSplit/>
        </w:trPr>
        <w:tc>
          <w:tcPr>
            <w:tcW w:type="dxa" w:w="42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Accueil et réservations (hôtel 24/7 dès juillet 2027)</w:t>
            </w:r>
          </w:p>
        </w:tc>
        <w:tc>
          <w:tcPr>
            <w:tcW w:type="dxa" w:w="13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5</w:t>
            </w:r>
          </w:p>
        </w:tc>
        <w:tc>
          <w:tcPr>
            <w:tcW w:type="dxa" w:w="13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4</w:t>
            </w:r>
          </w:p>
        </w:tc>
        <w:tc>
          <w:tcPr>
            <w:tcW w:type="dxa" w:w="28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 4,2 ETP pour une réception 24/7</w:t>
            </w:r>
          </w:p>
        </w:tc>
      </w:tr>
      <w:tr>
        <w:trPr>
          <w:cantSplit/>
        </w:trPr>
        <w:tc>
          <w:tcPr>
            <w:tcW w:type="dxa" w:w="42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Entretien ménager et buanderie</w:t>
            </w:r>
          </w:p>
        </w:tc>
        <w:tc>
          <w:tcPr>
            <w:tcW w:type="dxa" w:w="13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8</w:t>
            </w:r>
          </w:p>
        </w:tc>
        <w:tc>
          <w:tcPr>
            <w:tcW w:type="dxa" w:w="13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3</w:t>
            </w:r>
          </w:p>
        </w:tc>
        <w:tc>
          <w:tcPr>
            <w:tcW w:type="dxa" w:w="28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1 ETP par 8 à 10 unités louées</w:t>
            </w:r>
          </w:p>
        </w:tc>
      </w:tr>
      <w:tr>
        <w:trPr>
          <w:cantSplit/>
        </w:trPr>
        <w:tc>
          <w:tcPr>
            <w:tcW w:type="dxa" w:w="42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Restauration (cuisine et service)</w:t>
            </w:r>
          </w:p>
        </w:tc>
        <w:tc>
          <w:tcPr>
            <w:tcW w:type="dxa" w:w="13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8</w:t>
            </w:r>
          </w:p>
        </w:tc>
        <w:tc>
          <w:tcPr>
            <w:tcW w:type="dxa" w:w="13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3</w:t>
            </w:r>
          </w:p>
        </w:tc>
        <w:tc>
          <w:tcPr>
            <w:tcW w:type="dxa" w:w="28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Restaurant ouvert 12 mois, service réduit l'hiver</w:t>
            </w:r>
          </w:p>
        </w:tc>
      </w:tr>
      <w:tr>
        <w:trPr>
          <w:cantSplit/>
        </w:trPr>
        <w:tc>
          <w:tcPr>
            <w:tcW w:type="dxa" w:w="42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Animation, événements, sécurité</w:t>
            </w:r>
          </w:p>
        </w:tc>
        <w:tc>
          <w:tcPr>
            <w:tcW w:type="dxa" w:w="13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6</w:t>
            </w:r>
          </w:p>
        </w:tc>
        <w:tc>
          <w:tcPr>
            <w:tcW w:type="dxa" w:w="13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1</w:t>
            </w:r>
          </w:p>
        </w:tc>
        <w:tc>
          <w:tcPr>
            <w:tcW w:type="dxa" w:w="28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Programmation d'été</w:t>
            </w:r>
          </w:p>
        </w:tc>
      </w:tr>
      <w:tr>
        <w:trPr>
          <w:cantSplit/>
        </w:trPr>
        <w:tc>
          <w:tcPr>
            <w:tcW w:type="dxa" w:w="42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Entretien des terrains, bâtiments, infrastructures</w:t>
            </w:r>
          </w:p>
        </w:tc>
        <w:tc>
          <w:tcPr>
            <w:tcW w:type="dxa" w:w="13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5</w:t>
            </w:r>
          </w:p>
        </w:tc>
        <w:tc>
          <w:tcPr>
            <w:tcW w:type="dxa" w:w="13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2</w:t>
            </w:r>
          </w:p>
        </w:tc>
        <w:tc>
          <w:tcPr>
            <w:tcW w:type="dxa" w:w="28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Usine d'épuration, chauffage, déneigement</w:t>
            </w:r>
          </w:p>
        </w:tc>
      </w:tr>
      <w:tr>
        <w:trPr>
          <w:cantSplit/>
        </w:trPr>
        <w:tc>
          <w:tcPr>
            <w:tcW w:type="dxa" w:w="4200"/>
            <w:shd w:fill="CFE3E6"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1E2A2E"/>
                <w:sz w:val="17"/>
                <w:szCs w:val="17"/>
              </w:rPr>
              <w:t xml:space="preserve">Total approximatif</w:t>
            </w:r>
          </w:p>
        </w:tc>
        <w:tc>
          <w:tcPr>
            <w:tcW w:type="dxa" w:w="1300"/>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7"/>
                <w:szCs w:val="17"/>
              </w:rPr>
              <w:t xml:space="preserve">34</w:t>
            </w:r>
          </w:p>
        </w:tc>
        <w:tc>
          <w:tcPr>
            <w:tcW w:type="dxa" w:w="1300"/>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7"/>
                <w:szCs w:val="17"/>
              </w:rPr>
              <w:t xml:space="preserve">15</w:t>
            </w:r>
          </w:p>
        </w:tc>
        <w:tc>
          <w:tcPr>
            <w:tcW w:type="dxa" w:w="2848"/>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7"/>
                <w:szCs w:val="17"/>
              </w:rPr>
              <w:t xml:space="preserve">Détail mensuel dans le classeur (annexe H)</w:t>
            </w:r>
          </w:p>
        </w:tc>
      </w:tr>
    </w:tbl>
    <w:p>
      <w:pPr>
        <w:pStyle w:val="Heading2"/>
        <w:keepNext/>
        <w:spacing w:after="120" w:before="300"/>
      </w:pPr>
      <w:r>
        <w:rPr>
          <w:rFonts w:ascii="Calibri" w:cs="Calibri" w:eastAsia="Calibri" w:hAnsi="Calibri"/>
          <w:b/>
          <w:bCs/>
          <w:color w:val="0C4A5E"/>
          <w:sz w:val="27"/>
          <w:szCs w:val="27"/>
        </w:rPr>
        <w:t xml:space="preserve">6.3 Eau, énergie et infrastructures</w:t>
      </w:r>
    </w:p>
    <w:p>
      <w:pPr>
        <w:pStyle w:val="ListParagraph"/>
        <w:numPr>
          <w:ilvl w:val="0"/>
          <w:numId w:val="2"/>
        </w:numPr>
        <w:spacing w:after="80" w:line="276"/>
      </w:pPr>
      <w:r>
        <w:rPr>
          <w:rFonts w:ascii="Calibri" w:cs="Calibri" w:eastAsia="Calibri" w:hAnsi="Calibri"/>
          <w:color w:val="1E2A2E"/>
          <w:sz w:val="21"/>
          <w:szCs w:val="21"/>
        </w:rPr>
        <w:t xml:space="preserve">Usine d'épuration privée (2019, 1,0 M$), conçue dans l'optique d'une expansion ; suivi par ingénieur pour l'exploitation douze mois.</w:t>
      </w:r>
    </w:p>
    <w:p>
      <w:pPr>
        <w:pStyle w:val="ListParagraph"/>
        <w:numPr>
          <w:ilvl w:val="0"/>
          <w:numId w:val="2"/>
        </w:numPr>
        <w:spacing w:after="80" w:line="276"/>
      </w:pPr>
      <w:r>
        <w:rPr>
          <w:rFonts w:ascii="Calibri" w:cs="Calibri" w:eastAsia="Calibri" w:hAnsi="Calibri"/>
          <w:color w:val="1E2A2E"/>
          <w:sz w:val="21"/>
          <w:szCs w:val="21"/>
        </w:rPr>
        <w:t xml:space="preserve">Puits et eau potable : suivi réglementaire en continu.</w:t>
      </w:r>
    </w:p>
    <w:p>
      <w:pPr>
        <w:pStyle w:val="ListParagraph"/>
        <w:numPr>
          <w:ilvl w:val="0"/>
          <w:numId w:val="2"/>
        </w:numPr>
        <w:spacing w:after="80" w:line="276"/>
      </w:pPr>
      <w:r>
        <w:rPr>
          <w:rFonts w:ascii="Calibri" w:cs="Calibri" w:eastAsia="Calibri" w:hAnsi="Calibri"/>
          <w:color w:val="1E2A2E"/>
          <w:sz w:val="21"/>
          <w:szCs w:val="21"/>
        </w:rPr>
        <w:t xml:space="preserve">Énergie : le poste passe de 242 500 $ (2026) à 450 000 $ en An 5 ; étude d'efficacité énergétique (thermopompes, enveloppe de l'hôtel) et programmes Hydro-Québec affaires, non comptés dans les projections.</w:t>
      </w:r>
    </w:p>
    <w:p>
      <w:pPr>
        <w:pStyle w:val="ListParagraph"/>
        <w:numPr>
          <w:ilvl w:val="0"/>
          <w:numId w:val="2"/>
        </w:numPr>
        <w:spacing w:after="80" w:line="276"/>
      </w:pPr>
      <w:r>
        <w:rPr>
          <w:rFonts w:ascii="Calibri" w:cs="Calibri" w:eastAsia="Calibri" w:hAnsi="Calibri"/>
          <w:color w:val="1E2A2E"/>
          <w:sz w:val="21"/>
          <w:szCs w:val="21"/>
        </w:rPr>
        <w:t xml:space="preserve">Entretien : 8 % des revenus (norme de l'évaluation 2021) plus 2 % d'immobilisations de maintien ; véhicules et essence inscrits séparément.</w:t>
      </w:r>
    </w:p>
    <w:p>
      <w:pPr>
        <w:pStyle w:val="Heading2"/>
        <w:keepNext/>
        <w:spacing w:after="120" w:before="300"/>
      </w:pPr>
      <w:r>
        <w:rPr>
          <w:rFonts w:ascii="Calibri" w:cs="Calibri" w:eastAsia="Calibri" w:hAnsi="Calibri"/>
          <w:b/>
          <w:bCs/>
          <w:color w:val="0C4A5E"/>
          <w:sz w:val="27"/>
          <w:szCs w:val="27"/>
        </w:rPr>
        <w:t xml:space="preserve">6.4 Systèmes et rapports au prêteur</w:t>
      </w:r>
    </w:p>
    <w:p>
      <w:pPr>
        <w:pStyle w:val="ListParagraph"/>
        <w:numPr>
          <w:ilvl w:val="0"/>
          <w:numId w:val="2"/>
        </w:numPr>
        <w:spacing w:after="80" w:line="276"/>
      </w:pPr>
      <w:r>
        <w:rPr>
          <w:rFonts w:ascii="Calibri" w:cs="Calibri" w:eastAsia="Calibri" w:hAnsi="Calibri"/>
          <w:color w:val="1E2A2E"/>
          <w:sz w:val="21"/>
          <w:szCs w:val="21"/>
        </w:rPr>
        <w:t xml:space="preserve">Réservations : Pixum (camping) et plateforme Coolbox (unités) ; système hôtelier avec gestionnaire de canaux pour l'hôtel et les villas.</w:t>
      </w:r>
    </w:p>
    <w:p>
      <w:pPr>
        <w:pStyle w:val="ListParagraph"/>
        <w:numPr>
          <w:ilvl w:val="0"/>
          <w:numId w:val="2"/>
        </w:numPr>
        <w:spacing w:after="80" w:line="276"/>
      </w:pPr>
      <w:r>
        <w:rPr>
          <w:rFonts w:ascii="Calibri" w:cs="Calibri" w:eastAsia="Calibri" w:hAnsi="Calibri"/>
          <w:color w:val="1E2A2E"/>
          <w:sz w:val="21"/>
          <w:szCs w:val="21"/>
        </w:rPr>
        <w:t xml:space="preserve">Point de vente restauration intégré à la comptabilité ; comptabilité et paie par une firme comptable externe ; états financiers audités à compter de l'exercice 2028.</w:t>
      </w:r>
    </w:p>
    <w:p>
      <w:pPr>
        <w:pStyle w:val="ListParagraph"/>
        <w:numPr>
          <w:ilvl w:val="0"/>
          <w:numId w:val="2"/>
        </w:numPr>
        <w:spacing w:after="80" w:line="276"/>
      </w:pPr>
      <w:r>
        <w:rPr>
          <w:rFonts w:ascii="Calibri" w:cs="Calibri" w:eastAsia="Calibri" w:hAnsi="Calibri"/>
          <w:color w:val="1E2A2E"/>
          <w:sz w:val="21"/>
          <w:szCs w:val="21"/>
        </w:rPr>
        <w:t xml:space="preserve">Rapports trimestriels : tableau de bord (5.6), ventes par catégorie, encaisse, avancement des travaux.</w:t>
      </w:r>
    </w:p>
    <w:p>
      <w:pPr>
        <w:pStyle w:val="Heading2"/>
        <w:keepNext/>
        <w:spacing w:after="120" w:before="300"/>
      </w:pPr>
      <w:r>
        <w:rPr>
          <w:rFonts w:ascii="Calibri" w:cs="Calibri" w:eastAsia="Calibri" w:hAnsi="Calibri"/>
          <w:b/>
          <w:bCs/>
          <w:color w:val="0C4A5E"/>
          <w:sz w:val="27"/>
          <w:szCs w:val="27"/>
        </w:rPr>
        <w:t xml:space="preserve">6.5 Unités Coolbox : exploitation</w:t>
      </w:r>
    </w:p>
    <w:p>
      <w:pPr>
        <w:spacing w:after="120" w:before="0" w:line="276"/>
        <w:jc w:val="left"/>
      </w:pPr>
      <w:r>
        <w:rPr>
          <w:rFonts w:ascii="Calibri" w:cs="Calibri" w:eastAsia="Calibri" w:hAnsi="Calibri"/>
        </w:rPr>
        <w:t xml:space="preserve">Les 20 unités Coolbox appartiennent à Havana et entrent dans l'hypothèque mobilière. Elles sont vendues par la plateforme reservationcoolbox.ca et par les canaux du site ; le ménage, l'accueil et l'entretien courant sont assurés par les équipes de Havana, l'entretien du fabricant et la garantie par Coolbox HPA.</w:t>
      </w:r>
    </w:p>
    <w:p>
      <w:pPr>
        <w:pageBreakBefore/>
        <w:spacing w:after="0" w:before="0" w:line="20" w:lineRule="exact"/>
      </w:pPr>
      <w:r>
        <w:drawing>
          <wp:anchor distT="0" distB="0" distL="0" distR="0" simplePos="0" allowOverlap="1" behindDoc="1" locked="1" layoutInCell="0" relativeHeight="3838575">
            <wp:simplePos x="0" y="0"/>
            <wp:positionH relativeFrom="page">
              <wp:posOffset>0</wp:posOffset>
            </wp:positionH>
            <wp:positionV relativeFrom="page">
              <wp:posOffset>566928</wp:posOffset>
            </wp:positionV>
            <wp:extent cx="7772400" cy="3838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7772400" cy="3838575"/>
                    </a:xfrm>
                    <a:prstGeom prst="rect">
                      <a:avLst/>
                    </a:prstGeom>
                  </pic:spPr>
                </pic:pic>
              </a:graphicData>
            </a:graphic>
          </wp:anchor>
        </w:drawing>
      </w:r>
    </w:p>
    <w:p>
      <w:pPr>
        <w:spacing w:after="0" w:before="0" w:line="3800" w:lineRule="exact"/>
      </w:pPr>
    </w:p>
    <w:p>
      <w:pPr>
        <w:spacing w:after="60" w:before="0"/>
      </w:pPr>
      <w:r>
        <w:rPr>
          <w:rFonts w:ascii="Calibri" w:cs="Calibri" w:eastAsia="Calibri" w:hAnsi="Calibri"/>
          <w:b/>
          <w:bCs/>
          <w:color w:val="F4B942"/>
          <w:sz w:val="26"/>
          <w:szCs w:val="26"/>
        </w:rPr>
        <w:t xml:space="preserve">07</w:t>
      </w:r>
    </w:p>
    <w:p>
      <w:pPr>
        <w:pStyle w:val="Heading1"/>
        <w:spacing w:after="0" w:before="0"/>
      </w:pPr>
      <w:r>
        <w:rPr>
          <w:rFonts w:ascii="Calibri" w:cs="Calibri" w:eastAsia="Calibri" w:hAnsi="Calibri"/>
          <w:b/>
          <w:bCs/>
          <w:color w:val="FFFFFF"/>
          <w:sz w:val="46"/>
          <w:szCs w:val="46"/>
        </w:rPr>
        <w:t xml:space="preserve">Équipe de direction et partenaires</w:t>
      </w:r>
    </w:p>
    <w:p>
      <w:pPr>
        <w:spacing w:after="0" w:before="0" w:line="1250" w:lineRule="exact"/>
      </w:pPr>
    </w:p>
    <w:p>
      <w:pPr>
        <w:spacing w:after="240" w:before="0" w:line="300"/>
      </w:pPr>
      <w:r>
        <w:rPr>
          <w:rFonts w:ascii="Georgia" w:cs="Georgia" w:eastAsia="Georgia" w:hAnsi="Georgia"/>
          <w:i/>
          <w:iCs/>
          <w:color w:val="2BB5BF"/>
          <w:sz w:val="25"/>
          <w:szCs w:val="25"/>
        </w:rPr>
        <w:t xml:space="preserve">Une direction renouvelée, la famille fondatrice, et deux partenaires industriels qui construisent et exploitent déjà sur le site.</w:t>
      </w:r>
    </w:p>
    <w:tbl>
      <w:tblPr>
        <w:tblW w:type="dxa" w:w="9648"/>
        <w:tblBorders>
          <w:top w:val="none" w:color="FFFFFF" w:sz="0"/>
          <w:left w:val="none" w:color="FFFFFF" w:sz="0"/>
          <w:bottom w:val="single" w:color="0C4A5E" w:sz="8"/>
          <w:right w:val="none" w:color="FFFFFF" w:sz="0"/>
          <w:insideH w:val="single" w:color="CFE3E6" w:sz="4"/>
          <w:insideV w:val="none" w:color="FFFFFF" w:sz="0"/>
        </w:tblBorders>
      </w:tblPr>
      <w:tblGrid>
        <w:gridCol w:w="2400"/>
        <w:gridCol w:w="2400"/>
        <w:gridCol w:w="4848"/>
      </w:tblGrid>
      <w:tr>
        <w:trPr>
          <w:tblHeader/>
        </w:trPr>
        <w:tc>
          <w:tcPr>
            <w:tcW w:type="dxa" w:w="2400"/>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8"/>
                <w:szCs w:val="18"/>
              </w:rPr>
              <w:t xml:space="preserve">Nom</w:t>
            </w:r>
          </w:p>
        </w:tc>
        <w:tc>
          <w:tcPr>
            <w:tcW w:type="dxa" w:w="2400"/>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8"/>
                <w:szCs w:val="18"/>
              </w:rPr>
              <w:t xml:space="preserve">Rôle</w:t>
            </w:r>
          </w:p>
        </w:tc>
        <w:tc>
          <w:tcPr>
            <w:tcW w:type="dxa" w:w="4848"/>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8"/>
                <w:szCs w:val="18"/>
              </w:rPr>
              <w:t xml:space="preserve">Responsabilités dans le projet</w:t>
            </w:r>
          </w:p>
        </w:tc>
      </w:tr>
      <w:tr>
        <w:trPr>
          <w:cantSplit/>
        </w:trPr>
        <w:tc>
          <w:tcPr>
            <w:tcW w:type="dxa" w:w="24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Dominic Perrier</w:t>
            </w:r>
          </w:p>
        </w:tc>
        <w:tc>
          <w:tcPr>
            <w:tcW w:type="dxa" w:w="24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Direction générale, fondateur</w:t>
            </w:r>
          </w:p>
        </w:tc>
        <w:tc>
          <w:tcPr>
            <w:tcW w:type="dxa" w:w="48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Concept, opérations, animation et relations avec la clientèle depuis 2015</w:t>
            </w:r>
          </w:p>
        </w:tc>
      </w:tr>
      <w:tr>
        <w:trPr>
          <w:cantSplit/>
        </w:trPr>
        <w:tc>
          <w:tcPr>
            <w:tcW w:type="dxa" w:w="24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Famille Perrier</w:t>
            </w:r>
          </w:p>
        </w:tc>
        <w:tc>
          <w:tcPr>
            <w:tcW w:type="dxa" w:w="24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Actionnaires</w:t>
            </w:r>
          </w:p>
        </w:tc>
        <w:tc>
          <w:tcPr>
            <w:tcW w:type="dxa" w:w="4848"/>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Continuité de la vision, relations avec la clientèle</w:t>
            </w:r>
          </w:p>
        </w:tc>
      </w:tr>
      <w:tr>
        <w:trPr>
          <w:cantSplit/>
        </w:trPr>
        <w:tc>
          <w:tcPr>
            <w:tcW w:type="dxa" w:w="24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Direction des opérations, restauration et administration</w:t>
            </w:r>
          </w:p>
        </w:tc>
        <w:tc>
          <w:tcPr>
            <w:tcW w:type="dxa" w:w="24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Responsables de service</w:t>
            </w:r>
          </w:p>
        </w:tc>
        <w:tc>
          <w:tcPr>
            <w:tcW w:type="dxa" w:w="48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Hébergement, entretien, saisonniers ; restaurant Madera et événements ; comptabilité, trésorerie et rapports au prêteur</w:t>
            </w:r>
          </w:p>
        </w:tc>
      </w:tr>
      <w:tr>
        <w:trPr>
          <w:cantSplit/>
        </w:trPr>
        <w:tc>
          <w:tcPr>
            <w:tcW w:type="dxa" w:w="24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Francis Tremblay – Coolbox HPA</w:t>
            </w:r>
          </w:p>
        </w:tc>
        <w:tc>
          <w:tcPr>
            <w:tcW w:type="dxa" w:w="24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Partenaire industriel</w:t>
            </w:r>
          </w:p>
        </w:tc>
        <w:tc>
          <w:tcPr>
            <w:tcW w:type="dxa" w:w="4848"/>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Unités quatre saisons, plateforme de vente, exploitation des 9 unités existantes</w:t>
            </w:r>
          </w:p>
        </w:tc>
      </w:tr>
      <w:tr>
        <w:trPr>
          <w:cantSplit/>
        </w:trPr>
        <w:tc>
          <w:tcPr>
            <w:tcW w:type="dxa" w:w="24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Jean-Sébastien Tremblay – Construction Prospère</w:t>
            </w:r>
          </w:p>
        </w:tc>
        <w:tc>
          <w:tcPr>
            <w:tcW w:type="dxa" w:w="24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Entrepreneur général</w:t>
            </w:r>
          </w:p>
        </w:tc>
        <w:tc>
          <w:tcPr>
            <w:tcW w:type="dxa" w:w="48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Contrat à forfait, cautionnements, calendrier de chantier</w:t>
            </w:r>
          </w:p>
        </w:tc>
      </w:tr>
    </w:tbl>
    <w:p>
      <w:pPr>
        <w:spacing w:after="120"/>
      </w:pPr>
    </w:p>
    <w:p>
      <w:pPr>
        <w:pStyle w:val="Heading2"/>
        <w:keepNext/>
        <w:spacing w:after="120" w:before="300"/>
      </w:pPr>
      <w:r>
        <w:rPr>
          <w:rFonts w:ascii="Calibri" w:cs="Calibri" w:eastAsia="Calibri" w:hAnsi="Calibri"/>
          <w:b/>
          <w:bCs/>
          <w:color w:val="0C4A5E"/>
          <w:sz w:val="27"/>
          <w:szCs w:val="27"/>
        </w:rPr>
        <w:t xml:space="preserve">Conseillers externes</w:t>
      </w:r>
    </w:p>
    <w:p>
      <w:pPr>
        <w:pStyle w:val="ListParagraph"/>
        <w:numPr>
          <w:ilvl w:val="0"/>
          <w:numId w:val="2"/>
        </w:numPr>
        <w:spacing w:after="80" w:line="276"/>
      </w:pPr>
      <w:r>
        <w:rPr>
          <w:rFonts w:ascii="Calibri" w:cs="Calibri" w:eastAsia="Calibri" w:hAnsi="Calibri"/>
          <w:color w:val="1E2A2E"/>
          <w:sz w:val="21"/>
          <w:szCs w:val="21"/>
        </w:rPr>
        <w:t xml:space="preserve">Firme comptable : états financiers, audit dès 2028, classeur financier.</w:t>
      </w:r>
    </w:p>
    <w:p>
      <w:pPr>
        <w:pStyle w:val="ListParagraph"/>
        <w:numPr>
          <w:ilvl w:val="0"/>
          <w:numId w:val="2"/>
        </w:numPr>
        <w:spacing w:after="80" w:line="276"/>
      </w:pPr>
      <w:r>
        <w:rPr>
          <w:rFonts w:ascii="Calibri" w:cs="Calibri" w:eastAsia="Calibri" w:hAnsi="Calibri"/>
          <w:color w:val="1E2A2E"/>
          <w:sz w:val="21"/>
          <w:szCs w:val="21"/>
        </w:rPr>
        <w:t xml:space="preserve">Conseiller juridique : contrats des partenaires et du financement.</w:t>
      </w:r>
    </w:p>
    <w:p>
      <w:pPr>
        <w:pStyle w:val="ListParagraph"/>
        <w:numPr>
          <w:ilvl w:val="0"/>
          <w:numId w:val="2"/>
        </w:numPr>
        <w:spacing w:after="80" w:line="276"/>
      </w:pPr>
      <w:r>
        <w:rPr>
          <w:rFonts w:ascii="Calibri" w:cs="Calibri" w:eastAsia="Calibri" w:hAnsi="Calibri"/>
          <w:color w:val="1E2A2E"/>
          <w:sz w:val="21"/>
          <w:szCs w:val="21"/>
        </w:rPr>
        <w:t xml:space="preserve">Architecte et ingénieur : hôtel, restaurant, infrastructures.</w:t>
      </w:r>
    </w:p>
    <w:p>
      <w:pPr>
        <w:pStyle w:val="ListParagraph"/>
        <w:numPr>
          <w:ilvl w:val="0"/>
          <w:numId w:val="2"/>
        </w:numPr>
        <w:spacing w:after="80" w:line="276"/>
      </w:pPr>
      <w:r>
        <w:rPr>
          <w:rFonts w:ascii="Calibri" w:cs="Calibri" w:eastAsia="Calibri" w:hAnsi="Calibri"/>
          <w:color w:val="1E2A2E"/>
          <w:sz w:val="21"/>
          <w:szCs w:val="21"/>
        </w:rPr>
        <w:t xml:space="preserve">Évaluateur agréé mandaté par l'institution.</w:t>
      </w:r>
    </w:p>
    <w:p>
      <w:pPr>
        <w:pageBreakBefore/>
        <w:spacing w:after="0" w:before="0" w:line="20" w:lineRule="exact"/>
      </w:pPr>
      <w:r>
        <w:drawing>
          <wp:anchor distT="0" distB="0" distL="0" distR="0" simplePos="0" allowOverlap="1" behindDoc="1" locked="1" layoutInCell="0" relativeHeight="3838575">
            <wp:simplePos x="0" y="0"/>
            <wp:positionH relativeFrom="page">
              <wp:posOffset>0</wp:posOffset>
            </wp:positionH>
            <wp:positionV relativeFrom="page">
              <wp:posOffset>566928</wp:posOffset>
            </wp:positionV>
            <wp:extent cx="7772400" cy="3838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7772400" cy="3838575"/>
                    </a:xfrm>
                    <a:prstGeom prst="rect">
                      <a:avLst/>
                    </a:prstGeom>
                  </pic:spPr>
                </pic:pic>
              </a:graphicData>
            </a:graphic>
          </wp:anchor>
        </w:drawing>
      </w:r>
    </w:p>
    <w:p>
      <w:pPr>
        <w:spacing w:after="0" w:before="0" w:line="3800" w:lineRule="exact"/>
      </w:pPr>
    </w:p>
    <w:p>
      <w:pPr>
        <w:spacing w:after="60" w:before="0"/>
      </w:pPr>
      <w:r>
        <w:rPr>
          <w:rFonts w:ascii="Calibri" w:cs="Calibri" w:eastAsia="Calibri" w:hAnsi="Calibri"/>
          <w:b/>
          <w:bCs/>
          <w:color w:val="F4B942"/>
          <w:sz w:val="26"/>
          <w:szCs w:val="26"/>
        </w:rPr>
        <w:t xml:space="preserve">08</w:t>
      </w:r>
    </w:p>
    <w:p>
      <w:pPr>
        <w:pStyle w:val="Heading1"/>
        <w:spacing w:after="0" w:before="0"/>
      </w:pPr>
      <w:r>
        <w:rPr>
          <w:rFonts w:ascii="Calibri" w:cs="Calibri" w:eastAsia="Calibri" w:hAnsi="Calibri"/>
          <w:b/>
          <w:bCs/>
          <w:color w:val="FFFFFF"/>
          <w:sz w:val="46"/>
          <w:szCs w:val="46"/>
        </w:rPr>
        <w:t xml:space="preserve">Plan financier</w:t>
      </w:r>
    </w:p>
    <w:p>
      <w:pPr>
        <w:spacing w:after="0" w:before="0" w:line="1250" w:lineRule="exact"/>
      </w:pPr>
    </w:p>
    <w:p>
      <w:pPr>
        <w:spacing w:after="240" w:before="0" w:line="300"/>
      </w:pPr>
      <w:r>
        <w:rPr>
          <w:rFonts w:ascii="Georgia" w:cs="Georgia" w:eastAsia="Georgia" w:hAnsi="Georgia"/>
          <w:i/>
          <w:iCs/>
          <w:color w:val="2BB5BF"/>
          <w:sz w:val="25"/>
          <w:szCs w:val="25"/>
        </w:rPr>
        <w:t xml:space="preserve">Des projections qui partent de 2026 tel qu'il est, un montage en couches, et des ratios calculés comme la banque les calcule.</w:t>
      </w:r>
    </w:p>
    <w:p>
      <w:pPr>
        <w:pStyle w:val="Heading2"/>
        <w:keepNext/>
        <w:spacing w:after="120" w:before="300"/>
      </w:pPr>
      <w:r>
        <w:rPr>
          <w:rFonts w:ascii="Calibri" w:cs="Calibri" w:eastAsia="Calibri" w:hAnsi="Calibri"/>
          <w:b/>
          <w:bCs/>
          <w:color w:val="0C4A5E"/>
          <w:sz w:val="27"/>
          <w:szCs w:val="27"/>
        </w:rPr>
        <w:t xml:space="preserve">8.1 Hypothèses clés</w:t>
      </w:r>
    </w:p>
    <w:tbl>
      <w:tblPr>
        <w:tblW w:type="dxa" w:w="9648"/>
        <w:tblBorders>
          <w:top w:val="none" w:color="FFFFFF" w:sz="0"/>
          <w:left w:val="none" w:color="FFFFFF" w:sz="0"/>
          <w:bottom w:val="single" w:color="0C4A5E" w:sz="8"/>
          <w:right w:val="none" w:color="FFFFFF" w:sz="0"/>
          <w:insideH w:val="single" w:color="CFE3E6" w:sz="4"/>
          <w:insideV w:val="none" w:color="FFFFFF" w:sz="0"/>
        </w:tblBorders>
      </w:tblPr>
      <w:tblGrid>
        <w:gridCol w:w="2300"/>
        <w:gridCol w:w="3900"/>
        <w:gridCol w:w="3448"/>
      </w:tblGrid>
      <w:tr>
        <w:trPr>
          <w:tblHeader/>
        </w:trPr>
        <w:tc>
          <w:tcPr>
            <w:tcW w:type="dxa" w:w="2300"/>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6"/>
                <w:szCs w:val="16"/>
              </w:rPr>
              <w:t xml:space="preserve">Hypothèse</w:t>
            </w:r>
          </w:p>
        </w:tc>
        <w:tc>
          <w:tcPr>
            <w:tcW w:type="dxa" w:w="3900"/>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6"/>
                <w:szCs w:val="16"/>
              </w:rPr>
              <w:t xml:space="preserve">Valeur</w:t>
            </w:r>
          </w:p>
        </w:tc>
        <w:tc>
          <w:tcPr>
            <w:tcW w:type="dxa" w:w="3448"/>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6"/>
                <w:szCs w:val="16"/>
              </w:rPr>
              <w:t xml:space="preserve">Source ou statut</w:t>
            </w:r>
          </w:p>
        </w:tc>
      </w:tr>
      <w:tr>
        <w:trPr>
          <w:cantSplit/>
        </w:trPr>
        <w:tc>
          <w:tcPr>
            <w:tcW w:type="dxa" w:w="23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Point de départ</w:t>
            </w:r>
          </w:p>
        </w:tc>
        <w:tc>
          <w:tcPr>
            <w:tcW w:type="dxa" w:w="39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Ventes Pixum 2026 1 531 842 $ ; restauration et activités 196 700 $ ; part Coolbox 76 667 $</w:t>
            </w:r>
          </w:p>
        </w:tc>
        <w:tc>
          <w:tcPr>
            <w:tcW w:type="dxa" w:w="34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Rapports Pixum (annexe G), budget de la direction, avis de redevance 2026 (annexe J)</w:t>
            </w:r>
          </w:p>
        </w:tc>
      </w:tr>
      <w:tr>
        <w:trPr>
          <w:cantSplit/>
        </w:trPr>
        <w:tc>
          <w:tcPr>
            <w:tcW w:type="dxa" w:w="23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Indexation des tarifs</w:t>
            </w:r>
          </w:p>
        </w:tc>
        <w:tc>
          <w:tcPr>
            <w:tcW w:type="dxa" w:w="39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3 % par année</w:t>
            </w:r>
          </w:p>
        </w:tc>
        <w:tc>
          <w:tcPr>
            <w:tcW w:type="dxa" w:w="3448"/>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Pratique de l'industrie</w:t>
            </w:r>
          </w:p>
        </w:tc>
      </w:tr>
      <w:tr>
        <w:trPr>
          <w:cantSplit/>
        </w:trPr>
        <w:tc>
          <w:tcPr>
            <w:tcW w:type="dxa" w:w="23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Terrains de camping</w:t>
            </w:r>
          </w:p>
        </w:tc>
        <w:tc>
          <w:tcPr>
            <w:tcW w:type="dxa" w:w="39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Base 2026 indexée, gain d'occupation 0 % à 4 %</w:t>
            </w:r>
          </w:p>
        </w:tc>
        <w:tc>
          <w:tcPr>
            <w:tcW w:type="dxa" w:w="34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Pixum 2026 ; aucune capacité nouvelle</w:t>
            </w:r>
          </w:p>
        </w:tc>
      </w:tr>
      <w:tr>
        <w:trPr>
          <w:cantSplit/>
        </w:trPr>
        <w:tc>
          <w:tcPr>
            <w:tcW w:type="dxa" w:w="23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Terrains saisonniers</w:t>
            </w:r>
          </w:p>
        </w:tc>
        <w:tc>
          <w:tcPr>
            <w:tcW w:type="dxa" w:w="39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12 → 30 → 45 → 58 → 66 → 70 contrats à 3 650 $ indexés</w:t>
            </w:r>
          </w:p>
        </w:tc>
        <w:tc>
          <w:tcPr>
            <w:tcW w:type="dxa" w:w="3448"/>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12 contrats réels en 2026 ; conversion de terrains existants</w:t>
            </w:r>
          </w:p>
        </w:tc>
      </w:tr>
      <w:tr>
        <w:trPr>
          <w:cantSplit/>
        </w:trPr>
        <w:tc>
          <w:tcPr>
            <w:tcW w:type="dxa" w:w="23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Chalets (16)</w:t>
            </w:r>
          </w:p>
        </w:tc>
        <w:tc>
          <w:tcPr>
            <w:tcW w:type="dxa" w:w="39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Été 58 % → 66 % à 235 $ ; hiver 12 % → 25 % à 210 $ ; An 1 : nov.-déc. seulement</w:t>
            </w:r>
          </w:p>
        </w:tc>
        <w:tc>
          <w:tcPr>
            <w:tcW w:type="dxa" w:w="34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Réel 2026 : chalets et chambres 497 723 $ ; hivernisation à l'automne 2027</w:t>
            </w:r>
          </w:p>
        </w:tc>
      </w:tr>
      <w:tr>
        <w:trPr>
          <w:cantSplit/>
        </w:trPr>
        <w:tc>
          <w:tcPr>
            <w:tcW w:type="dxa" w:w="23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Villas (13)</w:t>
            </w:r>
          </w:p>
        </w:tc>
        <w:tc>
          <w:tcPr>
            <w:tcW w:type="dxa" w:w="39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Été 50 % → 65 % à 275 $ ; hiver 10 % → 22 % ; An 1 : demi-saison</w:t>
            </w:r>
          </w:p>
        </w:tc>
        <w:tc>
          <w:tcPr>
            <w:tcW w:type="dxa" w:w="3448"/>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Livraison en juillet 2027</w:t>
            </w:r>
          </w:p>
        </w:tc>
      </w:tr>
      <w:tr>
        <w:trPr>
          <w:cantSplit/>
        </w:trPr>
        <w:tc>
          <w:tcPr>
            <w:tcW w:type="dxa" w:w="23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Hôtel</w:t>
            </w:r>
          </w:p>
        </w:tc>
        <w:tc>
          <w:tcPr>
            <w:tcW w:type="dxa" w:w="39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6 chambres jan.-juin 2027 puis 17 ; occupation 35 % → 55 % à 190 $</w:t>
            </w:r>
          </w:p>
        </w:tc>
        <w:tc>
          <w:tcPr>
            <w:tcW w:type="dxa" w:w="34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Sous l'occupation hôtelière régionale ; montée graduelle</w:t>
            </w:r>
          </w:p>
        </w:tc>
      </w:tr>
      <w:tr>
        <w:trPr>
          <w:cantSplit/>
        </w:trPr>
        <w:tc>
          <w:tcPr>
            <w:tcW w:type="dxa" w:w="23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Unités Coolbox (20, propriété Havana)</w:t>
            </w:r>
          </w:p>
        </w:tc>
        <w:tc>
          <w:tcPr>
            <w:tcW w:type="dxa" w:w="39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Été 60 % → 70 % à 225 $ ; hiver 30 % → 40 % à 199 $ ; 100 % des ventes à Havana</w:t>
            </w:r>
          </w:p>
        </w:tc>
        <w:tc>
          <w:tcPr>
            <w:tcW w:type="dxa" w:w="3448"/>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Réseau Coolbox sur base annuelle : ≈ 40 000 $ par unité par année ; 9 unités à Havana : 20 037 $ par unité en un seul été 2026</w:t>
            </w:r>
          </w:p>
        </w:tc>
      </w:tr>
      <w:tr>
        <w:trPr>
          <w:cantSplit/>
        </w:trPr>
        <w:tc>
          <w:tcPr>
            <w:tcW w:type="dxa" w:w="23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Restauration et bars</w:t>
            </w:r>
          </w:p>
        </w:tc>
        <w:tc>
          <w:tcPr>
            <w:tcW w:type="dxa" w:w="39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12 % → 23 % des revenus d'hébergement</w:t>
            </w:r>
          </w:p>
        </w:tc>
        <w:tc>
          <w:tcPr>
            <w:tcW w:type="dxa" w:w="34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Réel 2026 : 6,5 % ; budget de la direction à maturité ≈ 890 000 $</w:t>
            </w:r>
          </w:p>
        </w:tc>
      </w:tr>
      <w:tr>
        <w:trPr>
          <w:cantSplit/>
        </w:trPr>
        <w:tc>
          <w:tcPr>
            <w:tcW w:type="dxa" w:w="23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Spectacles</w:t>
            </w:r>
          </w:p>
        </w:tc>
        <w:tc>
          <w:tcPr>
            <w:tcW w:type="dxa" w:w="39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60 000 $ → 160 000 $ de billetterie brute ; cachets et technique 55 %</w:t>
            </w:r>
          </w:p>
        </w:tc>
        <w:tc>
          <w:tcPr>
            <w:tcW w:type="dxa" w:w="3448"/>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Scène et chapiteau existants ; budget de la direction 200 000 $ / 33 000 $</w:t>
            </w:r>
          </w:p>
        </w:tc>
      </w:tr>
      <w:tr>
        <w:trPr>
          <w:cantSplit/>
        </w:trPr>
        <w:tc>
          <w:tcPr>
            <w:tcW w:type="dxa" w:w="23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Salaires et charges sociales</w:t>
            </w:r>
          </w:p>
        </w:tc>
        <w:tc>
          <w:tcPr>
            <w:tcW w:type="dxa" w:w="39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39 % (2026) → 36 % An 1 → 30 % An 5</w:t>
            </w:r>
          </w:p>
        </w:tc>
        <w:tc>
          <w:tcPr>
            <w:tcW w:type="dxa" w:w="34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Tableau d'effectifs ; normalisation Grenier 2021 (30 %)</w:t>
            </w:r>
          </w:p>
        </w:tc>
      </w:tr>
      <w:tr>
        <w:trPr>
          <w:cantSplit/>
        </w:trPr>
        <w:tc>
          <w:tcPr>
            <w:tcW w:type="dxa" w:w="23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Entretien ; immobilisations de maintien</w:t>
            </w:r>
          </w:p>
        </w:tc>
        <w:tc>
          <w:tcPr>
            <w:tcW w:type="dxa" w:w="39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8 % ; 2 % des revenus</w:t>
            </w:r>
          </w:p>
        </w:tc>
        <w:tc>
          <w:tcPr>
            <w:tcW w:type="dxa" w:w="3448"/>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Grenier 2021 (8 %) ; pratique bancaire</w:t>
            </w:r>
          </w:p>
        </w:tc>
      </w:tr>
      <w:tr>
        <w:trPr>
          <w:cantSplit/>
        </w:trPr>
        <w:tc>
          <w:tcPr>
            <w:tcW w:type="dxa" w:w="23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Énergie</w:t>
            </w:r>
          </w:p>
        </w:tc>
        <w:tc>
          <w:tcPr>
            <w:tcW w:type="dxa" w:w="39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275 000 $ An 1 → 450 000 $ An 5</w:t>
            </w:r>
          </w:p>
        </w:tc>
        <w:tc>
          <w:tcPr>
            <w:tcW w:type="dxa" w:w="34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Budget de la direction (210 000 $ → 480 000 $)</w:t>
            </w:r>
          </w:p>
        </w:tc>
      </w:tr>
      <w:tr>
        <w:trPr>
          <w:cantSplit/>
        </w:trPr>
        <w:tc>
          <w:tcPr>
            <w:tcW w:type="dxa" w:w="23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Commissions de plateformes</w:t>
            </w:r>
          </w:p>
        </w:tc>
        <w:tc>
          <w:tcPr>
            <w:tcW w:type="dxa" w:w="39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15 % sur 40 % des nuitées hôtel, villas et Coolbox</w:t>
            </w:r>
          </w:p>
        </w:tc>
        <w:tc>
          <w:tcPr>
            <w:tcW w:type="dxa" w:w="3448"/>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Conditions usuelles des plateformes</w:t>
            </w:r>
          </w:p>
        </w:tc>
      </w:tr>
      <w:tr>
        <w:trPr>
          <w:cantSplit/>
        </w:trPr>
        <w:tc>
          <w:tcPr>
            <w:tcW w:type="dxa" w:w="23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Amortissement comptable ; DPA</w:t>
            </w:r>
          </w:p>
        </w:tc>
        <w:tc>
          <w:tcPr>
            <w:tcW w:type="dxa" w:w="39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Linéaire par catégorie ; DPA cat. 1, 6, 8, 17 avec demi-année (annexe K)</w:t>
            </w:r>
          </w:p>
        </w:tc>
        <w:tc>
          <w:tcPr>
            <w:tcW w:type="dxa" w:w="34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Classement par catégorie fiscale (annexe K)</w:t>
            </w:r>
          </w:p>
        </w:tc>
      </w:tr>
      <w:tr>
        <w:trPr>
          <w:cantSplit/>
        </w:trPr>
        <w:tc>
          <w:tcPr>
            <w:tcW w:type="dxa" w:w="23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Impôts</w:t>
            </w:r>
          </w:p>
        </w:tc>
        <w:tc>
          <w:tcPr>
            <w:tcW w:type="dxa" w:w="39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12,2 % jusqu'à 500 k$ de bénéfice, 26,5 % au-delà</w:t>
            </w:r>
          </w:p>
        </w:tc>
        <w:tc>
          <w:tcPr>
            <w:tcW w:type="dxa" w:w="3448"/>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Taux combinés PME</w:t>
            </w:r>
          </w:p>
        </w:tc>
      </w:tr>
      <w:tr>
        <w:trPr>
          <w:cantSplit/>
        </w:trPr>
        <w:tc>
          <w:tcPr>
            <w:tcW w:type="dxa" w:w="23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Dette existante (2026)</w:t>
            </w:r>
          </w:p>
        </w:tc>
        <w:tc>
          <w:tcPr>
            <w:tcW w:type="dxa" w:w="39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4 000 000 $ à 7,5 % (intérêts seulement)</w:t>
            </w:r>
          </w:p>
        </w:tc>
        <w:tc>
          <w:tcPr>
            <w:tcW w:type="dxa" w:w="34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Refinancée à la clôture</w:t>
            </w:r>
          </w:p>
        </w:tc>
      </w:tr>
    </w:tbl>
    <w:p>
      <w:pPr>
        <w:pStyle w:val="Heading2"/>
        <w:keepNext/>
        <w:spacing w:after="120" w:before="300"/>
      </w:pPr>
      <w:r>
        <w:rPr>
          <w:rFonts w:ascii="Calibri" w:cs="Calibri" w:eastAsia="Calibri" w:hAnsi="Calibri"/>
          <w:b/>
          <w:bCs/>
          <w:color w:val="0C4A5E"/>
          <w:sz w:val="27"/>
          <w:szCs w:val="27"/>
        </w:rPr>
        <w:t xml:space="preserve">8.2 Coût du projet et financement</w:t>
      </w:r>
    </w:p>
    <w:tbl>
      <w:tblPr>
        <w:tblW w:type="dxa" w:w="9648"/>
        <w:tblBorders>
          <w:top w:val="none" w:color="FFFFFF" w:sz="0"/>
          <w:left w:val="none" w:color="FFFFFF" w:sz="0"/>
          <w:bottom w:val="single" w:color="0C4A5E" w:sz="8"/>
          <w:right w:val="none" w:color="FFFFFF" w:sz="0"/>
          <w:insideH w:val="single" w:color="CFE3E6" w:sz="4"/>
          <w:insideV w:val="none" w:color="FFFFFF" w:sz="0"/>
        </w:tblBorders>
      </w:tblPr>
      <w:tblGrid>
        <w:gridCol w:w="6200"/>
        <w:gridCol w:w="1900"/>
        <w:gridCol w:w="1548"/>
      </w:tblGrid>
      <w:tr>
        <w:trPr>
          <w:tblHeader/>
        </w:trPr>
        <w:tc>
          <w:tcPr>
            <w:tcW w:type="dxa" w:w="6200"/>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7"/>
                <w:szCs w:val="17"/>
              </w:rPr>
              <w:t xml:space="preserve">Emplois</w:t>
            </w:r>
          </w:p>
        </w:tc>
        <w:tc>
          <w:tcPr>
            <w:tcW w:type="dxa" w:w="190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7"/>
                <w:szCs w:val="17"/>
              </w:rPr>
              <w:t xml:space="preserve">Montant</w:t>
            </w:r>
          </w:p>
        </w:tc>
        <w:tc>
          <w:tcPr>
            <w:tcW w:type="dxa" w:w="1548"/>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7"/>
                <w:szCs w:val="17"/>
              </w:rPr>
              <w:t xml:space="preserve">Part</w:t>
            </w:r>
          </w:p>
        </w:tc>
      </w:tr>
      <w:tr>
        <w:trPr>
          <w:cantSplit/>
        </w:trPr>
        <w:tc>
          <w:tcPr>
            <w:tcW w:type="dxa" w:w="62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Projets de développement (hôtel, restaurant, villas, chalets, unités Coolbox, saisonniers)</w:t>
            </w:r>
          </w:p>
        </w:tc>
        <w:tc>
          <w:tcPr>
            <w:tcW w:type="dxa" w:w="19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3 970 000 $</w:t>
            </w:r>
          </w:p>
        </w:tc>
        <w:tc>
          <w:tcPr>
            <w:tcW w:type="dxa" w:w="15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42,5 %</w:t>
            </w:r>
          </w:p>
        </w:tc>
      </w:tr>
      <w:tr>
        <w:trPr>
          <w:cantSplit/>
        </w:trPr>
        <w:tc>
          <w:tcPr>
            <w:tcW w:type="dxa" w:w="62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Contingence (5 % forfaits d'usine, 10 % travaux de chantier)</w:t>
            </w:r>
          </w:p>
        </w:tc>
        <w:tc>
          <w:tcPr>
            <w:tcW w:type="dxa" w:w="19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291 000 $</w:t>
            </w:r>
          </w:p>
        </w:tc>
        <w:tc>
          <w:tcPr>
            <w:tcW w:type="dxa" w:w="15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3,1 %</w:t>
            </w:r>
          </w:p>
        </w:tc>
      </w:tr>
      <w:tr>
        <w:trPr>
          <w:cantSplit/>
        </w:trPr>
        <w:tc>
          <w:tcPr>
            <w:tcW w:type="dxa" w:w="62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Honoraires professionnels (plans, ingénierie, permis)</w:t>
            </w:r>
          </w:p>
        </w:tc>
        <w:tc>
          <w:tcPr>
            <w:tcW w:type="dxa" w:w="19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175 000 $</w:t>
            </w:r>
          </w:p>
        </w:tc>
        <w:tc>
          <w:tcPr>
            <w:tcW w:type="dxa" w:w="15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1,9 %</w:t>
            </w:r>
          </w:p>
        </w:tc>
      </w:tr>
      <w:tr>
        <w:trPr>
          <w:cantSplit/>
        </w:trPr>
        <w:tc>
          <w:tcPr>
            <w:tcW w:type="dxa" w:w="62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Frais de démarrage, permis et mise à niveau des installations</w:t>
            </w:r>
          </w:p>
        </w:tc>
        <w:tc>
          <w:tcPr>
            <w:tcW w:type="dxa" w:w="19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250 000 $</w:t>
            </w:r>
          </w:p>
        </w:tc>
        <w:tc>
          <w:tcPr>
            <w:tcW w:type="dxa" w:w="15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2,7 %</w:t>
            </w:r>
          </w:p>
        </w:tc>
      </w:tr>
      <w:tr>
        <w:trPr>
          <w:cantSplit/>
        </w:trPr>
        <w:tc>
          <w:tcPr>
            <w:tcW w:type="dxa" w:w="62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Intérêts capitalisés pendant la construction</w:t>
            </w:r>
          </w:p>
        </w:tc>
        <w:tc>
          <w:tcPr>
            <w:tcW w:type="dxa" w:w="19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52 500 $</w:t>
            </w:r>
          </w:p>
        </w:tc>
        <w:tc>
          <w:tcPr>
            <w:tcW w:type="dxa" w:w="15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0,6 %</w:t>
            </w:r>
          </w:p>
        </w:tc>
      </w:tr>
      <w:tr>
        <w:trPr>
          <w:cantSplit/>
        </w:trPr>
        <w:tc>
          <w:tcPr>
            <w:tcW w:type="dxa" w:w="62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Réserve de service de la dette (6 mois, déposée à la clôture)</w:t>
            </w:r>
          </w:p>
        </w:tc>
        <w:tc>
          <w:tcPr>
            <w:tcW w:type="dxa" w:w="19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233 237 $</w:t>
            </w:r>
          </w:p>
        </w:tc>
        <w:tc>
          <w:tcPr>
            <w:tcW w:type="dxa" w:w="15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2,5 %</w:t>
            </w:r>
          </w:p>
        </w:tc>
      </w:tr>
      <w:tr>
        <w:trPr>
          <w:cantSplit/>
        </w:trPr>
        <w:tc>
          <w:tcPr>
            <w:tcW w:type="dxa" w:w="62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Frais de financement et juridiques (montage multi-bailleurs)</w:t>
            </w:r>
          </w:p>
        </w:tc>
        <w:tc>
          <w:tcPr>
            <w:tcW w:type="dxa" w:w="19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125 000 $</w:t>
            </w:r>
          </w:p>
        </w:tc>
        <w:tc>
          <w:tcPr>
            <w:tcW w:type="dxa" w:w="15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1,3 %</w:t>
            </w:r>
          </w:p>
        </w:tc>
      </w:tr>
      <w:tr>
        <w:trPr>
          <w:cantSplit/>
        </w:trPr>
        <w:tc>
          <w:tcPr>
            <w:tcW w:type="dxa" w:w="62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Fonds de roulement de démarrage</w:t>
            </w:r>
          </w:p>
        </w:tc>
        <w:tc>
          <w:tcPr>
            <w:tcW w:type="dxa" w:w="19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250 000 $</w:t>
            </w:r>
          </w:p>
        </w:tc>
        <w:tc>
          <w:tcPr>
            <w:tcW w:type="dxa" w:w="15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2,7 %</w:t>
            </w:r>
          </w:p>
        </w:tc>
      </w:tr>
      <w:tr>
        <w:trPr>
          <w:cantSplit/>
        </w:trPr>
        <w:tc>
          <w:tcPr>
            <w:tcW w:type="dxa" w:w="62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Refinancement de la dette existante</w:t>
            </w:r>
          </w:p>
        </w:tc>
        <w:tc>
          <w:tcPr>
            <w:tcW w:type="dxa" w:w="19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4 000 000 $</w:t>
            </w:r>
          </w:p>
        </w:tc>
        <w:tc>
          <w:tcPr>
            <w:tcW w:type="dxa" w:w="15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42,8 %</w:t>
            </w:r>
          </w:p>
        </w:tc>
      </w:tr>
      <w:tr>
        <w:trPr>
          <w:cantSplit/>
        </w:trPr>
        <w:tc>
          <w:tcPr>
            <w:tcW w:type="dxa" w:w="6200"/>
            <w:shd w:fill="CFE3E6"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1E2A2E"/>
                <w:sz w:val="17"/>
                <w:szCs w:val="17"/>
              </w:rPr>
              <w:t xml:space="preserve">Total des emplois</w:t>
            </w:r>
          </w:p>
        </w:tc>
        <w:tc>
          <w:tcPr>
            <w:tcW w:type="dxa" w:w="1900"/>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7"/>
                <w:szCs w:val="17"/>
              </w:rPr>
              <w:t xml:space="preserve">9 346 737 $</w:t>
            </w:r>
          </w:p>
        </w:tc>
        <w:tc>
          <w:tcPr>
            <w:tcW w:type="dxa" w:w="1548"/>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7"/>
                <w:szCs w:val="17"/>
              </w:rPr>
              <w:t xml:space="preserve">100 %</w:t>
            </w:r>
          </w:p>
        </w:tc>
      </w:tr>
    </w:tbl>
    <w:p>
      <w:pPr>
        <w:spacing w:after="120"/>
      </w:pPr>
    </w:p>
    <w:tbl>
      <w:tblPr>
        <w:tblW w:type="dxa" w:w="9648"/>
        <w:tblBorders>
          <w:top w:val="none" w:color="FFFFFF" w:sz="0"/>
          <w:left w:val="none" w:color="FFFFFF" w:sz="0"/>
          <w:bottom w:val="single" w:color="0C4A5E" w:sz="8"/>
          <w:right w:val="none" w:color="FFFFFF" w:sz="0"/>
          <w:insideH w:val="single" w:color="CFE3E6" w:sz="4"/>
          <w:insideV w:val="none" w:color="FFFFFF" w:sz="0"/>
        </w:tblBorders>
      </w:tblPr>
      <w:tblGrid>
        <w:gridCol w:w="4700"/>
        <w:gridCol w:w="1500"/>
        <w:gridCol w:w="900"/>
        <w:gridCol w:w="2548"/>
      </w:tblGrid>
      <w:tr>
        <w:trPr>
          <w:tblHeader/>
        </w:trPr>
        <w:tc>
          <w:tcPr>
            <w:tcW w:type="dxa" w:w="4700"/>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6"/>
                <w:szCs w:val="16"/>
              </w:rPr>
              <w:t xml:space="preserve">Sources</w:t>
            </w:r>
          </w:p>
        </w:tc>
        <w:tc>
          <w:tcPr>
            <w:tcW w:type="dxa" w:w="150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6"/>
                <w:szCs w:val="16"/>
              </w:rPr>
              <w:t xml:space="preserve">Montant</w:t>
            </w:r>
          </w:p>
        </w:tc>
        <w:tc>
          <w:tcPr>
            <w:tcW w:type="dxa" w:w="90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6"/>
                <w:szCs w:val="16"/>
              </w:rPr>
              <w:t xml:space="preserve">Part</w:t>
            </w:r>
          </w:p>
        </w:tc>
        <w:tc>
          <w:tcPr>
            <w:tcW w:type="dxa" w:w="2548"/>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6"/>
                <w:szCs w:val="16"/>
              </w:rPr>
              <w:t xml:space="preserve">Statut</w:t>
            </w:r>
          </w:p>
        </w:tc>
      </w:tr>
      <w:tr>
        <w:trPr>
          <w:cantSplit/>
        </w:trPr>
        <w:tc>
          <w:tcPr>
            <w:tcW w:type="dxa" w:w="47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Prêt hypothécaire de premier rang (tranche A refinancement, tranche B construction)</w:t>
            </w:r>
          </w:p>
        </w:tc>
        <w:tc>
          <w:tcPr>
            <w:tcW w:type="dxa" w:w="15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5 500 000 $</w:t>
            </w:r>
          </w:p>
        </w:tc>
        <w:tc>
          <w:tcPr>
            <w:tcW w:type="dxa" w:w="9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58,8 %</w:t>
            </w:r>
          </w:p>
        </w:tc>
        <w:tc>
          <w:tcPr>
            <w:tcW w:type="dxa" w:w="25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Demandé</w:t>
            </w:r>
          </w:p>
        </w:tc>
      </w:tr>
      <w:tr>
        <w:trPr>
          <w:cantSplit/>
        </w:trPr>
        <w:tc>
          <w:tcPr>
            <w:tcW w:type="dxa" w:w="47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DEC – contribution remboursable sans intérêt</w:t>
            </w:r>
          </w:p>
        </w:tc>
        <w:tc>
          <w:tcPr>
            <w:tcW w:type="dxa" w:w="15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500 000 $</w:t>
            </w:r>
          </w:p>
        </w:tc>
        <w:tc>
          <w:tcPr>
            <w:tcW w:type="dxa" w:w="9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5,3 %</w:t>
            </w:r>
          </w:p>
        </w:tc>
        <w:tc>
          <w:tcPr>
            <w:tcW w:type="dxa" w:w="25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À solliciter</w:t>
            </w:r>
          </w:p>
        </w:tc>
      </w:tr>
      <w:tr>
        <w:trPr>
          <w:cantSplit/>
        </w:trPr>
        <w:tc>
          <w:tcPr>
            <w:tcW w:type="dxa" w:w="47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Quasi-équité : Fonds régional de solidarité FTQ Estrie ou Fondaction</w:t>
            </w:r>
          </w:p>
        </w:tc>
        <w:tc>
          <w:tcPr>
            <w:tcW w:type="dxa" w:w="15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750 000 $</w:t>
            </w:r>
          </w:p>
        </w:tc>
        <w:tc>
          <w:tcPr>
            <w:tcW w:type="dxa" w:w="9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8,0 %</w:t>
            </w:r>
          </w:p>
        </w:tc>
        <w:tc>
          <w:tcPr>
            <w:tcW w:type="dxa" w:w="25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À solliciter</w:t>
            </w:r>
          </w:p>
        </w:tc>
      </w:tr>
      <w:tr>
        <w:trPr>
          <w:cantSplit/>
        </w:trPr>
        <w:tc>
          <w:tcPr>
            <w:tcW w:type="dxa" w:w="47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MRC du Val-Saint-François – FLI / FLS</w:t>
            </w:r>
          </w:p>
        </w:tc>
        <w:tc>
          <w:tcPr>
            <w:tcW w:type="dxa" w:w="15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150 000 $</w:t>
            </w:r>
          </w:p>
        </w:tc>
        <w:tc>
          <w:tcPr>
            <w:tcW w:type="dxa" w:w="9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1,6 %</w:t>
            </w:r>
          </w:p>
        </w:tc>
        <w:tc>
          <w:tcPr>
            <w:tcW w:type="dxa" w:w="25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À solliciter</w:t>
            </w:r>
          </w:p>
        </w:tc>
      </w:tr>
      <w:tr>
        <w:trPr>
          <w:cantSplit/>
        </w:trPr>
        <w:tc>
          <w:tcPr>
            <w:tcW w:type="dxa" w:w="47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Construction Prospère – retenue contractuelle subordonnée (10 % des travaux de chantier)</w:t>
            </w:r>
          </w:p>
        </w:tc>
        <w:tc>
          <w:tcPr>
            <w:tcW w:type="dxa" w:w="15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185 000 $</w:t>
            </w:r>
          </w:p>
        </w:tc>
        <w:tc>
          <w:tcPr>
            <w:tcW w:type="dxa" w:w="9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2,0 %</w:t>
            </w:r>
          </w:p>
        </w:tc>
        <w:tc>
          <w:tcPr>
            <w:tcW w:type="dxa" w:w="25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Engagé (à signer)</w:t>
            </w:r>
          </w:p>
        </w:tc>
      </w:tr>
      <w:tr>
        <w:trPr>
          <w:cantSplit/>
        </w:trPr>
        <w:tc>
          <w:tcPr>
            <w:tcW w:type="dxa" w:w="47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Apport en nature de Coolbox HPA : 20 unités quatre saisons</w:t>
            </w:r>
          </w:p>
        </w:tc>
        <w:tc>
          <w:tcPr>
            <w:tcW w:type="dxa" w:w="15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2 120 000 $</w:t>
            </w:r>
          </w:p>
        </w:tc>
        <w:tc>
          <w:tcPr>
            <w:tcW w:type="dxa" w:w="9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22,7 %</w:t>
            </w:r>
          </w:p>
        </w:tc>
        <w:tc>
          <w:tcPr>
            <w:tcW w:type="dxa" w:w="25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Engagé</w:t>
            </w:r>
          </w:p>
        </w:tc>
      </w:tr>
      <w:tr>
        <w:trPr>
          <w:cantSplit/>
        </w:trPr>
        <w:tc>
          <w:tcPr>
            <w:tcW w:type="dxa" w:w="47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Fonds propres en espèces : actionnaires et investisseur privé</w:t>
            </w:r>
          </w:p>
        </w:tc>
        <w:tc>
          <w:tcPr>
            <w:tcW w:type="dxa" w:w="15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141 737 $</w:t>
            </w:r>
          </w:p>
        </w:tc>
        <w:tc>
          <w:tcPr>
            <w:tcW w:type="dxa" w:w="9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1,5 %</w:t>
            </w:r>
          </w:p>
        </w:tc>
        <w:tc>
          <w:tcPr>
            <w:tcW w:type="dxa" w:w="25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Engagé</w:t>
            </w:r>
          </w:p>
        </w:tc>
      </w:tr>
      <w:tr>
        <w:trPr>
          <w:cantSplit/>
        </w:trPr>
        <w:tc>
          <w:tcPr>
            <w:tcW w:type="dxa" w:w="4700"/>
            <w:shd w:fill="CFE3E6"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1E2A2E"/>
                <w:sz w:val="16"/>
                <w:szCs w:val="16"/>
              </w:rPr>
              <w:t xml:space="preserve">Total des sources</w:t>
            </w:r>
          </w:p>
        </w:tc>
        <w:tc>
          <w:tcPr>
            <w:tcW w:type="dxa" w:w="1500"/>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6"/>
                <w:szCs w:val="16"/>
              </w:rPr>
              <w:t xml:space="preserve">9 346 737 $</w:t>
            </w:r>
          </w:p>
        </w:tc>
        <w:tc>
          <w:tcPr>
            <w:tcW w:type="dxa" w:w="900"/>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6"/>
                <w:szCs w:val="16"/>
              </w:rPr>
              <w:t xml:space="preserve">100 %</w:t>
            </w:r>
          </w:p>
        </w:tc>
        <w:tc>
          <w:tcPr>
            <w:tcW w:type="dxa" w:w="2548"/>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6"/>
                <w:szCs w:val="16"/>
              </w:rPr>
              <w:t xml:space="preserve"/>
            </w:r>
          </w:p>
        </w:tc>
      </w:tr>
    </w:tbl>
    <w:p>
      <w:pPr>
        <w:spacing w:after="120" w:before="0" w:line="276"/>
        <w:jc w:val="left"/>
      </w:pPr>
      <w:r>
        <w:rPr>
          <w:rFonts w:ascii="Calibri" w:cs="Calibri" w:eastAsia="Calibri" w:hAnsi="Calibri"/>
          <w:i/>
          <w:iCs/>
          <w:color w:val="6F8A90"/>
          <w:sz w:val="18"/>
          <w:szCs w:val="18"/>
        </w:rPr>
        <w:t xml:space="preserve">Argent neuf (emplois hors refinancement) : 5 346 737 $ ; fonds propres : 2 261 737 $, soit 42 %. Les couches marquées « à solliciter » sont déposées en parallèle de la présente demande.</w:t>
      </w:r>
    </w:p>
    <w:p>
      <w:pPr>
        <w:spacing w:after="40" w:before="120"/>
        <w:jc w:val="center"/>
      </w:pPr>
      <w:r>
        <w:drawing>
          <wp:inline distT="0" distB="0" distL="0" distR="0">
            <wp:extent cx="584835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848350" cy="3086100"/>
                    </a:xfrm>
                    <a:prstGeom prst="rect">
                      <a:avLst/>
                    </a:prstGeom>
                  </pic:spPr>
                </pic:pic>
              </a:graphicData>
            </a:graphic>
          </wp:inline>
        </w:drawing>
      </w:r>
    </w:p>
    <w:p>
      <w:pPr>
        <w:spacing w:after="200"/>
        <w:jc w:val="center"/>
      </w:pPr>
      <w:r>
        <w:rPr>
          <w:rFonts w:ascii="Calibri" w:cs="Calibri" w:eastAsia="Calibri" w:hAnsi="Calibri"/>
          <w:i/>
          <w:iCs/>
          <w:color w:val="6F8A90"/>
          <w:sz w:val="17"/>
          <w:szCs w:val="17"/>
        </w:rPr>
        <w:t xml:space="preserve">Figure 2 – Emplois et sources de financement</w:t>
      </w:r>
    </w:p>
    <w:p>
      <w:pPr>
        <w:pStyle w:val="Heading3"/>
        <w:keepNext/>
        <w:spacing w:after="80" w:before="200"/>
      </w:pPr>
      <w:r>
        <w:rPr>
          <w:rFonts w:ascii="Calibri" w:cs="Calibri" w:eastAsia="Calibri" w:hAnsi="Calibri"/>
          <w:b/>
          <w:bCs/>
          <w:color w:val="2BB5BF"/>
          <w:sz w:val="22"/>
          <w:szCs w:val="22"/>
        </w:rPr>
        <w:t xml:space="preserve">Capacité d'endettement senior (An 3)</w:t>
      </w:r>
    </w:p>
    <w:tbl>
      <w:tblPr>
        <w:tblW w:type="dxa" w:w="9648"/>
        <w:tblBorders>
          <w:top w:val="none" w:color="FFFFFF" w:sz="0"/>
          <w:left w:val="none" w:color="FFFFFF" w:sz="0"/>
          <w:bottom w:val="single" w:color="0C4A5E" w:sz="8"/>
          <w:right w:val="none" w:color="FFFFFF" w:sz="0"/>
          <w:insideH w:val="single" w:color="CFE3E6" w:sz="4"/>
          <w:insideV w:val="none" w:color="FFFFFF" w:sz="0"/>
        </w:tblBorders>
      </w:tblPr>
      <w:tblGrid>
        <w:gridCol w:w="7000"/>
        <w:gridCol w:w="2648"/>
      </w:tblGrid>
      <w:tr>
        <w:trPr>
          <w:tblHeader/>
        </w:trPr>
        <w:tc>
          <w:tcPr>
            <w:tcW w:type="dxa" w:w="7000"/>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8"/>
                <w:szCs w:val="18"/>
              </w:rPr>
              <w:t xml:space="preserve">Méthode</w:t>
            </w:r>
          </w:p>
        </w:tc>
        <w:tc>
          <w:tcPr>
            <w:tcW w:type="dxa" w:w="2648"/>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8"/>
                <w:szCs w:val="18"/>
              </w:rPr>
              <w:t xml:space="preserve">Montant</w:t>
            </w:r>
          </w:p>
        </w:tc>
      </w:tr>
      <w:tr>
        <w:trPr>
          <w:cantSplit/>
        </w:trPr>
        <w:tc>
          <w:tcPr>
            <w:tcW w:type="dxa" w:w="70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Service de la dette couvert 1,25 fois par le BAIIA moins maintien (7 %, 25 ans)</w:t>
            </w:r>
          </w:p>
        </w:tc>
        <w:tc>
          <w:tcPr>
            <w:tcW w:type="dxa" w:w="26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8"/>
                <w:szCs w:val="18"/>
              </w:rPr>
              <w:t xml:space="preserve">9 719 039 $</w:t>
            </w:r>
          </w:p>
        </w:tc>
      </w:tr>
      <w:tr>
        <w:trPr>
          <w:cantSplit/>
        </w:trPr>
        <w:tc>
          <w:tcPr>
            <w:tcW w:type="dxa" w:w="70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5 fois le BAIIA de l'An 3</w:t>
            </w:r>
          </w:p>
        </w:tc>
        <w:tc>
          <w:tcPr>
            <w:tcW w:type="dxa" w:w="26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8"/>
                <w:szCs w:val="18"/>
              </w:rPr>
              <w:t xml:space="preserve">5 655 335 $</w:t>
            </w:r>
          </w:p>
        </w:tc>
      </w:tr>
      <w:tr>
        <w:trPr>
          <w:cantSplit/>
        </w:trPr>
        <w:tc>
          <w:tcPr>
            <w:tcW w:type="dxa" w:w="70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8"/>
                <w:szCs w:val="18"/>
              </w:rPr>
              <w:t xml:space="preserve">65 % d'une valeur par le revenu (BAIIA moins maintien × 0,8 ÷ 9,5 %)</w:t>
            </w:r>
          </w:p>
        </w:tc>
        <w:tc>
          <w:tcPr>
            <w:tcW w:type="dxa" w:w="26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8"/>
                <w:szCs w:val="18"/>
              </w:rPr>
              <w:t xml:space="preserve">5 639 987 $</w:t>
            </w:r>
          </w:p>
        </w:tc>
      </w:tr>
      <w:tr>
        <w:trPr>
          <w:cantSplit/>
        </w:trPr>
        <w:tc>
          <w:tcPr>
            <w:tcW w:type="dxa" w:w="7000"/>
            <w:shd w:fill="CFE3E6"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1E2A2E"/>
                <w:sz w:val="18"/>
                <w:szCs w:val="18"/>
              </w:rPr>
              <w:t xml:space="preserve">Prêt senior demandé</w:t>
            </w:r>
          </w:p>
        </w:tc>
        <w:tc>
          <w:tcPr>
            <w:tcW w:type="dxa" w:w="2648"/>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8"/>
                <w:szCs w:val="18"/>
              </w:rPr>
              <w:t xml:space="preserve">5 500 000 $</w:t>
            </w:r>
          </w:p>
        </w:tc>
      </w:tr>
    </w:tbl>
    <w:p>
      <w:pPr>
        <w:spacing w:after="120" w:before="0" w:line="276"/>
        <w:jc w:val="left"/>
      </w:pPr>
      <w:r>
        <w:rPr>
          <w:rFonts w:ascii="Calibri" w:cs="Calibri" w:eastAsia="Calibri" w:hAnsi="Calibri"/>
          <w:i/>
          <w:iCs/>
          <w:color w:val="6F8A90"/>
          <w:sz w:val="18"/>
          <w:szCs w:val="18"/>
        </w:rPr>
        <w:t xml:space="preserve">Le prêt senior demandé se situe à l'intérieur de la fourchette des trois méthodes.</w:t>
      </w:r>
    </w:p>
    <w:p>
      <w:pPr>
        <w:pStyle w:val="Heading3"/>
        <w:keepNext/>
        <w:spacing w:after="80" w:before="200"/>
      </w:pPr>
      <w:r>
        <w:rPr>
          <w:rFonts w:ascii="Calibri" w:cs="Calibri" w:eastAsia="Calibri" w:hAnsi="Calibri"/>
          <w:b/>
          <w:bCs/>
          <w:color w:val="2BB5BF"/>
          <w:sz w:val="22"/>
          <w:szCs w:val="22"/>
        </w:rPr>
        <w:t xml:space="preserve">Structure du prêt senior et conditions de déboursement</w:t>
      </w:r>
    </w:p>
    <w:tbl>
      <w:tblPr>
        <w:tblW w:type="dxa" w:w="9648"/>
        <w:tblBorders>
          <w:top w:val="none" w:color="FFFFFF" w:sz="0"/>
          <w:left w:val="none" w:color="FFFFFF" w:sz="0"/>
          <w:bottom w:val="single" w:color="0C4A5E" w:sz="8"/>
          <w:right w:val="none" w:color="FFFFFF" w:sz="0"/>
          <w:insideH w:val="single" w:color="CFE3E6" w:sz="4"/>
          <w:insideV w:val="none" w:color="FFFFFF" w:sz="0"/>
        </w:tblBorders>
      </w:tblPr>
      <w:tblGrid>
        <w:gridCol w:w="2800"/>
        <w:gridCol w:w="6848"/>
      </w:tblGrid>
      <w:tr>
        <w:trPr>
          <w:tblHeader/>
        </w:trPr>
        <w:tc>
          <w:tcPr>
            <w:tcW w:type="dxa" w:w="2800"/>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7"/>
                <w:szCs w:val="17"/>
              </w:rPr>
              <w:t xml:space="preserve">Modalité</w:t>
            </w:r>
          </w:p>
        </w:tc>
        <w:tc>
          <w:tcPr>
            <w:tcW w:type="dxa" w:w="6848"/>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7"/>
                <w:szCs w:val="17"/>
              </w:rPr>
              <w:t xml:space="preserve">Proposition</w:t>
            </w:r>
          </w:p>
        </w:tc>
      </w:tr>
      <w:tr>
        <w:trPr>
          <w:cantSplit/>
        </w:trPr>
        <w:tc>
          <w:tcPr>
            <w:tcW w:type="dxa" w:w="28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Tranche A</w:t>
            </w:r>
          </w:p>
        </w:tc>
        <w:tc>
          <w:tcPr>
            <w:tcW w:type="dxa" w:w="68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4 000 000 $ à la clôture : refinancement de la dette existante</w:t>
            </w:r>
          </w:p>
        </w:tc>
      </w:tr>
      <w:tr>
        <w:trPr>
          <w:cantSplit/>
        </w:trPr>
        <w:tc>
          <w:tcPr>
            <w:tcW w:type="dxa" w:w="28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Tranche B</w:t>
            </w:r>
          </w:p>
        </w:tc>
        <w:tc>
          <w:tcPr>
            <w:tcW w:type="dxa" w:w="6848"/>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1 500 000 $ en prêt de construction, déboursé par avancement des travaux sur certificats de l'architecte, converti en prêt à terme à la réception des travaux</w:t>
            </w:r>
          </w:p>
        </w:tc>
      </w:tr>
      <w:tr>
        <w:trPr>
          <w:cantSplit/>
        </w:trPr>
        <w:tc>
          <w:tcPr>
            <w:tcW w:type="dxa" w:w="28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Taux et amortissement</w:t>
            </w:r>
          </w:p>
        </w:tc>
        <w:tc>
          <w:tcPr>
            <w:tcW w:type="dxa" w:w="68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7,0 %, 25 ans ; paiement mensuel 38 873 $ ; sensibilités à 8 %, 9 % et 20 ans en 8.7</w:t>
            </w:r>
          </w:p>
        </w:tc>
      </w:tr>
      <w:tr>
        <w:trPr>
          <w:cantSplit/>
        </w:trPr>
        <w:tc>
          <w:tcPr>
            <w:tcW w:type="dxa" w:w="28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Moratoire de capital</w:t>
            </w:r>
          </w:p>
        </w:tc>
        <w:tc>
          <w:tcPr>
            <w:tcW w:type="dxa" w:w="6848"/>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12 mois (construction) ; intérêts de construction capitalisés aux emplois</w:t>
            </w:r>
          </w:p>
        </w:tc>
      </w:tr>
      <w:tr>
        <w:trPr>
          <w:cantSplit/>
        </w:trPr>
        <w:tc>
          <w:tcPr>
            <w:tcW w:type="dxa" w:w="28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Réserve de service de la dette</w:t>
            </w:r>
          </w:p>
        </w:tc>
        <w:tc>
          <w:tcPr>
            <w:tcW w:type="dxa" w:w="68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233 237 $ (6 mois de paiements) déposée à la clôture, financée par les fonds propres</w:t>
            </w:r>
          </w:p>
        </w:tc>
      </w:tr>
      <w:tr>
        <w:trPr>
          <w:cantSplit/>
        </w:trPr>
        <w:tc>
          <w:tcPr>
            <w:tcW w:type="dxa" w:w="28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Conditions préalables au premier déboursement</w:t>
            </w:r>
          </w:p>
        </w:tc>
        <w:tc>
          <w:tcPr>
            <w:tcW w:type="dxa" w:w="6848"/>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Permis municipaux ; contrat à forfait et cautionnements de l'entrepreneur ; fonds propres déposés ; assurance chantier</w:t>
            </w:r>
          </w:p>
        </w:tc>
      </w:tr>
      <w:tr>
        <w:trPr>
          <w:cantSplit/>
        </w:trPr>
        <w:tc>
          <w:tcPr>
            <w:tcW w:type="dxa" w:w="28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Garanties</w:t>
            </w:r>
          </w:p>
        </w:tc>
        <w:tc>
          <w:tcPr>
            <w:tcW w:type="dxa" w:w="68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Hypothèque de premier rang sur les trois lots ; hypothèque mobilière sur les équipements (rapport 2023, 2,05 M$) et sur les 20 unités Coolbox ; cession d'assurances ; cautionnements des actionnaires.</w:t>
            </w:r>
          </w:p>
        </w:tc>
      </w:tr>
      <w:tr>
        <w:trPr>
          <w:cantSplit/>
        </w:trPr>
        <w:tc>
          <w:tcPr>
            <w:tcW w:type="dxa" w:w="28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Engagements financiers</w:t>
            </w:r>
          </w:p>
        </w:tc>
        <w:tc>
          <w:tcPr>
            <w:tcW w:type="dxa" w:w="6848"/>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Aucun test avant l'exercice 2029 ; ensuite couverture bancaire ≥ 1,25 sur douze mois glissants ; dette / avoir ≤ 3,0 ; blocage des dividendes et des frais de gestion aux parties liées tant que la couverture est &lt; 1,35 ; états financiers audités ; rapports trimestriels</w:t>
            </w:r>
          </w:p>
        </w:tc>
      </w:tr>
    </w:tbl>
    <w:p>
      <w:pPr>
        <w:pStyle w:val="Heading2"/>
        <w:keepNext/>
        <w:spacing w:after="120" w:before="300"/>
      </w:pPr>
      <w:r>
        <w:rPr>
          <w:rFonts w:ascii="Calibri" w:cs="Calibri" w:eastAsia="Calibri" w:hAnsi="Calibri"/>
          <w:b/>
          <w:bCs/>
          <w:color w:val="0C4A5E"/>
          <w:sz w:val="27"/>
          <w:szCs w:val="27"/>
        </w:rPr>
        <w:t xml:space="preserve">8.3 État des résultats prévisionnels</w:t>
      </w:r>
    </w:p>
    <w:p>
      <w:pPr>
        <w:spacing w:after="40" w:before="120"/>
        <w:jc w:val="center"/>
      </w:pPr>
      <w:r>
        <w:drawing>
          <wp:inline distT="0" distB="0" distL="0" distR="0">
            <wp:extent cx="59436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43600" cy="2971800"/>
                    </a:xfrm>
                    <a:prstGeom prst="rect">
                      <a:avLst/>
                    </a:prstGeom>
                  </pic:spPr>
                </pic:pic>
              </a:graphicData>
            </a:graphic>
          </wp:inline>
        </w:drawing>
      </w:r>
    </w:p>
    <w:p>
      <w:pPr>
        <w:spacing w:after="200"/>
        <w:jc w:val="center"/>
      </w:pPr>
      <w:r>
        <w:rPr>
          <w:rFonts w:ascii="Calibri" w:cs="Calibri" w:eastAsia="Calibri" w:hAnsi="Calibri"/>
          <w:i/>
          <w:iCs/>
          <w:color w:val="6F8A90"/>
          <w:sz w:val="17"/>
          <w:szCs w:val="17"/>
        </w:rPr>
        <w:t xml:space="preserve">Figure 3 – Revenus par source, 2026 et An 1 à An 5</w:t>
      </w:r>
    </w:p>
    <w:tbl>
      <w:tblPr>
        <w:tblW w:type="dxa" w:w="9648"/>
        <w:tblBorders>
          <w:top w:val="none" w:color="FFFFFF" w:sz="0"/>
          <w:left w:val="none" w:color="FFFFFF" w:sz="0"/>
          <w:bottom w:val="single" w:color="0C4A5E" w:sz="8"/>
          <w:right w:val="none" w:color="FFFFFF" w:sz="0"/>
          <w:insideH w:val="single" w:color="CFE3E6" w:sz="4"/>
          <w:insideV w:val="none" w:color="FFFFFF" w:sz="0"/>
        </w:tblBorders>
      </w:tblPr>
      <w:tblGrid>
        <w:gridCol w:w="2700"/>
        <w:gridCol w:w="1160"/>
        <w:gridCol w:w="1160"/>
        <w:gridCol w:w="1160"/>
        <w:gridCol w:w="1160"/>
        <w:gridCol w:w="1160"/>
        <w:gridCol w:w="1148"/>
      </w:tblGrid>
      <w:tr>
        <w:trPr>
          <w:tblHeader/>
        </w:trPr>
        <w:tc>
          <w:tcPr>
            <w:tcW w:type="dxa" w:w="2700"/>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5"/>
                <w:szCs w:val="15"/>
              </w:rPr>
              <w:t xml:space="preserve">Revenus</w:t>
            </w:r>
          </w:p>
        </w:tc>
        <w:tc>
          <w:tcPr>
            <w:tcW w:type="dxa" w:w="116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5"/>
                <w:szCs w:val="15"/>
              </w:rPr>
              <w:t xml:space="preserve">2026 (réel)</w:t>
            </w:r>
          </w:p>
        </w:tc>
        <w:tc>
          <w:tcPr>
            <w:tcW w:type="dxa" w:w="116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5"/>
                <w:szCs w:val="15"/>
              </w:rPr>
              <w:t xml:space="preserve">An 1
2027</w:t>
            </w:r>
          </w:p>
        </w:tc>
        <w:tc>
          <w:tcPr>
            <w:tcW w:type="dxa" w:w="116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5"/>
                <w:szCs w:val="15"/>
              </w:rPr>
              <w:t xml:space="preserve">An 2
2028</w:t>
            </w:r>
          </w:p>
        </w:tc>
        <w:tc>
          <w:tcPr>
            <w:tcW w:type="dxa" w:w="116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5"/>
                <w:szCs w:val="15"/>
              </w:rPr>
              <w:t xml:space="preserve">An 3
2029</w:t>
            </w:r>
          </w:p>
        </w:tc>
        <w:tc>
          <w:tcPr>
            <w:tcW w:type="dxa" w:w="116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5"/>
                <w:szCs w:val="15"/>
              </w:rPr>
              <w:t xml:space="preserve">An 4
2030</w:t>
            </w:r>
          </w:p>
        </w:tc>
        <w:tc>
          <w:tcPr>
            <w:tcW w:type="dxa" w:w="1148"/>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5"/>
                <w:szCs w:val="15"/>
              </w:rPr>
              <w:t xml:space="preserve">An 5
2031</w:t>
            </w:r>
          </w:p>
        </w:tc>
      </w:tr>
      <w:tr>
        <w:trPr>
          <w:cantSplit/>
        </w:trPr>
        <w:tc>
          <w:tcPr>
            <w:tcW w:type="dxa" w:w="27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Terrains de camping</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791 894 $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815 651 $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856 923 $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891 284 $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926 935 $</w:t>
            </w:r>
          </w:p>
        </w:tc>
        <w:tc>
          <w:tcPr>
            <w:tcW w:type="dxa" w:w="11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954 743 $</w:t>
            </w:r>
          </w:p>
        </w:tc>
      </w:tr>
      <w:tr>
        <w:trPr>
          <w:cantSplit/>
        </w:trPr>
        <w:tc>
          <w:tcPr>
            <w:tcW w:type="dxa" w:w="27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Terrains saisonniers (12 → 70)</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43 209 $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109 500 $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169 178 $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224 593 $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263 238 $</w:t>
            </w:r>
          </w:p>
        </w:tc>
        <w:tc>
          <w:tcPr>
            <w:tcW w:type="dxa" w:w="11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287 568 $</w:t>
            </w:r>
          </w:p>
        </w:tc>
      </w:tr>
      <w:tr>
        <w:trPr>
          <w:cantSplit/>
        </w:trPr>
        <w:tc>
          <w:tcPr>
            <w:tcW w:type="dxa" w:w="27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Chalets 4 saisons (16)</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497 723 $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423 161 $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547 436 $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604 346 $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650 888 $</w:t>
            </w:r>
          </w:p>
        </w:tc>
        <w:tc>
          <w:tcPr>
            <w:tcW w:type="dxa" w:w="11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685 046 $</w:t>
            </w:r>
          </w:p>
        </w:tc>
      </w:tr>
      <w:tr>
        <w:trPr>
          <w:cantSplit/>
        </w:trPr>
        <w:tc>
          <w:tcPr>
            <w:tcW w:type="dxa" w:w="27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Villas (13)</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0 $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222 099 $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467 648 $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541 035 $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585 129 $</w:t>
            </w:r>
          </w:p>
        </w:tc>
        <w:tc>
          <w:tcPr>
            <w:tcW w:type="dxa" w:w="11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623 978 $</w:t>
            </w:r>
          </w:p>
        </w:tc>
      </w:tr>
      <w:tr>
        <w:trPr>
          <w:cantSplit/>
        </w:trPr>
        <w:tc>
          <w:tcPr>
            <w:tcW w:type="dxa" w:w="27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Hôtel (6 → 17 chambres)</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0 $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279 134 $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510 014 $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600 359 $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669 901 $</w:t>
            </w:r>
          </w:p>
        </w:tc>
        <w:tc>
          <w:tcPr>
            <w:tcW w:type="dxa" w:w="11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729 805 $</w:t>
            </w:r>
          </w:p>
        </w:tc>
      </w:tr>
      <w:tr>
        <w:trPr>
          <w:cantSplit/>
        </w:trPr>
        <w:tc>
          <w:tcPr>
            <w:tcW w:type="dxa" w:w="27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Cabanas prêt-à-camper (13)</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199 016 $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204 986 $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215 358 $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226 169 $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235 194 $</w:t>
            </w:r>
          </w:p>
        </w:tc>
        <w:tc>
          <w:tcPr>
            <w:tcW w:type="dxa" w:w="11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242 249 $</w:t>
            </w:r>
          </w:p>
        </w:tc>
      </w:tr>
      <w:tr>
        <w:trPr>
          <w:cantSplit/>
        </w:trPr>
        <w:tc>
          <w:tcPr>
            <w:tcW w:type="dxa" w:w="27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Unités Coolbox 4 saisons (20, propriété Havana)</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0 $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638 394 $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814 043 $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887 745 $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948 216 $</w:t>
            </w:r>
          </w:p>
        </w:tc>
        <w:tc>
          <w:tcPr>
            <w:tcW w:type="dxa" w:w="11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976 663 $</w:t>
            </w:r>
          </w:p>
        </w:tc>
      </w:tr>
      <w:tr>
        <w:trPr>
          <w:cantSplit/>
        </w:trPr>
        <w:tc>
          <w:tcPr>
            <w:tcW w:type="dxa" w:w="27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Partenariat Coolbox HPA (2026, avant le transfert des unités)</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76 667 $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0 $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0 $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0 $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0 $</w:t>
            </w:r>
          </w:p>
        </w:tc>
        <w:tc>
          <w:tcPr>
            <w:tcW w:type="dxa" w:w="11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0 $</w:t>
            </w:r>
          </w:p>
        </w:tc>
      </w:tr>
      <w:tr>
        <w:trPr>
          <w:cantSplit/>
        </w:trPr>
        <w:tc>
          <w:tcPr>
            <w:tcW w:type="dxa" w:w="27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Restauration et bars</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100 000 $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323 151 $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608 702 $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795 106 $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941 490 $</w:t>
            </w:r>
          </w:p>
        </w:tc>
        <w:tc>
          <w:tcPr>
            <w:tcW w:type="dxa" w:w="11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1 035 012 $</w:t>
            </w:r>
          </w:p>
        </w:tc>
      </w:tr>
      <w:tr>
        <w:trPr>
          <w:cantSplit/>
        </w:trPr>
        <w:tc>
          <w:tcPr>
            <w:tcW w:type="dxa" w:w="27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Spectacles et festivals</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0 $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0 $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60 000 $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123 600 $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159 135 $</w:t>
            </w:r>
          </w:p>
        </w:tc>
        <w:tc>
          <w:tcPr>
            <w:tcW w:type="dxa" w:w="11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174 836 $</w:t>
            </w:r>
          </w:p>
        </w:tc>
      </w:tr>
      <w:tr>
        <w:trPr>
          <w:cantSplit/>
        </w:trPr>
        <w:tc>
          <w:tcPr>
            <w:tcW w:type="dxa" w:w="27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Activités et concessions</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96 700 $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105 000 $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125 000 $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140 000 $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148 000 $</w:t>
            </w:r>
          </w:p>
        </w:tc>
        <w:tc>
          <w:tcPr>
            <w:tcW w:type="dxa" w:w="11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155 000 $</w:t>
            </w:r>
          </w:p>
        </w:tc>
      </w:tr>
      <w:tr>
        <w:trPr>
          <w:cantSplit/>
        </w:trPr>
        <w:tc>
          <w:tcPr>
            <w:tcW w:type="dxa" w:w="2700"/>
            <w:shd w:fill="CFE3E6"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1E2A2E"/>
                <w:sz w:val="15"/>
                <w:szCs w:val="15"/>
              </w:rPr>
              <w:t xml:space="preserve">Total des revenus</w:t>
            </w:r>
          </w:p>
        </w:tc>
        <w:tc>
          <w:tcPr>
            <w:tcW w:type="dxa" w:w="1160"/>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1 805 209 $</w:t>
            </w:r>
          </w:p>
        </w:tc>
        <w:tc>
          <w:tcPr>
            <w:tcW w:type="dxa" w:w="1160"/>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3 121 075 $</w:t>
            </w:r>
          </w:p>
        </w:tc>
        <w:tc>
          <w:tcPr>
            <w:tcW w:type="dxa" w:w="1160"/>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4 374 302 $</w:t>
            </w:r>
          </w:p>
        </w:tc>
        <w:tc>
          <w:tcPr>
            <w:tcW w:type="dxa" w:w="1160"/>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5 034 236 $</w:t>
            </w:r>
          </w:p>
        </w:tc>
        <w:tc>
          <w:tcPr>
            <w:tcW w:type="dxa" w:w="1160"/>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5 528 125 $</w:t>
            </w:r>
          </w:p>
        </w:tc>
        <w:tc>
          <w:tcPr>
            <w:tcW w:type="dxa" w:w="1148"/>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5 864 901 $</w:t>
            </w:r>
          </w:p>
        </w:tc>
      </w:tr>
    </w:tbl>
    <w:p>
      <w:pPr>
        <w:spacing w:after="120"/>
      </w:pPr>
    </w:p>
    <w:tbl>
      <w:tblPr>
        <w:tblW w:type="dxa" w:w="9648"/>
        <w:tblBorders>
          <w:top w:val="none" w:color="FFFFFF" w:sz="0"/>
          <w:left w:val="none" w:color="FFFFFF" w:sz="0"/>
          <w:bottom w:val="single" w:color="0C4A5E" w:sz="8"/>
          <w:right w:val="none" w:color="FFFFFF" w:sz="0"/>
          <w:insideH w:val="single" w:color="CFE3E6" w:sz="4"/>
          <w:insideV w:val="none" w:color="FFFFFF" w:sz="0"/>
        </w:tblBorders>
      </w:tblPr>
      <w:tblGrid>
        <w:gridCol w:w="2700"/>
        <w:gridCol w:w="1160"/>
        <w:gridCol w:w="1160"/>
        <w:gridCol w:w="1160"/>
        <w:gridCol w:w="1160"/>
        <w:gridCol w:w="1160"/>
        <w:gridCol w:w="1148"/>
      </w:tblGrid>
      <w:tr>
        <w:trPr>
          <w:tblHeader/>
        </w:trPr>
        <w:tc>
          <w:tcPr>
            <w:tcW w:type="dxa" w:w="2700"/>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5"/>
                <w:szCs w:val="15"/>
              </w:rPr>
              <w:t xml:space="preserve">Charges d'exploitation</w:t>
            </w:r>
          </w:p>
        </w:tc>
        <w:tc>
          <w:tcPr>
            <w:tcW w:type="dxa" w:w="116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5"/>
                <w:szCs w:val="15"/>
              </w:rPr>
              <w:t xml:space="preserve">2026 (réel)</w:t>
            </w:r>
          </w:p>
        </w:tc>
        <w:tc>
          <w:tcPr>
            <w:tcW w:type="dxa" w:w="116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5"/>
                <w:szCs w:val="15"/>
              </w:rPr>
              <w:t xml:space="preserve">An 1
2027</w:t>
            </w:r>
          </w:p>
        </w:tc>
        <w:tc>
          <w:tcPr>
            <w:tcW w:type="dxa" w:w="116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5"/>
                <w:szCs w:val="15"/>
              </w:rPr>
              <w:t xml:space="preserve">An 2
2028</w:t>
            </w:r>
          </w:p>
        </w:tc>
        <w:tc>
          <w:tcPr>
            <w:tcW w:type="dxa" w:w="116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5"/>
                <w:szCs w:val="15"/>
              </w:rPr>
              <w:t xml:space="preserve">An 3
2029</w:t>
            </w:r>
          </w:p>
        </w:tc>
        <w:tc>
          <w:tcPr>
            <w:tcW w:type="dxa" w:w="116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5"/>
                <w:szCs w:val="15"/>
              </w:rPr>
              <w:t xml:space="preserve">An 4
2030</w:t>
            </w:r>
          </w:p>
        </w:tc>
        <w:tc>
          <w:tcPr>
            <w:tcW w:type="dxa" w:w="1148"/>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5"/>
                <w:szCs w:val="15"/>
              </w:rPr>
              <w:t xml:space="preserve">An 5
2031</w:t>
            </w:r>
          </w:p>
        </w:tc>
      </w:tr>
      <w:tr>
        <w:trPr>
          <w:cantSplit/>
        </w:trPr>
        <w:tc>
          <w:tcPr>
            <w:tcW w:type="dxa" w:w="27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Coût des ventes (restauration, concessions)</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52 340 $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127 640 $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225 872 $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290 385 $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340 292 $</w:t>
            </w:r>
          </w:p>
        </w:tc>
        <w:tc>
          <w:tcPr>
            <w:tcW w:type="dxa" w:w="11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372 554 $</w:t>
            </w:r>
          </w:p>
        </w:tc>
      </w:tr>
      <w:tr>
        <w:trPr>
          <w:cantSplit/>
        </w:trPr>
        <w:tc>
          <w:tcPr>
            <w:tcW w:type="dxa" w:w="27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Cachets, technique et sécurité des spectacles (55 % de la billetterie)</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0 $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0 $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33 000 $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67 980 $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87 524 $</w:t>
            </w:r>
          </w:p>
        </w:tc>
        <w:tc>
          <w:tcPr>
            <w:tcW w:type="dxa" w:w="11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96 160 $</w:t>
            </w:r>
          </w:p>
        </w:tc>
      </w:tr>
      <w:tr>
        <w:trPr>
          <w:cantSplit/>
        </w:trPr>
        <w:tc>
          <w:tcPr>
            <w:tcW w:type="dxa" w:w="27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Commissions des plateformes de distribution</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0 $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68 378 $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107 502 $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121 748 $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132 195 $</w:t>
            </w:r>
          </w:p>
        </w:tc>
        <w:tc>
          <w:tcPr>
            <w:tcW w:type="dxa" w:w="11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139 827 $</w:t>
            </w:r>
          </w:p>
        </w:tc>
      </w:tr>
      <w:tr>
        <w:trPr>
          <w:cantSplit/>
        </w:trPr>
        <w:tc>
          <w:tcPr>
            <w:tcW w:type="dxa" w:w="27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Salaires et charges sociales</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704 031 $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1 123 587 $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1 487 263 $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1 610 955 $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1 713 719 $</w:t>
            </w:r>
          </w:p>
        </w:tc>
        <w:tc>
          <w:tcPr>
            <w:tcW w:type="dxa" w:w="11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1 759 470 $</w:t>
            </w:r>
          </w:p>
        </w:tc>
      </w:tr>
      <w:tr>
        <w:trPr>
          <w:cantSplit/>
        </w:trPr>
        <w:tc>
          <w:tcPr>
            <w:tcW w:type="dxa" w:w="27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Électricité, chauffage et propane</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242 500 $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275 000 $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400 000 $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420 000 $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435 000 $</w:t>
            </w:r>
          </w:p>
        </w:tc>
        <w:tc>
          <w:tcPr>
            <w:tcW w:type="dxa" w:w="11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450 000 $</w:t>
            </w:r>
          </w:p>
        </w:tc>
      </w:tr>
      <w:tr>
        <w:trPr>
          <w:cantSplit/>
        </w:trPr>
        <w:tc>
          <w:tcPr>
            <w:tcW w:type="dxa" w:w="27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Entretien et réparations (8 %)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144 417 $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249 686 $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349 944 $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402 739 $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442 250 $</w:t>
            </w:r>
          </w:p>
        </w:tc>
        <w:tc>
          <w:tcPr>
            <w:tcW w:type="dxa" w:w="11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469 192 $</w:t>
            </w:r>
          </w:p>
        </w:tc>
      </w:tr>
      <w:tr>
        <w:trPr>
          <w:cantSplit/>
        </w:trPr>
        <w:tc>
          <w:tcPr>
            <w:tcW w:type="dxa" w:w="27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Véhicules, essence et entretien des véhicules</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88 500 $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91 155 $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93 890 $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96 706 $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99 608 $</w:t>
            </w:r>
          </w:p>
        </w:tc>
        <w:tc>
          <w:tcPr>
            <w:tcW w:type="dxa" w:w="11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102 596 $</w:t>
            </w:r>
          </w:p>
        </w:tc>
      </w:tr>
      <w:tr>
        <w:trPr>
          <w:cantSplit/>
        </w:trPr>
        <w:tc>
          <w:tcPr>
            <w:tcW w:type="dxa" w:w="27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Marketing et commercialisation</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54 156 $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109 238 $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153 101 $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151 027 $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165 844 $</w:t>
            </w:r>
          </w:p>
        </w:tc>
        <w:tc>
          <w:tcPr>
            <w:tcW w:type="dxa" w:w="11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175 947 $</w:t>
            </w:r>
          </w:p>
        </w:tc>
      </w:tr>
      <w:tr>
        <w:trPr>
          <w:cantSplit/>
        </w:trPr>
        <w:tc>
          <w:tcPr>
            <w:tcW w:type="dxa" w:w="27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Assurances</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60 000 $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95 000 $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130 000 $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134 000 $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138 000 $</w:t>
            </w:r>
          </w:p>
        </w:tc>
        <w:tc>
          <w:tcPr>
            <w:tcW w:type="dxa" w:w="11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142 000 $</w:t>
            </w:r>
          </w:p>
        </w:tc>
      </w:tr>
      <w:tr>
        <w:trPr>
          <w:cantSplit/>
        </w:trPr>
        <w:tc>
          <w:tcPr>
            <w:tcW w:type="dxa" w:w="27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Taxes municipales et scolaires</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54 500 $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75 000 $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130 000 $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133 000 $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136 000 $</w:t>
            </w:r>
          </w:p>
        </w:tc>
        <w:tc>
          <w:tcPr>
            <w:tcW w:type="dxa" w:w="11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139 000 $</w:t>
            </w:r>
          </w:p>
        </w:tc>
      </w:tr>
      <w:tr>
        <w:trPr>
          <w:cantSplit/>
        </w:trPr>
        <w:tc>
          <w:tcPr>
            <w:tcW w:type="dxa" w:w="27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Honoraires comptables et audit</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25 000 $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25 750 $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26 523 $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27 318 $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28 138 $</w:t>
            </w:r>
          </w:p>
        </w:tc>
        <w:tc>
          <w:tcPr>
            <w:tcW w:type="dxa" w:w="11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28 982 $</w:t>
            </w:r>
          </w:p>
        </w:tc>
      </w:tr>
      <w:tr>
        <w:trPr>
          <w:cantSplit/>
        </w:trPr>
        <w:tc>
          <w:tcPr>
            <w:tcW w:type="dxa" w:w="27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Administration, TI et télécoms</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36 104 $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62 422 $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87 486 $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100 685 $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110 563 $</w:t>
            </w:r>
          </w:p>
        </w:tc>
        <w:tc>
          <w:tcPr>
            <w:tcW w:type="dxa" w:w="11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117 298 $</w:t>
            </w:r>
          </w:p>
        </w:tc>
      </w:tr>
      <w:tr>
        <w:trPr>
          <w:cantSplit/>
        </w:trPr>
        <w:tc>
          <w:tcPr>
            <w:tcW w:type="dxa" w:w="27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Frais bancaires et de cartes</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27 078 $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46 816 $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65 615 $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75 514 $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82 922 $</w:t>
            </w:r>
          </w:p>
        </w:tc>
        <w:tc>
          <w:tcPr>
            <w:tcW w:type="dxa" w:w="11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87 974 $</w:t>
            </w:r>
          </w:p>
        </w:tc>
      </w:tr>
      <w:tr>
        <w:trPr>
          <w:cantSplit/>
        </w:trPr>
        <w:tc>
          <w:tcPr>
            <w:tcW w:type="dxa" w:w="27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Fournitures d'exploitation</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45 130 $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78 027 $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109 358 $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125 856 $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138 203 $</w:t>
            </w:r>
          </w:p>
        </w:tc>
        <w:tc>
          <w:tcPr>
            <w:tcW w:type="dxa" w:w="11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146 623 $</w:t>
            </w:r>
          </w:p>
        </w:tc>
      </w:tr>
      <w:tr>
        <w:trPr>
          <w:cantSplit/>
        </w:trPr>
        <w:tc>
          <w:tcPr>
            <w:tcW w:type="dxa" w:w="27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Loyers et locations</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42 000 $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42 840 $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43 697 $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44 571 $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45 462 $</w:t>
            </w:r>
          </w:p>
        </w:tc>
        <w:tc>
          <w:tcPr>
            <w:tcW w:type="dxa" w:w="11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46 371 $</w:t>
            </w:r>
          </w:p>
        </w:tc>
      </w:tr>
      <w:tr>
        <w:trPr>
          <w:cantSplit/>
        </w:trPr>
        <w:tc>
          <w:tcPr>
            <w:tcW w:type="dxa" w:w="27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Divers et imprévus</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36 104 $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62 422 $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87 486 $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100 685 $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110 563 $</w:t>
            </w:r>
          </w:p>
        </w:tc>
        <w:tc>
          <w:tcPr>
            <w:tcW w:type="dxa" w:w="11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117 298 $</w:t>
            </w:r>
          </w:p>
        </w:tc>
      </w:tr>
      <w:tr>
        <w:trPr>
          <w:cantSplit/>
        </w:trPr>
        <w:tc>
          <w:tcPr>
            <w:tcW w:type="dxa" w:w="2700"/>
            <w:shd w:fill="CFE3E6"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1E2A2E"/>
                <w:sz w:val="15"/>
                <w:szCs w:val="15"/>
              </w:rPr>
              <w:t xml:space="preserve">Total des charges d'exploitation</w:t>
            </w:r>
          </w:p>
        </w:tc>
        <w:tc>
          <w:tcPr>
            <w:tcW w:type="dxa" w:w="1160"/>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1 611 861 $</w:t>
            </w:r>
          </w:p>
        </w:tc>
        <w:tc>
          <w:tcPr>
            <w:tcW w:type="dxa" w:w="1160"/>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2 532 959 $</w:t>
            </w:r>
          </w:p>
        </w:tc>
        <w:tc>
          <w:tcPr>
            <w:tcW w:type="dxa" w:w="1160"/>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3 530 735 $</w:t>
            </w:r>
          </w:p>
        </w:tc>
        <w:tc>
          <w:tcPr>
            <w:tcW w:type="dxa" w:w="1160"/>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3 903 169 $</w:t>
            </w:r>
          </w:p>
        </w:tc>
        <w:tc>
          <w:tcPr>
            <w:tcW w:type="dxa" w:w="1160"/>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4 206 281 $</w:t>
            </w:r>
          </w:p>
        </w:tc>
        <w:tc>
          <w:tcPr>
            <w:tcW w:type="dxa" w:w="1148"/>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4 391 291 $</w:t>
            </w:r>
          </w:p>
        </w:tc>
      </w:tr>
    </w:tbl>
    <w:p>
      <w:pPr>
        <w:spacing w:after="120"/>
      </w:pPr>
    </w:p>
    <w:tbl>
      <w:tblPr>
        <w:tblW w:type="dxa" w:w="9648"/>
        <w:tblBorders>
          <w:top w:val="none" w:color="FFFFFF" w:sz="0"/>
          <w:left w:val="none" w:color="FFFFFF" w:sz="0"/>
          <w:bottom w:val="single" w:color="0C4A5E" w:sz="8"/>
          <w:right w:val="none" w:color="FFFFFF" w:sz="0"/>
          <w:insideH w:val="single" w:color="CFE3E6" w:sz="4"/>
          <w:insideV w:val="none" w:color="FFFFFF" w:sz="0"/>
        </w:tblBorders>
      </w:tblPr>
      <w:tblGrid>
        <w:gridCol w:w="2700"/>
        <w:gridCol w:w="1160"/>
        <w:gridCol w:w="1160"/>
        <w:gridCol w:w="1160"/>
        <w:gridCol w:w="1160"/>
        <w:gridCol w:w="1160"/>
        <w:gridCol w:w="1148"/>
      </w:tblGrid>
      <w:tr>
        <w:trPr>
          <w:tblHeader/>
        </w:trPr>
        <w:tc>
          <w:tcPr>
            <w:tcW w:type="dxa" w:w="2700"/>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6"/>
                <w:szCs w:val="16"/>
              </w:rPr>
              <w:t xml:space="preserve">Résultats</w:t>
            </w:r>
          </w:p>
        </w:tc>
        <w:tc>
          <w:tcPr>
            <w:tcW w:type="dxa" w:w="116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6"/>
                <w:szCs w:val="16"/>
              </w:rPr>
              <w:t xml:space="preserve">2026 (réel)</w:t>
            </w:r>
          </w:p>
        </w:tc>
        <w:tc>
          <w:tcPr>
            <w:tcW w:type="dxa" w:w="116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6"/>
                <w:szCs w:val="16"/>
              </w:rPr>
              <w:t xml:space="preserve">An 1
2027</w:t>
            </w:r>
          </w:p>
        </w:tc>
        <w:tc>
          <w:tcPr>
            <w:tcW w:type="dxa" w:w="116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6"/>
                <w:szCs w:val="16"/>
              </w:rPr>
              <w:t xml:space="preserve">An 2
2028</w:t>
            </w:r>
          </w:p>
        </w:tc>
        <w:tc>
          <w:tcPr>
            <w:tcW w:type="dxa" w:w="116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6"/>
                <w:szCs w:val="16"/>
              </w:rPr>
              <w:t xml:space="preserve">An 3
2029</w:t>
            </w:r>
          </w:p>
        </w:tc>
        <w:tc>
          <w:tcPr>
            <w:tcW w:type="dxa" w:w="116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6"/>
                <w:szCs w:val="16"/>
              </w:rPr>
              <w:t xml:space="preserve">An 4
2030</w:t>
            </w:r>
          </w:p>
        </w:tc>
        <w:tc>
          <w:tcPr>
            <w:tcW w:type="dxa" w:w="1148"/>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6"/>
                <w:szCs w:val="16"/>
              </w:rPr>
              <w:t xml:space="preserve">An 5
2031</w:t>
            </w:r>
          </w:p>
        </w:tc>
      </w:tr>
      <w:tr>
        <w:trPr>
          <w:cantSplit/>
        </w:trPr>
        <w:tc>
          <w:tcPr>
            <w:tcW w:type="dxa" w:w="27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1E2A2E"/>
                <w:sz w:val="16"/>
                <w:szCs w:val="16"/>
              </w:rPr>
              <w:t xml:space="preserve">BAIIA</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6"/>
                <w:szCs w:val="16"/>
              </w:rPr>
              <w:t xml:space="preserve">193 348 $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6"/>
                <w:szCs w:val="16"/>
              </w:rPr>
              <w:t xml:space="preserve">588 116 $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6"/>
                <w:szCs w:val="16"/>
              </w:rPr>
              <w:t xml:space="preserve">843 568 $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6"/>
                <w:szCs w:val="16"/>
              </w:rPr>
              <w:t xml:space="preserve">1 131 067 $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6"/>
                <w:szCs w:val="16"/>
              </w:rPr>
              <w:t xml:space="preserve">1 321 844 $</w:t>
            </w:r>
          </w:p>
        </w:tc>
        <w:tc>
          <w:tcPr>
            <w:tcW w:type="dxa" w:w="11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6"/>
                <w:szCs w:val="16"/>
              </w:rPr>
              <w:t xml:space="preserve">1 473 610 $</w:t>
            </w:r>
          </w:p>
        </w:tc>
      </w:tr>
      <w:tr>
        <w:trPr>
          <w:cantSplit/>
        </w:trPr>
        <w:tc>
          <w:tcPr>
            <w:tcW w:type="dxa" w:w="27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Marge BAIIA</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10,7 %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18,8 %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19,3 %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22,5 %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23,9 %</w:t>
            </w:r>
          </w:p>
        </w:tc>
        <w:tc>
          <w:tcPr>
            <w:tcW w:type="dxa" w:w="11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25,1 %</w:t>
            </w:r>
          </w:p>
        </w:tc>
      </w:tr>
      <w:tr>
        <w:trPr>
          <w:cantSplit/>
        </w:trPr>
        <w:tc>
          <w:tcPr>
            <w:tcW w:type="dxa" w:w="27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Amortissement comptable</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150 000 $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250 844 $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351 687 $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351 687 $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351 687 $</w:t>
            </w:r>
          </w:p>
        </w:tc>
        <w:tc>
          <w:tcPr>
            <w:tcW w:type="dxa" w:w="11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351 687 $</w:t>
            </w:r>
          </w:p>
        </w:tc>
      </w:tr>
      <w:tr>
        <w:trPr>
          <w:cantSplit/>
        </w:trPr>
        <w:tc>
          <w:tcPr>
            <w:tcW w:type="dxa" w:w="27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Intérêts (toutes couches)</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300 000 $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423 500 $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467 601 $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459 663 $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446 998 $</w:t>
            </w:r>
          </w:p>
        </w:tc>
        <w:tc>
          <w:tcPr>
            <w:tcW w:type="dxa" w:w="11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429 414 $</w:t>
            </w:r>
          </w:p>
        </w:tc>
      </w:tr>
      <w:tr>
        <w:trPr>
          <w:cantSplit/>
        </w:trPr>
        <w:tc>
          <w:tcPr>
            <w:tcW w:type="dxa" w:w="27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Bénéfice avant impôts</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(256 652)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(86 227)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24 280 $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319 717 $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523 159 $</w:t>
            </w:r>
          </w:p>
        </w:tc>
        <w:tc>
          <w:tcPr>
            <w:tcW w:type="dxa" w:w="11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692 508 $</w:t>
            </w:r>
          </w:p>
        </w:tc>
      </w:tr>
      <w:tr>
        <w:trPr>
          <w:cantSplit/>
        </w:trPr>
        <w:tc>
          <w:tcPr>
            <w:tcW w:type="dxa" w:w="27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Impôts (12,2 % jusqu'à 500 k$, 26,5 % au-delà)</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0 $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0 $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2 962 $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39 005 $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67 137 $</w:t>
            </w:r>
          </w:p>
        </w:tc>
        <w:tc>
          <w:tcPr>
            <w:tcW w:type="dxa" w:w="11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112 015 $</w:t>
            </w:r>
          </w:p>
        </w:tc>
      </w:tr>
      <w:tr>
        <w:trPr>
          <w:cantSplit/>
        </w:trPr>
        <w:tc>
          <w:tcPr>
            <w:tcW w:type="dxa" w:w="27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1E2A2E"/>
                <w:sz w:val="16"/>
                <w:szCs w:val="16"/>
              </w:rPr>
              <w:t xml:space="preserve">Bénéfice net</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6"/>
                <w:szCs w:val="16"/>
              </w:rPr>
              <w:t xml:space="preserve">(256 652)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6"/>
                <w:szCs w:val="16"/>
              </w:rPr>
              <w:t xml:space="preserve">(86 227)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6"/>
                <w:szCs w:val="16"/>
              </w:rPr>
              <w:t xml:space="preserve">21 317 $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6"/>
                <w:szCs w:val="16"/>
              </w:rPr>
              <w:t xml:space="preserve">280 711 $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6"/>
                <w:szCs w:val="16"/>
              </w:rPr>
              <w:t xml:space="preserve">456 022 $</w:t>
            </w:r>
          </w:p>
        </w:tc>
        <w:tc>
          <w:tcPr>
            <w:tcW w:type="dxa" w:w="11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6"/>
                <w:szCs w:val="16"/>
              </w:rPr>
              <w:t xml:space="preserve">580 494 $</w:t>
            </w:r>
          </w:p>
        </w:tc>
      </w:tr>
    </w:tbl>
    <w:p>
      <w:pPr>
        <w:spacing w:after="120" w:before="0" w:line="276"/>
        <w:jc w:val="left"/>
      </w:pPr>
      <w:r>
        <w:rPr>
          <w:rFonts w:ascii="Calibri" w:cs="Calibri" w:eastAsia="Calibri" w:hAnsi="Calibri"/>
          <w:i/>
          <w:iCs/>
          <w:color w:val="6F8A90"/>
          <w:sz w:val="18"/>
          <w:szCs w:val="18"/>
        </w:rPr>
        <w:t xml:space="preserve">2026 : exercice de transition, charges du budget de la direction et dette existante en intérêts seulement.</w:t>
      </w:r>
    </w:p>
    <w:p>
      <w:pPr>
        <w:spacing w:after="40" w:before="120"/>
        <w:jc w:val="center"/>
      </w:pPr>
      <w:r>
        <w:drawing>
          <wp:inline distT="0" distB="0" distL="0" distR="0">
            <wp:extent cx="5667375"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667375" cy="2676525"/>
                    </a:xfrm>
                    <a:prstGeom prst="rect">
                      <a:avLst/>
                    </a:prstGeom>
                  </pic:spPr>
                </pic:pic>
              </a:graphicData>
            </a:graphic>
          </wp:inline>
        </w:drawing>
      </w:r>
    </w:p>
    <w:p>
      <w:pPr>
        <w:spacing w:after="200"/>
        <w:jc w:val="center"/>
      </w:pPr>
      <w:r>
        <w:rPr>
          <w:rFonts w:ascii="Calibri" w:cs="Calibri" w:eastAsia="Calibri" w:hAnsi="Calibri"/>
          <w:i/>
          <w:iCs/>
          <w:color w:val="6F8A90"/>
          <w:sz w:val="17"/>
          <w:szCs w:val="17"/>
        </w:rPr>
        <w:t xml:space="preserve">Figure 4 – Répartition des revenus : 2026 et An 5</w:t>
      </w:r>
    </w:p>
    <w:p>
      <w:pPr>
        <w:pStyle w:val="Heading2"/>
        <w:keepNext/>
        <w:spacing w:after="120" w:before="300"/>
      </w:pPr>
      <w:r>
        <w:rPr>
          <w:rFonts w:ascii="Calibri" w:cs="Calibri" w:eastAsia="Calibri" w:hAnsi="Calibri"/>
          <w:b/>
          <w:bCs/>
          <w:color w:val="0C4A5E"/>
          <w:sz w:val="27"/>
          <w:szCs w:val="27"/>
        </w:rPr>
        <w:t xml:space="preserve">8.4 Flux de trésorerie et service de la dette</w:t>
      </w:r>
    </w:p>
    <w:tbl>
      <w:tblPr>
        <w:tblW w:type="dxa" w:w="9648"/>
        <w:tblBorders>
          <w:top w:val="none" w:color="FFFFFF" w:sz="0"/>
          <w:left w:val="none" w:color="FFFFFF" w:sz="0"/>
          <w:bottom w:val="single" w:color="0C4A5E" w:sz="8"/>
          <w:right w:val="none" w:color="FFFFFF" w:sz="0"/>
          <w:insideH w:val="single" w:color="CFE3E6" w:sz="4"/>
          <w:insideV w:val="none" w:color="FFFFFF" w:sz="0"/>
        </w:tblBorders>
      </w:tblPr>
      <w:tblGrid>
        <w:gridCol w:w="2700"/>
        <w:gridCol w:w="1160"/>
        <w:gridCol w:w="1160"/>
        <w:gridCol w:w="1160"/>
        <w:gridCol w:w="1160"/>
        <w:gridCol w:w="1160"/>
        <w:gridCol w:w="1148"/>
      </w:tblGrid>
      <w:tr>
        <w:trPr>
          <w:tblHeader/>
        </w:trPr>
        <w:tc>
          <w:tcPr>
            <w:tcW w:type="dxa" w:w="2700"/>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5"/>
                <w:szCs w:val="15"/>
              </w:rPr>
              <w:t xml:space="preserve">Flux de trésorerie (méthode indirecte)</w:t>
            </w:r>
          </w:p>
        </w:tc>
        <w:tc>
          <w:tcPr>
            <w:tcW w:type="dxa" w:w="116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5"/>
                <w:szCs w:val="15"/>
              </w:rPr>
              <w:t xml:space="preserve">2026 (réel)</w:t>
            </w:r>
          </w:p>
        </w:tc>
        <w:tc>
          <w:tcPr>
            <w:tcW w:type="dxa" w:w="116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5"/>
                <w:szCs w:val="15"/>
              </w:rPr>
              <w:t xml:space="preserve">An 1
2027</w:t>
            </w:r>
          </w:p>
        </w:tc>
        <w:tc>
          <w:tcPr>
            <w:tcW w:type="dxa" w:w="116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5"/>
                <w:szCs w:val="15"/>
              </w:rPr>
              <w:t xml:space="preserve">An 2
2028</w:t>
            </w:r>
          </w:p>
        </w:tc>
        <w:tc>
          <w:tcPr>
            <w:tcW w:type="dxa" w:w="116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5"/>
                <w:szCs w:val="15"/>
              </w:rPr>
              <w:t xml:space="preserve">An 3
2029</w:t>
            </w:r>
          </w:p>
        </w:tc>
        <w:tc>
          <w:tcPr>
            <w:tcW w:type="dxa" w:w="116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5"/>
                <w:szCs w:val="15"/>
              </w:rPr>
              <w:t xml:space="preserve">An 4
2030</w:t>
            </w:r>
          </w:p>
        </w:tc>
        <w:tc>
          <w:tcPr>
            <w:tcW w:type="dxa" w:w="1148"/>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5"/>
                <w:szCs w:val="15"/>
              </w:rPr>
              <w:t xml:space="preserve">An 5
2031</w:t>
            </w:r>
          </w:p>
        </w:tc>
      </w:tr>
      <w:tr>
        <w:trPr>
          <w:cantSplit/>
        </w:trPr>
        <w:tc>
          <w:tcPr>
            <w:tcW w:type="dxa" w:w="27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Bénéfice net</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(256 652)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(86 227)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21 317 $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280 711 $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456 022 $</w:t>
            </w:r>
          </w:p>
        </w:tc>
        <w:tc>
          <w:tcPr>
            <w:tcW w:type="dxa" w:w="11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580 494 $</w:t>
            </w:r>
          </w:p>
        </w:tc>
      </w:tr>
      <w:tr>
        <w:trPr>
          <w:cantSplit/>
        </w:trPr>
        <w:tc>
          <w:tcPr>
            <w:tcW w:type="dxa" w:w="27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Plus : amortissement</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150 000 $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250 844 $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351 687 $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351 687 $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351 687 $</w:t>
            </w:r>
          </w:p>
        </w:tc>
        <w:tc>
          <w:tcPr>
            <w:tcW w:type="dxa" w:w="11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351 687 $</w:t>
            </w:r>
          </w:p>
        </w:tc>
      </w:tr>
      <w:tr>
        <w:trPr>
          <w:cantSplit/>
        </w:trPr>
        <w:tc>
          <w:tcPr>
            <w:tcW w:type="dxa" w:w="27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1E2A2E"/>
                <w:sz w:val="15"/>
                <w:szCs w:val="15"/>
              </w:rPr>
              <w:t xml:space="preserve">Flux de trésorerie d'exploitation</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(106 652)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164 616 $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373 005 $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632 398 $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807 709 $</w:t>
            </w:r>
          </w:p>
        </w:tc>
        <w:tc>
          <w:tcPr>
            <w:tcW w:type="dxa" w:w="11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932 181 $</w:t>
            </w:r>
          </w:p>
        </w:tc>
      </w:tr>
      <w:tr>
        <w:trPr>
          <w:cantSplit/>
        </w:trPr>
        <w:tc>
          <w:tcPr>
            <w:tcW w:type="dxa" w:w="27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Moins : remboursement de capital (toutes couches)</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0 $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0 $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(101 919)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(213 929)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(303 896) $</w:t>
            </w:r>
          </w:p>
        </w:tc>
        <w:tc>
          <w:tcPr>
            <w:tcW w:type="dxa" w:w="11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(321 480) $</w:t>
            </w:r>
          </w:p>
        </w:tc>
      </w:tr>
      <w:tr>
        <w:trPr>
          <w:cantSplit/>
        </w:trPr>
        <w:tc>
          <w:tcPr>
            <w:tcW w:type="dxa" w:w="27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Moins : immobilisations de maintien (2 % des revenus)</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0 $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(62 422)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(87 486)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(100 685)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(110 563) $</w:t>
            </w:r>
          </w:p>
        </w:tc>
        <w:tc>
          <w:tcPr>
            <w:tcW w:type="dxa" w:w="11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(117 298) $</w:t>
            </w:r>
          </w:p>
        </w:tc>
      </w:tr>
      <w:tr>
        <w:trPr>
          <w:cantSplit/>
        </w:trPr>
        <w:tc>
          <w:tcPr>
            <w:tcW w:type="dxa" w:w="27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1E2A2E"/>
                <w:sz w:val="15"/>
                <w:szCs w:val="15"/>
              </w:rPr>
              <w:t xml:space="preserve">Flux de trésorerie disponible</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(106 652)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102 195 $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183 600 $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317 784 $</w:t>
            </w:r>
          </w:p>
        </w:tc>
        <w:tc>
          <w:tcPr>
            <w:tcW w:type="dxa" w:w="11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393 251 $</w:t>
            </w:r>
          </w:p>
        </w:tc>
        <w:tc>
          <w:tcPr>
            <w:tcW w:type="dxa" w:w="11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493 403 $</w:t>
            </w:r>
          </w:p>
        </w:tc>
      </w:tr>
      <w:tr>
        <w:trPr>
          <w:cantSplit/>
        </w:trPr>
        <w:tc>
          <w:tcPr>
            <w:tcW w:type="dxa" w:w="27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1E2A2E"/>
                <w:sz w:val="15"/>
                <w:szCs w:val="15"/>
              </w:rPr>
              <w:t xml:space="preserve">Trésorerie cumulée depuis la clôture (hors réserve et fonds de roulement)</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0 $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102 195 $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285 794 $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603 579 $</w:t>
            </w:r>
          </w:p>
        </w:tc>
        <w:tc>
          <w:tcPr>
            <w:tcW w:type="dxa" w:w="11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996 830 $</w:t>
            </w:r>
          </w:p>
        </w:tc>
        <w:tc>
          <w:tcPr>
            <w:tcW w:type="dxa" w:w="11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1 490 232 $</w:t>
            </w:r>
          </w:p>
        </w:tc>
      </w:tr>
    </w:tbl>
    <w:p>
      <w:pPr>
        <w:spacing w:after="120"/>
      </w:pPr>
    </w:p>
    <w:p>
      <w:pPr>
        <w:spacing w:after="120" w:before="0" w:line="276"/>
        <w:jc w:val="left"/>
      </w:pPr>
      <w:r>
        <w:rPr>
          <w:rFonts w:ascii="Calibri" w:cs="Calibri" w:eastAsia="Calibri" w:hAnsi="Calibri"/>
        </w:rPr>
        <w:t xml:space="preserve">Trésorerie mensuelle : le budget de la direction montre un creux cumulé d'environ 300 000 $ de novembre à avril hors service de dette. Le plan y répond par la réserve de service de la dette, le fonds de roulement de 250 000 $, les contrats saisonniers encaissés de janvier à mars et une marge d'exploitation renouvelable saisonnière (facilité distincte, dimensionnée sur le tableau mensuel du classeur).</w:t>
      </w:r>
    </w:p>
    <w:p>
      <w:pPr>
        <w:pStyle w:val="Heading3"/>
        <w:keepNext/>
        <w:spacing w:after="80" w:before="200"/>
      </w:pPr>
      <w:r>
        <w:rPr>
          <w:rFonts w:ascii="Calibri" w:cs="Calibri" w:eastAsia="Calibri" w:hAnsi="Calibri"/>
          <w:b/>
          <w:bCs/>
          <w:color w:val="2BB5BF"/>
          <w:sz w:val="22"/>
          <w:szCs w:val="22"/>
        </w:rPr>
        <w:t xml:space="preserve">Couches de financement</w:t>
      </w:r>
    </w:p>
    <w:tbl>
      <w:tblPr>
        <w:tblW w:type="dxa" w:w="9648"/>
        <w:tblBorders>
          <w:top w:val="none" w:color="FFFFFF" w:sz="0"/>
          <w:left w:val="none" w:color="FFFFFF" w:sz="0"/>
          <w:bottom w:val="single" w:color="0C4A5E" w:sz="8"/>
          <w:right w:val="none" w:color="FFFFFF" w:sz="0"/>
          <w:insideH w:val="single" w:color="CFE3E6" w:sz="4"/>
          <w:insideV w:val="none" w:color="FFFFFF" w:sz="0"/>
        </w:tblBorders>
      </w:tblPr>
      <w:tblGrid>
        <w:gridCol w:w="3600"/>
        <w:gridCol w:w="1300"/>
        <w:gridCol w:w="900"/>
        <w:gridCol w:w="1200"/>
        <w:gridCol w:w="1100"/>
        <w:gridCol w:w="1548"/>
      </w:tblGrid>
      <w:tr>
        <w:trPr>
          <w:tblHeader/>
        </w:trPr>
        <w:tc>
          <w:tcPr>
            <w:tcW w:type="dxa" w:w="3600"/>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6"/>
                <w:szCs w:val="16"/>
              </w:rPr>
              <w:t xml:space="preserve">Couche</w:t>
            </w:r>
          </w:p>
        </w:tc>
        <w:tc>
          <w:tcPr>
            <w:tcW w:type="dxa" w:w="130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6"/>
                <w:szCs w:val="16"/>
              </w:rPr>
              <w:t xml:space="preserve">Montant</w:t>
            </w:r>
          </w:p>
        </w:tc>
        <w:tc>
          <w:tcPr>
            <w:tcW w:type="dxa" w:w="90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6"/>
                <w:szCs w:val="16"/>
              </w:rPr>
              <w:t xml:space="preserve">Taux</w:t>
            </w:r>
          </w:p>
        </w:tc>
        <w:tc>
          <w:tcPr>
            <w:tcW w:type="dxa" w:w="120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6"/>
                <w:szCs w:val="16"/>
              </w:rPr>
              <w:t xml:space="preserve">Amortissement</w:t>
            </w:r>
          </w:p>
        </w:tc>
        <w:tc>
          <w:tcPr>
            <w:tcW w:type="dxa" w:w="110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6"/>
                <w:szCs w:val="16"/>
              </w:rPr>
              <w:t xml:space="preserve">Moratoire</w:t>
            </w:r>
          </w:p>
        </w:tc>
        <w:tc>
          <w:tcPr>
            <w:tcW w:type="dxa" w:w="1548"/>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6"/>
                <w:szCs w:val="16"/>
              </w:rPr>
              <w:t xml:space="preserve">Paiement mensuel</w:t>
            </w:r>
          </w:p>
        </w:tc>
      </w:tr>
      <w:tr>
        <w:trPr>
          <w:cantSplit/>
        </w:trPr>
        <w:tc>
          <w:tcPr>
            <w:tcW w:type="dxa" w:w="36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Prêt hypothécaire de premier rang (tranche A refinancement, tranche B construction)</w:t>
            </w:r>
          </w:p>
        </w:tc>
        <w:tc>
          <w:tcPr>
            <w:tcW w:type="dxa" w:w="13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5 500 000 $</w:t>
            </w:r>
          </w:p>
        </w:tc>
        <w:tc>
          <w:tcPr>
            <w:tcW w:type="dxa" w:w="9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7,0 %</w:t>
            </w:r>
          </w:p>
        </w:tc>
        <w:tc>
          <w:tcPr>
            <w:tcW w:type="dxa" w:w="12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25 ans</w:t>
            </w:r>
          </w:p>
        </w:tc>
        <w:tc>
          <w:tcPr>
            <w:tcW w:type="dxa" w:w="11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12 mois</w:t>
            </w:r>
          </w:p>
        </w:tc>
        <w:tc>
          <w:tcPr>
            <w:tcW w:type="dxa" w:w="15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38 873 $</w:t>
            </w:r>
          </w:p>
        </w:tc>
      </w:tr>
      <w:tr>
        <w:trPr>
          <w:cantSplit/>
        </w:trPr>
        <w:tc>
          <w:tcPr>
            <w:tcW w:type="dxa" w:w="36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DEC – contribution remboursable sans intérêt</w:t>
            </w:r>
          </w:p>
        </w:tc>
        <w:tc>
          <w:tcPr>
            <w:tcW w:type="dxa" w:w="13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500 000 $</w:t>
            </w:r>
          </w:p>
        </w:tc>
        <w:tc>
          <w:tcPr>
            <w:tcW w:type="dxa" w:w="9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0 %</w:t>
            </w:r>
          </w:p>
        </w:tc>
        <w:tc>
          <w:tcPr>
            <w:tcW w:type="dxa" w:w="12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7 ans</w:t>
            </w:r>
          </w:p>
        </w:tc>
        <w:tc>
          <w:tcPr>
            <w:tcW w:type="dxa" w:w="11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24 mois</w:t>
            </w:r>
          </w:p>
        </w:tc>
        <w:tc>
          <w:tcPr>
            <w:tcW w:type="dxa" w:w="15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5 952 $</w:t>
            </w:r>
          </w:p>
        </w:tc>
      </w:tr>
      <w:tr>
        <w:trPr>
          <w:cantSplit/>
        </w:trPr>
        <w:tc>
          <w:tcPr>
            <w:tcW w:type="dxa" w:w="36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Quasi-équité : Fonds régional de solidarité FTQ Estrie ou Fondaction</w:t>
            </w:r>
          </w:p>
        </w:tc>
        <w:tc>
          <w:tcPr>
            <w:tcW w:type="dxa" w:w="13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750 000 $</w:t>
            </w:r>
          </w:p>
        </w:tc>
        <w:tc>
          <w:tcPr>
            <w:tcW w:type="dxa" w:w="9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9,0 %</w:t>
            </w:r>
          </w:p>
        </w:tc>
        <w:tc>
          <w:tcPr>
            <w:tcW w:type="dxa" w:w="12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7 ans</w:t>
            </w:r>
          </w:p>
        </w:tc>
        <w:tc>
          <w:tcPr>
            <w:tcW w:type="dxa" w:w="11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36 mois</w:t>
            </w:r>
          </w:p>
        </w:tc>
        <w:tc>
          <w:tcPr>
            <w:tcW w:type="dxa" w:w="15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12 067 $</w:t>
            </w:r>
          </w:p>
        </w:tc>
      </w:tr>
      <w:tr>
        <w:trPr>
          <w:cantSplit/>
        </w:trPr>
        <w:tc>
          <w:tcPr>
            <w:tcW w:type="dxa" w:w="36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MRC du Val-Saint-François – FLI / FLS</w:t>
            </w:r>
          </w:p>
        </w:tc>
        <w:tc>
          <w:tcPr>
            <w:tcW w:type="dxa" w:w="13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150 000 $</w:t>
            </w:r>
          </w:p>
        </w:tc>
        <w:tc>
          <w:tcPr>
            <w:tcW w:type="dxa" w:w="9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6,0 %</w:t>
            </w:r>
          </w:p>
        </w:tc>
        <w:tc>
          <w:tcPr>
            <w:tcW w:type="dxa" w:w="12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7 ans</w:t>
            </w:r>
          </w:p>
        </w:tc>
        <w:tc>
          <w:tcPr>
            <w:tcW w:type="dxa" w:w="11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12 mois</w:t>
            </w:r>
          </w:p>
        </w:tc>
        <w:tc>
          <w:tcPr>
            <w:tcW w:type="dxa" w:w="15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2 191 $</w:t>
            </w:r>
          </w:p>
        </w:tc>
      </w:tr>
      <w:tr>
        <w:trPr>
          <w:cantSplit/>
        </w:trPr>
        <w:tc>
          <w:tcPr>
            <w:tcW w:type="dxa" w:w="36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Construction Prospère – retenue contractuelle subordonnée (10 % des travaux de chantier)</w:t>
            </w:r>
          </w:p>
        </w:tc>
        <w:tc>
          <w:tcPr>
            <w:tcW w:type="dxa" w:w="13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185 000 $</w:t>
            </w:r>
          </w:p>
        </w:tc>
        <w:tc>
          <w:tcPr>
            <w:tcW w:type="dxa" w:w="9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5,0 %</w:t>
            </w:r>
          </w:p>
        </w:tc>
        <w:tc>
          <w:tcPr>
            <w:tcW w:type="dxa" w:w="12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5 ans</w:t>
            </w:r>
          </w:p>
        </w:tc>
        <w:tc>
          <w:tcPr>
            <w:tcW w:type="dxa" w:w="11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24 mois</w:t>
            </w:r>
          </w:p>
        </w:tc>
        <w:tc>
          <w:tcPr>
            <w:tcW w:type="dxa" w:w="15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3 491 $</w:t>
            </w:r>
          </w:p>
        </w:tc>
      </w:tr>
    </w:tbl>
    <w:p>
      <w:pPr>
        <w:spacing w:after="120"/>
      </w:pPr>
    </w:p>
    <w:tbl>
      <w:tblPr>
        <w:tblW w:type="dxa" w:w="9648"/>
        <w:tblBorders>
          <w:top w:val="none" w:color="FFFFFF" w:sz="0"/>
          <w:left w:val="none" w:color="FFFFFF" w:sz="0"/>
          <w:bottom w:val="single" w:color="0C4A5E" w:sz="8"/>
          <w:right w:val="none" w:color="FFFFFF" w:sz="0"/>
          <w:insideH w:val="single" w:color="CFE3E6" w:sz="4"/>
          <w:insideV w:val="none" w:color="FFFFFF" w:sz="0"/>
        </w:tblBorders>
      </w:tblPr>
      <w:tblGrid>
        <w:gridCol w:w="2900"/>
        <w:gridCol w:w="1350"/>
        <w:gridCol w:w="1350"/>
        <w:gridCol w:w="1350"/>
        <w:gridCol w:w="1350"/>
        <w:gridCol w:w="1348"/>
      </w:tblGrid>
      <w:tr>
        <w:trPr>
          <w:tblHeader/>
        </w:trPr>
        <w:tc>
          <w:tcPr>
            <w:tcW w:type="dxa" w:w="2900"/>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6"/>
                <w:szCs w:val="16"/>
              </w:rPr>
              <w:t xml:space="preserve">Service annuel par couche</w:t>
            </w:r>
          </w:p>
        </w:tc>
        <w:tc>
          <w:tcPr>
            <w:tcW w:type="dxa" w:w="135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6"/>
                <w:szCs w:val="16"/>
              </w:rPr>
              <w:t xml:space="preserve">An 1
2027</w:t>
            </w:r>
          </w:p>
        </w:tc>
        <w:tc>
          <w:tcPr>
            <w:tcW w:type="dxa" w:w="135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6"/>
                <w:szCs w:val="16"/>
              </w:rPr>
              <w:t xml:space="preserve">An 2
2028</w:t>
            </w:r>
          </w:p>
        </w:tc>
        <w:tc>
          <w:tcPr>
            <w:tcW w:type="dxa" w:w="135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6"/>
                <w:szCs w:val="16"/>
              </w:rPr>
              <w:t xml:space="preserve">An 3
2029</w:t>
            </w:r>
          </w:p>
        </w:tc>
        <w:tc>
          <w:tcPr>
            <w:tcW w:type="dxa" w:w="135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6"/>
                <w:szCs w:val="16"/>
              </w:rPr>
              <w:t xml:space="preserve">An 4
2030</w:t>
            </w:r>
          </w:p>
        </w:tc>
        <w:tc>
          <w:tcPr>
            <w:tcW w:type="dxa" w:w="1348"/>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6"/>
                <w:szCs w:val="16"/>
              </w:rPr>
              <w:t xml:space="preserve">An 5
2031</w:t>
            </w:r>
          </w:p>
        </w:tc>
      </w:tr>
      <w:tr>
        <w:trPr>
          <w:cantSplit/>
        </w:trPr>
        <w:tc>
          <w:tcPr>
            <w:tcW w:type="dxa" w:w="29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Prêt hypothécaire de premier rang</w:t>
            </w:r>
          </w:p>
        </w:tc>
        <w:tc>
          <w:tcPr>
            <w:tcW w:type="dxa" w:w="13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337 750 $</w:t>
            </w:r>
          </w:p>
        </w:tc>
        <w:tc>
          <w:tcPr>
            <w:tcW w:type="dxa" w:w="13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466 474 $</w:t>
            </w:r>
          </w:p>
        </w:tc>
        <w:tc>
          <w:tcPr>
            <w:tcW w:type="dxa" w:w="13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466 474 $</w:t>
            </w:r>
          </w:p>
        </w:tc>
        <w:tc>
          <w:tcPr>
            <w:tcW w:type="dxa" w:w="13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466 474 $</w:t>
            </w:r>
          </w:p>
        </w:tc>
        <w:tc>
          <w:tcPr>
            <w:tcW w:type="dxa" w:w="13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466 474 $</w:t>
            </w:r>
          </w:p>
        </w:tc>
      </w:tr>
      <w:tr>
        <w:trPr>
          <w:cantSplit/>
        </w:trPr>
        <w:tc>
          <w:tcPr>
            <w:tcW w:type="dxa" w:w="29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DEC</w:t>
            </w:r>
          </w:p>
        </w:tc>
        <w:tc>
          <w:tcPr>
            <w:tcW w:type="dxa" w:w="13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0 $</w:t>
            </w:r>
          </w:p>
        </w:tc>
        <w:tc>
          <w:tcPr>
            <w:tcW w:type="dxa" w:w="13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0 $</w:t>
            </w:r>
          </w:p>
        </w:tc>
        <w:tc>
          <w:tcPr>
            <w:tcW w:type="dxa" w:w="13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71 429 $</w:t>
            </w:r>
          </w:p>
        </w:tc>
        <w:tc>
          <w:tcPr>
            <w:tcW w:type="dxa" w:w="13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71 429 $</w:t>
            </w:r>
          </w:p>
        </w:tc>
        <w:tc>
          <w:tcPr>
            <w:tcW w:type="dxa" w:w="13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71 429 $</w:t>
            </w:r>
          </w:p>
        </w:tc>
      </w:tr>
      <w:tr>
        <w:trPr>
          <w:cantSplit/>
        </w:trPr>
        <w:tc>
          <w:tcPr>
            <w:tcW w:type="dxa" w:w="29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Quasi-équité</w:t>
            </w:r>
          </w:p>
        </w:tc>
        <w:tc>
          <w:tcPr>
            <w:tcW w:type="dxa" w:w="13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67 500 $</w:t>
            </w:r>
          </w:p>
        </w:tc>
        <w:tc>
          <w:tcPr>
            <w:tcW w:type="dxa" w:w="13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67 500 $</w:t>
            </w:r>
          </w:p>
        </w:tc>
        <w:tc>
          <w:tcPr>
            <w:tcW w:type="dxa" w:w="13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67 500 $</w:t>
            </w:r>
          </w:p>
        </w:tc>
        <w:tc>
          <w:tcPr>
            <w:tcW w:type="dxa" w:w="13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144 802 $</w:t>
            </w:r>
          </w:p>
        </w:tc>
        <w:tc>
          <w:tcPr>
            <w:tcW w:type="dxa" w:w="13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144 802 $</w:t>
            </w:r>
          </w:p>
        </w:tc>
      </w:tr>
      <w:tr>
        <w:trPr>
          <w:cantSplit/>
        </w:trPr>
        <w:tc>
          <w:tcPr>
            <w:tcW w:type="dxa" w:w="29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MRC du Val-Saint-François</w:t>
            </w:r>
          </w:p>
        </w:tc>
        <w:tc>
          <w:tcPr>
            <w:tcW w:type="dxa" w:w="13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9 000 $</w:t>
            </w:r>
          </w:p>
        </w:tc>
        <w:tc>
          <w:tcPr>
            <w:tcW w:type="dxa" w:w="13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26 295 $</w:t>
            </w:r>
          </w:p>
        </w:tc>
        <w:tc>
          <w:tcPr>
            <w:tcW w:type="dxa" w:w="13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26 295 $</w:t>
            </w:r>
          </w:p>
        </w:tc>
        <w:tc>
          <w:tcPr>
            <w:tcW w:type="dxa" w:w="13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26 295 $</w:t>
            </w:r>
          </w:p>
        </w:tc>
        <w:tc>
          <w:tcPr>
            <w:tcW w:type="dxa" w:w="13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26 295 $</w:t>
            </w:r>
          </w:p>
        </w:tc>
      </w:tr>
      <w:tr>
        <w:trPr>
          <w:cantSplit/>
        </w:trPr>
        <w:tc>
          <w:tcPr>
            <w:tcW w:type="dxa" w:w="29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Construction Prospère</w:t>
            </w:r>
          </w:p>
        </w:tc>
        <w:tc>
          <w:tcPr>
            <w:tcW w:type="dxa" w:w="13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9 250 $</w:t>
            </w:r>
          </w:p>
        </w:tc>
        <w:tc>
          <w:tcPr>
            <w:tcW w:type="dxa" w:w="13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9 250 $</w:t>
            </w:r>
          </w:p>
        </w:tc>
        <w:tc>
          <w:tcPr>
            <w:tcW w:type="dxa" w:w="13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41 894 $</w:t>
            </w:r>
          </w:p>
        </w:tc>
        <w:tc>
          <w:tcPr>
            <w:tcW w:type="dxa" w:w="13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41 894 $</w:t>
            </w:r>
          </w:p>
        </w:tc>
        <w:tc>
          <w:tcPr>
            <w:tcW w:type="dxa" w:w="13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41 894 $</w:t>
            </w:r>
          </w:p>
        </w:tc>
      </w:tr>
      <w:tr>
        <w:trPr>
          <w:cantSplit/>
        </w:trPr>
        <w:tc>
          <w:tcPr>
            <w:tcW w:type="dxa" w:w="2900"/>
            <w:shd w:fill="CFE3E6"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1E2A2E"/>
                <w:sz w:val="16"/>
                <w:szCs w:val="16"/>
              </w:rPr>
              <w:t xml:space="preserve">Service total</w:t>
            </w:r>
          </w:p>
        </w:tc>
        <w:tc>
          <w:tcPr>
            <w:tcW w:type="dxa" w:w="1350"/>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6"/>
                <w:szCs w:val="16"/>
              </w:rPr>
              <w:t xml:space="preserve">423 500 $</w:t>
            </w:r>
          </w:p>
        </w:tc>
        <w:tc>
          <w:tcPr>
            <w:tcW w:type="dxa" w:w="1350"/>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6"/>
                <w:szCs w:val="16"/>
              </w:rPr>
              <w:t xml:space="preserve">569 520 $</w:t>
            </w:r>
          </w:p>
        </w:tc>
        <w:tc>
          <w:tcPr>
            <w:tcW w:type="dxa" w:w="1350"/>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6"/>
                <w:szCs w:val="16"/>
              </w:rPr>
              <w:t xml:space="preserve">673 592 $</w:t>
            </w:r>
          </w:p>
        </w:tc>
        <w:tc>
          <w:tcPr>
            <w:tcW w:type="dxa" w:w="1350"/>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6"/>
                <w:szCs w:val="16"/>
              </w:rPr>
              <w:t xml:space="preserve">750 894 $</w:t>
            </w:r>
          </w:p>
        </w:tc>
        <w:tc>
          <w:tcPr>
            <w:tcW w:type="dxa" w:w="1348"/>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6"/>
                <w:szCs w:val="16"/>
              </w:rPr>
              <w:t xml:space="preserve">750 894 $</w:t>
            </w:r>
          </w:p>
        </w:tc>
      </w:tr>
    </w:tbl>
    <w:p>
      <w:r>
        <w:br w:type="page"/>
      </w:r>
    </w:p>
    <w:tbl>
      <w:tblPr>
        <w:tblW w:type="dxa" w:w="9648"/>
        <w:tblBorders>
          <w:top w:val="none" w:color="FFFFFF" w:sz="0"/>
          <w:left w:val="none" w:color="FFFFFF" w:sz="0"/>
          <w:bottom w:val="single" w:color="0C4A5E" w:sz="8"/>
          <w:right w:val="none" w:color="FFFFFF" w:sz="0"/>
          <w:insideH w:val="single" w:color="CFE3E6" w:sz="4"/>
          <w:insideV w:val="none" w:color="FFFFFF" w:sz="0"/>
        </w:tblBorders>
      </w:tblPr>
      <w:tblGrid>
        <w:gridCol w:w="2000"/>
        <w:gridCol w:w="1900"/>
        <w:gridCol w:w="1900"/>
        <w:gridCol w:w="1900"/>
        <w:gridCol w:w="1948"/>
      </w:tblGrid>
      <w:tr>
        <w:trPr>
          <w:tblHeader/>
        </w:trPr>
        <w:tc>
          <w:tcPr>
            <w:tcW w:type="dxa" w:w="2000"/>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7"/>
                <w:szCs w:val="17"/>
              </w:rPr>
              <w:t xml:space="preserve">Prêt senior</w:t>
            </w:r>
          </w:p>
        </w:tc>
        <w:tc>
          <w:tcPr>
            <w:tcW w:type="dxa" w:w="190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7"/>
                <w:szCs w:val="17"/>
              </w:rPr>
              <w:t xml:space="preserve">Intérêts</w:t>
            </w:r>
          </w:p>
        </w:tc>
        <w:tc>
          <w:tcPr>
            <w:tcW w:type="dxa" w:w="190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7"/>
                <w:szCs w:val="17"/>
              </w:rPr>
              <w:t xml:space="preserve">Capital</w:t>
            </w:r>
          </w:p>
        </w:tc>
        <w:tc>
          <w:tcPr>
            <w:tcW w:type="dxa" w:w="190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7"/>
                <w:szCs w:val="17"/>
              </w:rPr>
              <w:t xml:space="preserve">Service</w:t>
            </w:r>
          </w:p>
        </w:tc>
        <w:tc>
          <w:tcPr>
            <w:tcW w:type="dxa" w:w="1948"/>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7"/>
                <w:szCs w:val="17"/>
              </w:rPr>
              <w:t xml:space="preserve">Solde en fin d'année</w:t>
            </w:r>
          </w:p>
        </w:tc>
      </w:tr>
      <w:tr>
        <w:trPr>
          <w:cantSplit/>
        </w:trPr>
        <w:tc>
          <w:tcPr>
            <w:tcW w:type="dxa" w:w="20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An 1</w:t>
            </w:r>
          </w:p>
        </w:tc>
        <w:tc>
          <w:tcPr>
            <w:tcW w:type="dxa" w:w="19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337 750 $</w:t>
            </w:r>
          </w:p>
        </w:tc>
        <w:tc>
          <w:tcPr>
            <w:tcW w:type="dxa" w:w="19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0 $</w:t>
            </w:r>
          </w:p>
        </w:tc>
        <w:tc>
          <w:tcPr>
            <w:tcW w:type="dxa" w:w="19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337 750 $</w:t>
            </w:r>
          </w:p>
        </w:tc>
        <w:tc>
          <w:tcPr>
            <w:tcW w:type="dxa" w:w="19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5 500 000 $</w:t>
            </w:r>
          </w:p>
        </w:tc>
      </w:tr>
      <w:tr>
        <w:trPr>
          <w:cantSplit/>
        </w:trPr>
        <w:tc>
          <w:tcPr>
            <w:tcW w:type="dxa" w:w="20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An 2</w:t>
            </w:r>
          </w:p>
        </w:tc>
        <w:tc>
          <w:tcPr>
            <w:tcW w:type="dxa" w:w="19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382 335 $</w:t>
            </w:r>
          </w:p>
        </w:tc>
        <w:tc>
          <w:tcPr>
            <w:tcW w:type="dxa" w:w="19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84 140 $</w:t>
            </w:r>
          </w:p>
        </w:tc>
        <w:tc>
          <w:tcPr>
            <w:tcW w:type="dxa" w:w="19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466 474 $</w:t>
            </w:r>
          </w:p>
        </w:tc>
        <w:tc>
          <w:tcPr>
            <w:tcW w:type="dxa" w:w="19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5 415 860 $</w:t>
            </w:r>
          </w:p>
        </w:tc>
      </w:tr>
      <w:tr>
        <w:trPr>
          <w:cantSplit/>
        </w:trPr>
        <w:tc>
          <w:tcPr>
            <w:tcW w:type="dxa" w:w="20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An 3</w:t>
            </w:r>
          </w:p>
        </w:tc>
        <w:tc>
          <w:tcPr>
            <w:tcW w:type="dxa" w:w="19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376 252 $</w:t>
            </w:r>
          </w:p>
        </w:tc>
        <w:tc>
          <w:tcPr>
            <w:tcW w:type="dxa" w:w="19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90 222 $</w:t>
            </w:r>
          </w:p>
        </w:tc>
        <w:tc>
          <w:tcPr>
            <w:tcW w:type="dxa" w:w="19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466 474 $</w:t>
            </w:r>
          </w:p>
        </w:tc>
        <w:tc>
          <w:tcPr>
            <w:tcW w:type="dxa" w:w="19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5 325 638 $</w:t>
            </w:r>
          </w:p>
        </w:tc>
      </w:tr>
      <w:tr>
        <w:trPr>
          <w:cantSplit/>
        </w:trPr>
        <w:tc>
          <w:tcPr>
            <w:tcW w:type="dxa" w:w="20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An 4</w:t>
            </w:r>
          </w:p>
        </w:tc>
        <w:tc>
          <w:tcPr>
            <w:tcW w:type="dxa" w:w="19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369 730 $</w:t>
            </w:r>
          </w:p>
        </w:tc>
        <w:tc>
          <w:tcPr>
            <w:tcW w:type="dxa" w:w="19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96 744 $</w:t>
            </w:r>
          </w:p>
        </w:tc>
        <w:tc>
          <w:tcPr>
            <w:tcW w:type="dxa" w:w="19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466 474 $</w:t>
            </w:r>
          </w:p>
        </w:tc>
        <w:tc>
          <w:tcPr>
            <w:tcW w:type="dxa" w:w="19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5 228 894 $</w:t>
            </w:r>
          </w:p>
        </w:tc>
      </w:tr>
      <w:tr>
        <w:trPr>
          <w:cantSplit/>
        </w:trPr>
        <w:tc>
          <w:tcPr>
            <w:tcW w:type="dxa" w:w="20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An 5</w:t>
            </w:r>
          </w:p>
        </w:tc>
        <w:tc>
          <w:tcPr>
            <w:tcW w:type="dxa" w:w="19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362 736 $</w:t>
            </w:r>
          </w:p>
        </w:tc>
        <w:tc>
          <w:tcPr>
            <w:tcW w:type="dxa" w:w="19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103 738 $</w:t>
            </w:r>
          </w:p>
        </w:tc>
        <w:tc>
          <w:tcPr>
            <w:tcW w:type="dxa" w:w="19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466 474 $</w:t>
            </w:r>
          </w:p>
        </w:tc>
        <w:tc>
          <w:tcPr>
            <w:tcW w:type="dxa" w:w="19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5 125 156 $</w:t>
            </w:r>
          </w:p>
        </w:tc>
      </w:tr>
    </w:tbl>
    <w:p>
      <w:pPr>
        <w:spacing w:after="40" w:before="120"/>
        <w:jc w:val="center"/>
      </w:pPr>
      <w:r>
        <w:drawing>
          <wp:inline distT="0" distB="0" distL="0" distR="0">
            <wp:extent cx="59436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43600" cy="2809875"/>
                    </a:xfrm>
                    <a:prstGeom prst="rect">
                      <a:avLst/>
                    </a:prstGeom>
                  </pic:spPr>
                </pic:pic>
              </a:graphicData>
            </a:graphic>
          </wp:inline>
        </w:drawing>
      </w:r>
    </w:p>
    <w:p>
      <w:pPr>
        <w:spacing w:after="200"/>
        <w:jc w:val="center"/>
      </w:pPr>
      <w:r>
        <w:rPr>
          <w:rFonts w:ascii="Calibri" w:cs="Calibri" w:eastAsia="Calibri" w:hAnsi="Calibri"/>
          <w:i/>
          <w:iCs/>
          <w:color w:val="6F8A90"/>
          <w:sz w:val="17"/>
          <w:szCs w:val="17"/>
        </w:rPr>
        <w:t xml:space="preserve">Figure 5 – BAIIA, service de la dette et couverture</w:t>
      </w:r>
    </w:p>
    <w:p>
      <w:r>
        <w:br w:type="page"/>
      </w:r>
    </w:p>
    <w:p>
      <w:pPr>
        <w:pStyle w:val="Heading2"/>
        <w:keepNext/>
        <w:spacing w:after="120" w:before="300"/>
      </w:pPr>
      <w:r>
        <w:rPr>
          <w:rFonts w:ascii="Calibri" w:cs="Calibri" w:eastAsia="Calibri" w:hAnsi="Calibri"/>
          <w:b/>
          <w:bCs/>
          <w:color w:val="0C4A5E"/>
          <w:sz w:val="27"/>
          <w:szCs w:val="27"/>
        </w:rPr>
        <w:t xml:space="preserve">8.5 Bilan prévisionnel (pro forma)</w:t>
      </w:r>
    </w:p>
    <w:p>
      <w:pPr>
        <w:spacing w:after="120" w:before="0" w:line="276"/>
        <w:jc w:val="left"/>
      </w:pPr>
      <w:r>
        <w:rPr>
          <w:rFonts w:ascii="Calibri" w:cs="Calibri" w:eastAsia="Calibri" w:hAnsi="Calibri"/>
        </w:rPr>
        <w:t xml:space="preserve">Le bilan est établi au coût : immobilisations existantes au coût des investissements réalisés (11 915 000 $, annexe A) moins un amortissement cumulé de 3 000 000 $, dette existante refinancée, fonds propres injectés. Il balance chaque année.</w:t>
      </w:r>
    </w:p>
    <w:tbl>
      <w:tblPr>
        <w:tblW w:type="dxa" w:w="9648"/>
        <w:tblBorders>
          <w:top w:val="none" w:color="FFFFFF" w:sz="0"/>
          <w:left w:val="none" w:color="FFFFFF" w:sz="0"/>
          <w:bottom w:val="single" w:color="0C4A5E" w:sz="8"/>
          <w:right w:val="none" w:color="FFFFFF" w:sz="0"/>
          <w:insideH w:val="single" w:color="CFE3E6" w:sz="4"/>
          <w:insideV w:val="none" w:color="FFFFFF" w:sz="0"/>
        </w:tblBorders>
      </w:tblPr>
      <w:tblGrid>
        <w:gridCol w:w="2900"/>
        <w:gridCol w:w="1350"/>
        <w:gridCol w:w="1350"/>
        <w:gridCol w:w="1350"/>
        <w:gridCol w:w="1350"/>
        <w:gridCol w:w="1348"/>
      </w:tblGrid>
      <w:tr>
        <w:trPr>
          <w:tblHeader/>
        </w:trPr>
        <w:tc>
          <w:tcPr>
            <w:tcW w:type="dxa" w:w="2900"/>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5"/>
                <w:szCs w:val="15"/>
              </w:rPr>
              <w:t xml:space="preserve">Bilan au 31 décembre</w:t>
            </w:r>
          </w:p>
        </w:tc>
        <w:tc>
          <w:tcPr>
            <w:tcW w:type="dxa" w:w="135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5"/>
                <w:szCs w:val="15"/>
              </w:rPr>
              <w:t xml:space="preserve">An 1
2027</w:t>
            </w:r>
          </w:p>
        </w:tc>
        <w:tc>
          <w:tcPr>
            <w:tcW w:type="dxa" w:w="135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5"/>
                <w:szCs w:val="15"/>
              </w:rPr>
              <w:t xml:space="preserve">An 2
2028</w:t>
            </w:r>
          </w:p>
        </w:tc>
        <w:tc>
          <w:tcPr>
            <w:tcW w:type="dxa" w:w="135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5"/>
                <w:szCs w:val="15"/>
              </w:rPr>
              <w:t xml:space="preserve">An 3
2029</w:t>
            </w:r>
          </w:p>
        </w:tc>
        <w:tc>
          <w:tcPr>
            <w:tcW w:type="dxa" w:w="135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5"/>
                <w:szCs w:val="15"/>
              </w:rPr>
              <w:t xml:space="preserve">An 4
2030</w:t>
            </w:r>
          </w:p>
        </w:tc>
        <w:tc>
          <w:tcPr>
            <w:tcW w:type="dxa" w:w="1348"/>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5"/>
                <w:szCs w:val="15"/>
              </w:rPr>
              <w:t xml:space="preserve">An 5
2031</w:t>
            </w:r>
          </w:p>
        </w:tc>
      </w:tr>
      <w:tr>
        <w:trPr>
          <w:cantSplit/>
        </w:trPr>
        <w:tc>
          <w:tcPr>
            <w:tcW w:type="dxa" w:w="2900"/>
            <w:shd w:fill="E3F4F5"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0C4A5E"/>
                <w:sz w:val="15"/>
                <w:szCs w:val="15"/>
              </w:rPr>
              <w:t xml:space="preserve">ACTIF</w:t>
            </w:r>
          </w:p>
        </w:tc>
        <w:tc>
          <w:tcPr>
            <w:tcW w:type="dxa" w:w="1350"/>
            <w:shd w:fill="E3F4F5"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0C4A5E"/>
                <w:sz w:val="15"/>
                <w:szCs w:val="15"/>
              </w:rPr>
              <w:t xml:space="preserve"/>
            </w:r>
          </w:p>
        </w:tc>
        <w:tc>
          <w:tcPr>
            <w:tcW w:type="dxa" w:w="1350"/>
            <w:shd w:fill="E3F4F5"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0C4A5E"/>
                <w:sz w:val="15"/>
                <w:szCs w:val="15"/>
              </w:rPr>
              <w:t xml:space="preserve"/>
            </w:r>
          </w:p>
        </w:tc>
        <w:tc>
          <w:tcPr>
            <w:tcW w:type="dxa" w:w="1350"/>
            <w:shd w:fill="E3F4F5"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0C4A5E"/>
                <w:sz w:val="15"/>
                <w:szCs w:val="15"/>
              </w:rPr>
              <w:t xml:space="preserve"/>
            </w:r>
          </w:p>
        </w:tc>
        <w:tc>
          <w:tcPr>
            <w:tcW w:type="dxa" w:w="1350"/>
            <w:shd w:fill="E3F4F5"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0C4A5E"/>
                <w:sz w:val="15"/>
                <w:szCs w:val="15"/>
              </w:rPr>
              <w:t xml:space="preserve"/>
            </w:r>
          </w:p>
        </w:tc>
        <w:tc>
          <w:tcPr>
            <w:tcW w:type="dxa" w:w="1348"/>
            <w:shd w:fill="E3F4F5"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0C4A5E"/>
                <w:sz w:val="15"/>
                <w:szCs w:val="15"/>
              </w:rPr>
              <w:t xml:space="preserve"/>
            </w:r>
          </w:p>
        </w:tc>
      </w:tr>
      <w:tr>
        <w:trPr>
          <w:cantSplit/>
        </w:trPr>
        <w:tc>
          <w:tcPr>
            <w:tcW w:type="dxa" w:w="29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Encaisse (fonds de roulement, réserve de service de la dette, flux cumulés)</w:t>
            </w:r>
          </w:p>
        </w:tc>
        <w:tc>
          <w:tcPr>
            <w:tcW w:type="dxa" w:w="13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585 432 $</w:t>
            </w:r>
          </w:p>
        </w:tc>
        <w:tc>
          <w:tcPr>
            <w:tcW w:type="dxa" w:w="13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769 031 $</w:t>
            </w:r>
          </w:p>
        </w:tc>
        <w:tc>
          <w:tcPr>
            <w:tcW w:type="dxa" w:w="13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1 086 816 $</w:t>
            </w:r>
          </w:p>
        </w:tc>
        <w:tc>
          <w:tcPr>
            <w:tcW w:type="dxa" w:w="13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1 480 067 $</w:t>
            </w:r>
          </w:p>
        </w:tc>
        <w:tc>
          <w:tcPr>
            <w:tcW w:type="dxa" w:w="13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1 973 469 $</w:t>
            </w:r>
          </w:p>
        </w:tc>
      </w:tr>
      <w:tr>
        <w:trPr>
          <w:cantSplit/>
        </w:trPr>
        <w:tc>
          <w:tcPr>
            <w:tcW w:type="dxa" w:w="29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Immobilisations existantes au coût déclaré, nettes de l'amortissement</w:t>
            </w:r>
          </w:p>
        </w:tc>
        <w:tc>
          <w:tcPr>
            <w:tcW w:type="dxa" w:w="13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8 765 000 $</w:t>
            </w:r>
          </w:p>
        </w:tc>
        <w:tc>
          <w:tcPr>
            <w:tcW w:type="dxa" w:w="13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8 615 000 $</w:t>
            </w:r>
          </w:p>
        </w:tc>
        <w:tc>
          <w:tcPr>
            <w:tcW w:type="dxa" w:w="13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8 465 000 $</w:t>
            </w:r>
          </w:p>
        </w:tc>
        <w:tc>
          <w:tcPr>
            <w:tcW w:type="dxa" w:w="13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8 315 000 $</w:t>
            </w:r>
          </w:p>
        </w:tc>
        <w:tc>
          <w:tcPr>
            <w:tcW w:type="dxa" w:w="13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8 165 000 $</w:t>
            </w:r>
          </w:p>
        </w:tc>
      </w:tr>
      <w:tr>
        <w:trPr>
          <w:cantSplit/>
        </w:trPr>
        <w:tc>
          <w:tcPr>
            <w:tcW w:type="dxa" w:w="29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Nouvelles immobilisations (projet et maintien), nettes</w:t>
            </w:r>
          </w:p>
        </w:tc>
        <w:tc>
          <w:tcPr>
            <w:tcW w:type="dxa" w:w="13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4 397 578 $</w:t>
            </w:r>
          </w:p>
        </w:tc>
        <w:tc>
          <w:tcPr>
            <w:tcW w:type="dxa" w:w="13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4 283 377 $</w:t>
            </w:r>
          </w:p>
        </w:tc>
        <w:tc>
          <w:tcPr>
            <w:tcW w:type="dxa" w:w="13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4 182 374 $</w:t>
            </w:r>
          </w:p>
        </w:tc>
        <w:tc>
          <w:tcPr>
            <w:tcW w:type="dxa" w:w="13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4 091 250 $</w:t>
            </w:r>
          </w:p>
        </w:tc>
        <w:tc>
          <w:tcPr>
            <w:tcW w:type="dxa" w:w="13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4 006 861 $</w:t>
            </w:r>
          </w:p>
        </w:tc>
      </w:tr>
      <w:tr>
        <w:trPr>
          <w:cantSplit/>
        </w:trPr>
        <w:tc>
          <w:tcPr>
            <w:tcW w:type="dxa" w:w="29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Frais reportés (conformité, intérêts capitalisés, frais de financement)</w:t>
            </w:r>
          </w:p>
        </w:tc>
        <w:tc>
          <w:tcPr>
            <w:tcW w:type="dxa" w:w="13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342 000 $</w:t>
            </w:r>
          </w:p>
        </w:tc>
        <w:tc>
          <w:tcPr>
            <w:tcW w:type="dxa" w:w="13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256 500 $</w:t>
            </w:r>
          </w:p>
        </w:tc>
        <w:tc>
          <w:tcPr>
            <w:tcW w:type="dxa" w:w="13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171 000 $</w:t>
            </w:r>
          </w:p>
        </w:tc>
        <w:tc>
          <w:tcPr>
            <w:tcW w:type="dxa" w:w="13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85 500 $</w:t>
            </w:r>
          </w:p>
        </w:tc>
        <w:tc>
          <w:tcPr>
            <w:tcW w:type="dxa" w:w="13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0 $</w:t>
            </w:r>
          </w:p>
        </w:tc>
      </w:tr>
      <w:tr>
        <w:trPr>
          <w:cantSplit/>
        </w:trPr>
        <w:tc>
          <w:tcPr>
            <w:tcW w:type="dxa" w:w="2900"/>
            <w:shd w:fill="CFE3E6"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1E2A2E"/>
                <w:sz w:val="15"/>
                <w:szCs w:val="15"/>
              </w:rPr>
              <w:t xml:space="preserve">Total de l'actif</w:t>
            </w:r>
          </w:p>
        </w:tc>
        <w:tc>
          <w:tcPr>
            <w:tcW w:type="dxa" w:w="1350"/>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14 090 010 $</w:t>
            </w:r>
          </w:p>
        </w:tc>
        <w:tc>
          <w:tcPr>
            <w:tcW w:type="dxa" w:w="1350"/>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13 923 908 $</w:t>
            </w:r>
          </w:p>
        </w:tc>
        <w:tc>
          <w:tcPr>
            <w:tcW w:type="dxa" w:w="1350"/>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13 905 190 $</w:t>
            </w:r>
          </w:p>
        </w:tc>
        <w:tc>
          <w:tcPr>
            <w:tcW w:type="dxa" w:w="1350"/>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13 971 816 $</w:t>
            </w:r>
          </w:p>
        </w:tc>
        <w:tc>
          <w:tcPr>
            <w:tcW w:type="dxa" w:w="1348"/>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14 145 330 $</w:t>
            </w:r>
          </w:p>
        </w:tc>
      </w:tr>
      <w:tr>
        <w:trPr>
          <w:cantSplit/>
        </w:trPr>
        <w:tc>
          <w:tcPr>
            <w:tcW w:type="dxa" w:w="2900"/>
            <w:shd w:fill="E3F4F5"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0C4A5E"/>
                <w:sz w:val="15"/>
                <w:szCs w:val="15"/>
              </w:rPr>
              <w:t xml:space="preserve">PASSIF</w:t>
            </w:r>
          </w:p>
        </w:tc>
        <w:tc>
          <w:tcPr>
            <w:tcW w:type="dxa" w:w="1350"/>
            <w:shd w:fill="E3F4F5"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0C4A5E"/>
                <w:sz w:val="15"/>
                <w:szCs w:val="15"/>
              </w:rPr>
              <w:t xml:space="preserve"/>
            </w:r>
          </w:p>
        </w:tc>
        <w:tc>
          <w:tcPr>
            <w:tcW w:type="dxa" w:w="1350"/>
            <w:shd w:fill="E3F4F5"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0C4A5E"/>
                <w:sz w:val="15"/>
                <w:szCs w:val="15"/>
              </w:rPr>
              <w:t xml:space="preserve"/>
            </w:r>
          </w:p>
        </w:tc>
        <w:tc>
          <w:tcPr>
            <w:tcW w:type="dxa" w:w="1350"/>
            <w:shd w:fill="E3F4F5"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0C4A5E"/>
                <w:sz w:val="15"/>
                <w:szCs w:val="15"/>
              </w:rPr>
              <w:t xml:space="preserve"/>
            </w:r>
          </w:p>
        </w:tc>
        <w:tc>
          <w:tcPr>
            <w:tcW w:type="dxa" w:w="1350"/>
            <w:shd w:fill="E3F4F5"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0C4A5E"/>
                <w:sz w:val="15"/>
                <w:szCs w:val="15"/>
              </w:rPr>
              <w:t xml:space="preserve"/>
            </w:r>
          </w:p>
        </w:tc>
        <w:tc>
          <w:tcPr>
            <w:tcW w:type="dxa" w:w="1348"/>
            <w:shd w:fill="E3F4F5"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0C4A5E"/>
                <w:sz w:val="15"/>
                <w:szCs w:val="15"/>
              </w:rPr>
              <w:t xml:space="preserve"/>
            </w:r>
          </w:p>
        </w:tc>
      </w:tr>
      <w:tr>
        <w:trPr>
          <w:cantSplit/>
        </w:trPr>
        <w:tc>
          <w:tcPr>
            <w:tcW w:type="dxa" w:w="29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Portion courante de la dette</w:t>
            </w:r>
          </w:p>
        </w:tc>
        <w:tc>
          <w:tcPr>
            <w:tcW w:type="dxa" w:w="13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101 919 $</w:t>
            </w:r>
          </w:p>
        </w:tc>
        <w:tc>
          <w:tcPr>
            <w:tcW w:type="dxa" w:w="13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213 929 $</w:t>
            </w:r>
          </w:p>
        </w:tc>
        <w:tc>
          <w:tcPr>
            <w:tcW w:type="dxa" w:w="13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303 896 $</w:t>
            </w:r>
          </w:p>
        </w:tc>
        <w:tc>
          <w:tcPr>
            <w:tcW w:type="dxa" w:w="13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321 480 $</w:t>
            </w:r>
          </w:p>
        </w:tc>
        <w:tc>
          <w:tcPr>
            <w:tcW w:type="dxa" w:w="13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340 447 $</w:t>
            </w:r>
          </w:p>
        </w:tc>
      </w:tr>
      <w:tr>
        <w:trPr>
          <w:cantSplit/>
        </w:trPr>
        <w:tc>
          <w:tcPr>
            <w:tcW w:type="dxa" w:w="29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Dette à long terme (toutes couches)</w:t>
            </w:r>
          </w:p>
        </w:tc>
        <w:tc>
          <w:tcPr>
            <w:tcW w:type="dxa" w:w="13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6 983 081 $</w:t>
            </w:r>
          </w:p>
        </w:tc>
        <w:tc>
          <w:tcPr>
            <w:tcW w:type="dxa" w:w="13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6 769 152 $</w:t>
            </w:r>
          </w:p>
        </w:tc>
        <w:tc>
          <w:tcPr>
            <w:tcW w:type="dxa" w:w="13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6 465 256 $</w:t>
            </w:r>
          </w:p>
        </w:tc>
        <w:tc>
          <w:tcPr>
            <w:tcW w:type="dxa" w:w="13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6 143 776 $</w:t>
            </w:r>
          </w:p>
        </w:tc>
        <w:tc>
          <w:tcPr>
            <w:tcW w:type="dxa" w:w="13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5 803 329 $</w:t>
            </w:r>
          </w:p>
        </w:tc>
      </w:tr>
      <w:tr>
        <w:trPr>
          <w:cantSplit/>
        </w:trPr>
        <w:tc>
          <w:tcPr>
            <w:tcW w:type="dxa" w:w="2900"/>
            <w:shd w:fill="CFE3E6"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1E2A2E"/>
                <w:sz w:val="15"/>
                <w:szCs w:val="15"/>
              </w:rPr>
              <w:t xml:space="preserve">Total du passif</w:t>
            </w:r>
          </w:p>
        </w:tc>
        <w:tc>
          <w:tcPr>
            <w:tcW w:type="dxa" w:w="1350"/>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7 085 000 $</w:t>
            </w:r>
          </w:p>
        </w:tc>
        <w:tc>
          <w:tcPr>
            <w:tcW w:type="dxa" w:w="1350"/>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6 983 081 $</w:t>
            </w:r>
          </w:p>
        </w:tc>
        <w:tc>
          <w:tcPr>
            <w:tcW w:type="dxa" w:w="1350"/>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6 769 152 $</w:t>
            </w:r>
          </w:p>
        </w:tc>
        <w:tc>
          <w:tcPr>
            <w:tcW w:type="dxa" w:w="1350"/>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6 465 256 $</w:t>
            </w:r>
          </w:p>
        </w:tc>
        <w:tc>
          <w:tcPr>
            <w:tcW w:type="dxa" w:w="1348"/>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6 143 776 $</w:t>
            </w:r>
          </w:p>
        </w:tc>
      </w:tr>
      <w:tr>
        <w:trPr>
          <w:cantSplit/>
        </w:trPr>
        <w:tc>
          <w:tcPr>
            <w:tcW w:type="dxa" w:w="2900"/>
            <w:shd w:fill="E3F4F5"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0C4A5E"/>
                <w:sz w:val="15"/>
                <w:szCs w:val="15"/>
              </w:rPr>
              <w:t xml:space="preserve">AVOIR</w:t>
            </w:r>
          </w:p>
        </w:tc>
        <w:tc>
          <w:tcPr>
            <w:tcW w:type="dxa" w:w="1350"/>
            <w:shd w:fill="E3F4F5"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0C4A5E"/>
                <w:sz w:val="15"/>
                <w:szCs w:val="15"/>
              </w:rPr>
              <w:t xml:space="preserve"/>
            </w:r>
          </w:p>
        </w:tc>
        <w:tc>
          <w:tcPr>
            <w:tcW w:type="dxa" w:w="1350"/>
            <w:shd w:fill="E3F4F5"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0C4A5E"/>
                <w:sz w:val="15"/>
                <w:szCs w:val="15"/>
              </w:rPr>
              <w:t xml:space="preserve"/>
            </w:r>
          </w:p>
        </w:tc>
        <w:tc>
          <w:tcPr>
            <w:tcW w:type="dxa" w:w="1350"/>
            <w:shd w:fill="E3F4F5"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0C4A5E"/>
                <w:sz w:val="15"/>
                <w:szCs w:val="15"/>
              </w:rPr>
              <w:t xml:space="preserve"/>
            </w:r>
          </w:p>
        </w:tc>
        <w:tc>
          <w:tcPr>
            <w:tcW w:type="dxa" w:w="1350"/>
            <w:shd w:fill="E3F4F5"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0C4A5E"/>
                <w:sz w:val="15"/>
                <w:szCs w:val="15"/>
              </w:rPr>
              <w:t xml:space="preserve"/>
            </w:r>
          </w:p>
        </w:tc>
        <w:tc>
          <w:tcPr>
            <w:tcW w:type="dxa" w:w="1348"/>
            <w:shd w:fill="E3F4F5"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0C4A5E"/>
                <w:sz w:val="15"/>
                <w:szCs w:val="15"/>
              </w:rPr>
              <w:t xml:space="preserve"/>
            </w:r>
          </w:p>
        </w:tc>
      </w:tr>
      <w:tr>
        <w:trPr>
          <w:cantSplit/>
        </w:trPr>
        <w:tc>
          <w:tcPr>
            <w:tcW w:type="dxa" w:w="29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Avoir pro forma à l'ouverture</w:t>
            </w:r>
          </w:p>
        </w:tc>
        <w:tc>
          <w:tcPr>
            <w:tcW w:type="dxa" w:w="13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7 176 737 $</w:t>
            </w:r>
          </w:p>
        </w:tc>
        <w:tc>
          <w:tcPr>
            <w:tcW w:type="dxa" w:w="13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7 176 737 $</w:t>
            </w:r>
          </w:p>
        </w:tc>
        <w:tc>
          <w:tcPr>
            <w:tcW w:type="dxa" w:w="13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7 176 737 $</w:t>
            </w:r>
          </w:p>
        </w:tc>
        <w:tc>
          <w:tcPr>
            <w:tcW w:type="dxa" w:w="13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7 176 737 $</w:t>
            </w:r>
          </w:p>
        </w:tc>
        <w:tc>
          <w:tcPr>
            <w:tcW w:type="dxa" w:w="13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7 176 737 $</w:t>
            </w:r>
          </w:p>
        </w:tc>
      </w:tr>
      <w:tr>
        <w:trPr>
          <w:cantSplit/>
        </w:trPr>
        <w:tc>
          <w:tcPr>
            <w:tcW w:type="dxa" w:w="29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Bénéfices non répartis cumulés</w:t>
            </w:r>
          </w:p>
        </w:tc>
        <w:tc>
          <w:tcPr>
            <w:tcW w:type="dxa" w:w="13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(171 727) $</w:t>
            </w:r>
          </w:p>
        </w:tc>
        <w:tc>
          <w:tcPr>
            <w:tcW w:type="dxa" w:w="13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(235 910) $</w:t>
            </w:r>
          </w:p>
        </w:tc>
        <w:tc>
          <w:tcPr>
            <w:tcW w:type="dxa" w:w="13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(40 699) $</w:t>
            </w:r>
          </w:p>
        </w:tc>
        <w:tc>
          <w:tcPr>
            <w:tcW w:type="dxa" w:w="13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329 823 $</w:t>
            </w:r>
          </w:p>
        </w:tc>
        <w:tc>
          <w:tcPr>
            <w:tcW w:type="dxa" w:w="13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824 817 $</w:t>
            </w:r>
          </w:p>
        </w:tc>
      </w:tr>
      <w:tr>
        <w:trPr>
          <w:cantSplit/>
        </w:trPr>
        <w:tc>
          <w:tcPr>
            <w:tcW w:type="dxa" w:w="2900"/>
            <w:shd w:fill="CFE3E6"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1E2A2E"/>
                <w:sz w:val="15"/>
                <w:szCs w:val="15"/>
              </w:rPr>
              <w:t xml:space="preserve">Total de l'avoir</w:t>
            </w:r>
          </w:p>
        </w:tc>
        <w:tc>
          <w:tcPr>
            <w:tcW w:type="dxa" w:w="1350"/>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7 005 010 $</w:t>
            </w:r>
          </w:p>
        </w:tc>
        <w:tc>
          <w:tcPr>
            <w:tcW w:type="dxa" w:w="1350"/>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6 940 827 $</w:t>
            </w:r>
          </w:p>
        </w:tc>
        <w:tc>
          <w:tcPr>
            <w:tcW w:type="dxa" w:w="1350"/>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7 136 038 $</w:t>
            </w:r>
          </w:p>
        </w:tc>
        <w:tc>
          <w:tcPr>
            <w:tcW w:type="dxa" w:w="1350"/>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7 506 560 $</w:t>
            </w:r>
          </w:p>
        </w:tc>
        <w:tc>
          <w:tcPr>
            <w:tcW w:type="dxa" w:w="1348"/>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8 001 554 $</w:t>
            </w:r>
          </w:p>
        </w:tc>
      </w:tr>
      <w:tr>
        <w:trPr>
          <w:cantSplit/>
        </w:trPr>
        <w:tc>
          <w:tcPr>
            <w:tcW w:type="dxa" w:w="2900"/>
            <w:shd w:fill="CFE3E6"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1E2A2E"/>
                <w:sz w:val="15"/>
                <w:szCs w:val="15"/>
              </w:rPr>
              <w:t xml:space="preserve">Total du passif et de l'avoir</w:t>
            </w:r>
          </w:p>
        </w:tc>
        <w:tc>
          <w:tcPr>
            <w:tcW w:type="dxa" w:w="1350"/>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14 090 010 $</w:t>
            </w:r>
          </w:p>
        </w:tc>
        <w:tc>
          <w:tcPr>
            <w:tcW w:type="dxa" w:w="1350"/>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13 923 908 $</w:t>
            </w:r>
          </w:p>
        </w:tc>
        <w:tc>
          <w:tcPr>
            <w:tcW w:type="dxa" w:w="1350"/>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13 905 190 $</w:t>
            </w:r>
          </w:p>
        </w:tc>
        <w:tc>
          <w:tcPr>
            <w:tcW w:type="dxa" w:w="1350"/>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13 971 816 $</w:t>
            </w:r>
          </w:p>
        </w:tc>
        <w:tc>
          <w:tcPr>
            <w:tcW w:type="dxa" w:w="1348"/>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14 145 330 $</w:t>
            </w:r>
          </w:p>
        </w:tc>
      </w:tr>
    </w:tbl>
    <w:p>
      <w:pPr>
        <w:pStyle w:val="Heading2"/>
        <w:keepNext/>
        <w:spacing w:after="120" w:before="300"/>
      </w:pPr>
      <w:r>
        <w:rPr>
          <w:rFonts w:ascii="Calibri" w:cs="Calibri" w:eastAsia="Calibri" w:hAnsi="Calibri"/>
          <w:b/>
          <w:bCs/>
          <w:color w:val="0C4A5E"/>
          <w:sz w:val="27"/>
          <w:szCs w:val="27"/>
        </w:rPr>
        <w:t xml:space="preserve">8.6 Ratios financiers</w:t>
      </w:r>
    </w:p>
    <w:tbl>
      <w:tblPr>
        <w:tblW w:type="dxa" w:w="9648"/>
        <w:tblBorders>
          <w:top w:val="none" w:color="FFFFFF" w:sz="0"/>
          <w:left w:val="none" w:color="FFFFFF" w:sz="0"/>
          <w:bottom w:val="single" w:color="0C4A5E" w:sz="8"/>
          <w:right w:val="none" w:color="FFFFFF" w:sz="0"/>
          <w:insideH w:val="single" w:color="CFE3E6" w:sz="4"/>
          <w:insideV w:val="none" w:color="FFFFFF" w:sz="0"/>
        </w:tblBorders>
      </w:tblPr>
      <w:tblGrid>
        <w:gridCol w:w="2900"/>
        <w:gridCol w:w="1350"/>
        <w:gridCol w:w="1350"/>
        <w:gridCol w:w="1350"/>
        <w:gridCol w:w="1350"/>
        <w:gridCol w:w="1348"/>
      </w:tblGrid>
      <w:tr>
        <w:trPr>
          <w:tblHeader/>
        </w:trPr>
        <w:tc>
          <w:tcPr>
            <w:tcW w:type="dxa" w:w="2900"/>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7"/>
                <w:szCs w:val="17"/>
              </w:rPr>
              <w:t xml:space="preserve">Ratio</w:t>
            </w:r>
          </w:p>
        </w:tc>
        <w:tc>
          <w:tcPr>
            <w:tcW w:type="dxa" w:w="135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7"/>
                <w:szCs w:val="17"/>
              </w:rPr>
              <w:t xml:space="preserve">An 1
2027</w:t>
            </w:r>
          </w:p>
        </w:tc>
        <w:tc>
          <w:tcPr>
            <w:tcW w:type="dxa" w:w="135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7"/>
                <w:szCs w:val="17"/>
              </w:rPr>
              <w:t xml:space="preserve">An 2
2028</w:t>
            </w:r>
          </w:p>
        </w:tc>
        <w:tc>
          <w:tcPr>
            <w:tcW w:type="dxa" w:w="135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7"/>
                <w:szCs w:val="17"/>
              </w:rPr>
              <w:t xml:space="preserve">An 3
2029</w:t>
            </w:r>
          </w:p>
        </w:tc>
        <w:tc>
          <w:tcPr>
            <w:tcW w:type="dxa" w:w="135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7"/>
                <w:szCs w:val="17"/>
              </w:rPr>
              <w:t xml:space="preserve">An 4
2030</w:t>
            </w:r>
          </w:p>
        </w:tc>
        <w:tc>
          <w:tcPr>
            <w:tcW w:type="dxa" w:w="1348"/>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7"/>
                <w:szCs w:val="17"/>
              </w:rPr>
              <w:t xml:space="preserve">An 5
2031</w:t>
            </w:r>
          </w:p>
        </w:tc>
      </w:tr>
      <w:tr>
        <w:trPr>
          <w:cantSplit/>
        </w:trPr>
        <w:tc>
          <w:tcPr>
            <w:tcW w:type="dxa" w:w="29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1E2A2E"/>
                <w:sz w:val="17"/>
                <w:szCs w:val="17"/>
              </w:rPr>
              <w:t xml:space="preserve">Couverture du prêt senior (BAIIA / service senior)</w:t>
            </w:r>
          </w:p>
        </w:tc>
        <w:tc>
          <w:tcPr>
            <w:tcW w:type="dxa" w:w="13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7"/>
                <w:szCs w:val="17"/>
              </w:rPr>
              <w:t xml:space="preserve">1,74 x</w:t>
            </w:r>
          </w:p>
        </w:tc>
        <w:tc>
          <w:tcPr>
            <w:tcW w:type="dxa" w:w="13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7"/>
                <w:szCs w:val="17"/>
              </w:rPr>
              <w:t xml:space="preserve">1,81 x</w:t>
            </w:r>
          </w:p>
        </w:tc>
        <w:tc>
          <w:tcPr>
            <w:tcW w:type="dxa" w:w="13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7"/>
                <w:szCs w:val="17"/>
              </w:rPr>
              <w:t xml:space="preserve">2,42 x</w:t>
            </w:r>
          </w:p>
        </w:tc>
        <w:tc>
          <w:tcPr>
            <w:tcW w:type="dxa" w:w="13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7"/>
                <w:szCs w:val="17"/>
              </w:rPr>
              <w:t xml:space="preserve">2,83 x</w:t>
            </w:r>
          </w:p>
        </w:tc>
        <w:tc>
          <w:tcPr>
            <w:tcW w:type="dxa" w:w="13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7"/>
                <w:szCs w:val="17"/>
              </w:rPr>
              <w:t xml:space="preserve">3,16 x</w:t>
            </w:r>
          </w:p>
        </w:tc>
      </w:tr>
      <w:tr>
        <w:trPr>
          <w:cantSplit/>
        </w:trPr>
        <w:tc>
          <w:tcPr>
            <w:tcW w:type="dxa" w:w="29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Couverture toutes couches (BAIIA / service total)</w:t>
            </w:r>
          </w:p>
        </w:tc>
        <w:tc>
          <w:tcPr>
            <w:tcW w:type="dxa" w:w="13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1,39 x</w:t>
            </w:r>
          </w:p>
        </w:tc>
        <w:tc>
          <w:tcPr>
            <w:tcW w:type="dxa" w:w="13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1,48 x</w:t>
            </w:r>
          </w:p>
        </w:tc>
        <w:tc>
          <w:tcPr>
            <w:tcW w:type="dxa" w:w="13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1,68 x</w:t>
            </w:r>
          </w:p>
        </w:tc>
        <w:tc>
          <w:tcPr>
            <w:tcW w:type="dxa" w:w="13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1,76 x</w:t>
            </w:r>
          </w:p>
        </w:tc>
        <w:tc>
          <w:tcPr>
            <w:tcW w:type="dxa" w:w="13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1,96 x</w:t>
            </w:r>
          </w:p>
        </w:tc>
      </w:tr>
      <w:tr>
        <w:trPr>
          <w:cantSplit/>
        </w:trPr>
        <w:tc>
          <w:tcPr>
            <w:tcW w:type="dxa" w:w="29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1E2A2E"/>
                <w:sz w:val="17"/>
                <w:szCs w:val="17"/>
              </w:rPr>
              <w:t xml:space="preserve">Couverture bancaire ((BAIIA − impôts − maintien) / service total)</w:t>
            </w:r>
          </w:p>
        </w:tc>
        <w:tc>
          <w:tcPr>
            <w:tcW w:type="dxa" w:w="13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7"/>
                <w:szCs w:val="17"/>
              </w:rPr>
              <w:t xml:space="preserve">1,24 x</w:t>
            </w:r>
          </w:p>
        </w:tc>
        <w:tc>
          <w:tcPr>
            <w:tcW w:type="dxa" w:w="13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7"/>
                <w:szCs w:val="17"/>
              </w:rPr>
              <w:t xml:space="preserve">1,32 x</w:t>
            </w:r>
          </w:p>
        </w:tc>
        <w:tc>
          <w:tcPr>
            <w:tcW w:type="dxa" w:w="13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7"/>
                <w:szCs w:val="17"/>
              </w:rPr>
              <w:t xml:space="preserve">1,47 x</w:t>
            </w:r>
          </w:p>
        </w:tc>
        <w:tc>
          <w:tcPr>
            <w:tcW w:type="dxa" w:w="13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7"/>
                <w:szCs w:val="17"/>
              </w:rPr>
              <w:t xml:space="preserve">1,52 x</w:t>
            </w:r>
          </w:p>
        </w:tc>
        <w:tc>
          <w:tcPr>
            <w:tcW w:type="dxa" w:w="13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7"/>
                <w:szCs w:val="17"/>
              </w:rPr>
              <w:t xml:space="preserve">1,66 x</w:t>
            </w:r>
          </w:p>
        </w:tc>
      </w:tr>
      <w:tr>
        <w:trPr>
          <w:cantSplit/>
        </w:trPr>
        <w:tc>
          <w:tcPr>
            <w:tcW w:type="dxa" w:w="29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Couverture des intérêts</w:t>
            </w:r>
          </w:p>
        </w:tc>
        <w:tc>
          <w:tcPr>
            <w:tcW w:type="dxa" w:w="13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1,39 x</w:t>
            </w:r>
          </w:p>
        </w:tc>
        <w:tc>
          <w:tcPr>
            <w:tcW w:type="dxa" w:w="13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1,80 x</w:t>
            </w:r>
          </w:p>
        </w:tc>
        <w:tc>
          <w:tcPr>
            <w:tcW w:type="dxa" w:w="13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2,46 x</w:t>
            </w:r>
          </w:p>
        </w:tc>
        <w:tc>
          <w:tcPr>
            <w:tcW w:type="dxa" w:w="13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2,96 x</w:t>
            </w:r>
          </w:p>
        </w:tc>
        <w:tc>
          <w:tcPr>
            <w:tcW w:type="dxa" w:w="13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3,43 x</w:t>
            </w:r>
          </w:p>
        </w:tc>
      </w:tr>
      <w:tr>
        <w:trPr>
          <w:cantSplit/>
        </w:trPr>
        <w:tc>
          <w:tcPr>
            <w:tcW w:type="dxa" w:w="29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Dette senior / BAIIA</w:t>
            </w:r>
          </w:p>
        </w:tc>
        <w:tc>
          <w:tcPr>
            <w:tcW w:type="dxa" w:w="13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9,4 x</w:t>
            </w:r>
          </w:p>
        </w:tc>
        <w:tc>
          <w:tcPr>
            <w:tcW w:type="dxa" w:w="13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6,4 x</w:t>
            </w:r>
          </w:p>
        </w:tc>
        <w:tc>
          <w:tcPr>
            <w:tcW w:type="dxa" w:w="13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4,7 x</w:t>
            </w:r>
          </w:p>
        </w:tc>
        <w:tc>
          <w:tcPr>
            <w:tcW w:type="dxa" w:w="13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4,0 x</w:t>
            </w:r>
          </w:p>
        </w:tc>
        <w:tc>
          <w:tcPr>
            <w:tcW w:type="dxa" w:w="13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3,5 x</w:t>
            </w:r>
          </w:p>
        </w:tc>
      </w:tr>
      <w:tr>
        <w:trPr>
          <w:cantSplit/>
        </w:trPr>
        <w:tc>
          <w:tcPr>
            <w:tcW w:type="dxa" w:w="29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Dette totale / BAIIA</w:t>
            </w:r>
          </w:p>
        </w:tc>
        <w:tc>
          <w:tcPr>
            <w:tcW w:type="dxa" w:w="13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12,0 x</w:t>
            </w:r>
          </w:p>
        </w:tc>
        <w:tc>
          <w:tcPr>
            <w:tcW w:type="dxa" w:w="13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8,3 x</w:t>
            </w:r>
          </w:p>
        </w:tc>
        <w:tc>
          <w:tcPr>
            <w:tcW w:type="dxa" w:w="13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6,0 x</w:t>
            </w:r>
          </w:p>
        </w:tc>
        <w:tc>
          <w:tcPr>
            <w:tcW w:type="dxa" w:w="13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4,9 x</w:t>
            </w:r>
          </w:p>
        </w:tc>
        <w:tc>
          <w:tcPr>
            <w:tcW w:type="dxa" w:w="13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4,2 x</w:t>
            </w:r>
          </w:p>
        </w:tc>
      </w:tr>
      <w:tr>
        <w:trPr>
          <w:cantSplit/>
        </w:trPr>
        <w:tc>
          <w:tcPr>
            <w:tcW w:type="dxa" w:w="29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Dette / avoir (bilan pro forma)</w:t>
            </w:r>
          </w:p>
        </w:tc>
        <w:tc>
          <w:tcPr>
            <w:tcW w:type="dxa" w:w="13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1,01 x</w:t>
            </w:r>
          </w:p>
        </w:tc>
        <w:tc>
          <w:tcPr>
            <w:tcW w:type="dxa" w:w="13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1,01 x</w:t>
            </w:r>
          </w:p>
        </w:tc>
        <w:tc>
          <w:tcPr>
            <w:tcW w:type="dxa" w:w="13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0,95 x</w:t>
            </w:r>
          </w:p>
        </w:tc>
        <w:tc>
          <w:tcPr>
            <w:tcW w:type="dxa" w:w="13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0,86 x</w:t>
            </w:r>
          </w:p>
        </w:tc>
        <w:tc>
          <w:tcPr>
            <w:tcW w:type="dxa" w:w="13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0,77 x</w:t>
            </w:r>
          </w:p>
        </w:tc>
      </w:tr>
      <w:tr>
        <w:trPr>
          <w:cantSplit/>
        </w:trPr>
        <w:tc>
          <w:tcPr>
            <w:tcW w:type="dxa" w:w="29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Marge BAIIA</w:t>
            </w:r>
          </w:p>
        </w:tc>
        <w:tc>
          <w:tcPr>
            <w:tcW w:type="dxa" w:w="13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18,8 %</w:t>
            </w:r>
          </w:p>
        </w:tc>
        <w:tc>
          <w:tcPr>
            <w:tcW w:type="dxa" w:w="13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19,3 %</w:t>
            </w:r>
          </w:p>
        </w:tc>
        <w:tc>
          <w:tcPr>
            <w:tcW w:type="dxa" w:w="13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22,5 %</w:t>
            </w:r>
          </w:p>
        </w:tc>
        <w:tc>
          <w:tcPr>
            <w:tcW w:type="dxa" w:w="13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23,9 %</w:t>
            </w:r>
          </w:p>
        </w:tc>
        <w:tc>
          <w:tcPr>
            <w:tcW w:type="dxa" w:w="13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7"/>
                <w:szCs w:val="17"/>
              </w:rPr>
              <w:t xml:space="preserve">25,1 %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none" w:color="FFFFFF" w:sz="0"/>
              <w:left w:val="single" w:color="2BB5BF" w:sz="24"/>
              <w:bottom w:val="none" w:color="FFFFFF" w:sz="0"/>
              <w:right w:val="none" w:color="FFFFFF" w:sz="0"/>
            </w:tcBorders>
            <w:shd w:fill="F5F2EA" w:color="auto" w:val="clear"/>
            <w:tcMar>
              <w:top w:type="dxa" w:w="120"/>
              <w:left w:type="dxa" w:w="200"/>
              <w:bottom w:type="dxa" w:w="120"/>
              <w:right w:type="dxa" w:w="160"/>
            </w:tcMar>
          </w:tcPr>
          <w:p>
            <w:pPr>
              <w:spacing w:after="80"/>
            </w:pPr>
            <w:r>
              <w:rPr>
                <w:rFonts w:ascii="Calibri" w:cs="Calibri" w:eastAsia="Calibri" w:hAnsi="Calibri"/>
                <w:b/>
                <w:bCs/>
                <w:color w:val="0C4A5E"/>
                <w:sz w:val="21"/>
                <w:szCs w:val="21"/>
              </w:rPr>
              <w:t xml:space="preserve">Lecture des ratios</w:t>
            </w:r>
          </w:p>
          <w:p>
            <w:pPr>
              <w:spacing w:after="60" w:line="264"/>
            </w:pPr>
            <w:r>
              <w:rPr>
                <w:rFonts w:ascii="Calibri" w:cs="Calibri" w:eastAsia="Calibri" w:hAnsi="Calibri"/>
                <w:color w:val="1E2A2E"/>
                <w:sz w:val="20"/>
                <w:szCs w:val="20"/>
              </w:rPr>
              <w:t xml:space="preserve">Le prêt senior est couvert 1,81 x en An 2 et 2,42 x en An 3. En ajoutant toutes les couches, la couverture atteint 1,68 x en An 3 et 1,96 x en An 5 ; en définition bancaire (après impôts et immobilisations de maintien), 1,47 x et 1,66 x. L'An 1 est une année de construction et l'An 2 la première année d'exploitation douze mois : le plan ne propose aucun test de covenant avant l'exercice 2029.</w:t>
            </w:r>
          </w:p>
        </w:tc>
      </w:tr>
    </w:tbl>
    <w:p>
      <w:pPr>
        <w:pStyle w:val="Heading2"/>
        <w:keepNext/>
        <w:spacing w:after="120" w:before="300"/>
      </w:pPr>
      <w:r>
        <w:rPr>
          <w:rFonts w:ascii="Calibri" w:cs="Calibri" w:eastAsia="Calibri" w:hAnsi="Calibri"/>
          <w:b/>
          <w:bCs/>
          <w:color w:val="0C4A5E"/>
          <w:sz w:val="27"/>
          <w:szCs w:val="27"/>
        </w:rPr>
        <w:t xml:space="preserve">8.7 Analyse de sensibilité</w:t>
      </w:r>
    </w:p>
    <w:p>
      <w:pPr>
        <w:spacing w:after="120" w:before="0" w:line="276"/>
        <w:jc w:val="left"/>
      </w:pPr>
      <w:r>
        <w:rPr>
          <w:rFonts w:ascii="Calibri" w:cs="Calibri" w:eastAsia="Calibri" w:hAnsi="Calibri"/>
        </w:rPr>
        <w:t xml:space="preserve">Part variable des charges calculée à partir de la structure du modèle (51 %), et non forfaitaire. Les scénarios portent sur le service de toutes les couches.</w:t>
      </w:r>
    </w:p>
    <w:tbl>
      <w:tblPr>
        <w:tblW w:type="dxa" w:w="9648"/>
        <w:tblBorders>
          <w:top w:val="none" w:color="FFFFFF" w:sz="0"/>
          <w:left w:val="none" w:color="FFFFFF" w:sz="0"/>
          <w:bottom w:val="single" w:color="0C4A5E" w:sz="8"/>
          <w:right w:val="none" w:color="FFFFFF" w:sz="0"/>
          <w:insideH w:val="single" w:color="CFE3E6" w:sz="4"/>
          <w:insideV w:val="none" w:color="FFFFFF" w:sz="0"/>
        </w:tblBorders>
      </w:tblPr>
      <w:tblGrid>
        <w:gridCol w:w="3400"/>
        <w:gridCol w:w="1300"/>
        <w:gridCol w:w="1150"/>
        <w:gridCol w:w="1150"/>
        <w:gridCol w:w="1350"/>
        <w:gridCol w:w="1298"/>
      </w:tblGrid>
      <w:tr>
        <w:trPr>
          <w:tblHeader/>
        </w:trPr>
        <w:tc>
          <w:tcPr>
            <w:tcW w:type="dxa" w:w="3400"/>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6"/>
                <w:szCs w:val="16"/>
              </w:rPr>
              <w:t xml:space="preserve">Scénario</w:t>
            </w:r>
          </w:p>
        </w:tc>
        <w:tc>
          <w:tcPr>
            <w:tcW w:type="dxa" w:w="130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6"/>
                <w:szCs w:val="16"/>
              </w:rPr>
              <w:t xml:space="preserve">Toutes couches An 2</w:t>
            </w:r>
          </w:p>
        </w:tc>
        <w:tc>
          <w:tcPr>
            <w:tcW w:type="dxa" w:w="115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6"/>
                <w:szCs w:val="16"/>
              </w:rPr>
              <w:t xml:space="preserve">An 3</w:t>
            </w:r>
          </w:p>
        </w:tc>
        <w:tc>
          <w:tcPr>
            <w:tcW w:type="dxa" w:w="115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6"/>
                <w:szCs w:val="16"/>
              </w:rPr>
              <w:t xml:space="preserve">An 5</w:t>
            </w:r>
          </w:p>
        </w:tc>
        <w:tc>
          <w:tcPr>
            <w:tcW w:type="dxa" w:w="135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6"/>
                <w:szCs w:val="16"/>
              </w:rPr>
              <w:t xml:space="preserve">Bancaire An 3</w:t>
            </w:r>
          </w:p>
        </w:tc>
        <w:tc>
          <w:tcPr>
            <w:tcW w:type="dxa" w:w="1298"/>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6"/>
                <w:szCs w:val="16"/>
              </w:rPr>
              <w:t xml:space="preserve">Bancaire An 5</w:t>
            </w:r>
          </w:p>
        </w:tc>
      </w:tr>
      <w:tr>
        <w:trPr>
          <w:cantSplit/>
        </w:trPr>
        <w:tc>
          <w:tcPr>
            <w:tcW w:type="dxa" w:w="34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1E2A2E"/>
                <w:sz w:val="16"/>
                <w:szCs w:val="16"/>
              </w:rPr>
              <w:t xml:space="preserve">Scénario de base</w:t>
            </w:r>
          </w:p>
        </w:tc>
        <w:tc>
          <w:tcPr>
            <w:tcW w:type="dxa" w:w="13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6"/>
                <w:szCs w:val="16"/>
              </w:rPr>
              <w:t xml:space="preserve">1,48 x</w:t>
            </w:r>
          </w:p>
        </w:tc>
        <w:tc>
          <w:tcPr>
            <w:tcW w:type="dxa" w:w="11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6"/>
                <w:szCs w:val="16"/>
              </w:rPr>
              <w:t xml:space="preserve">1,68 x</w:t>
            </w:r>
          </w:p>
        </w:tc>
        <w:tc>
          <w:tcPr>
            <w:tcW w:type="dxa" w:w="11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6"/>
                <w:szCs w:val="16"/>
              </w:rPr>
              <w:t xml:space="preserve">1,96 x</w:t>
            </w:r>
          </w:p>
        </w:tc>
        <w:tc>
          <w:tcPr>
            <w:tcW w:type="dxa" w:w="13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6"/>
                <w:szCs w:val="16"/>
              </w:rPr>
              <w:t xml:space="preserve">1,47 x</w:t>
            </w:r>
          </w:p>
        </w:tc>
        <w:tc>
          <w:tcPr>
            <w:tcW w:type="dxa" w:w="129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6"/>
                <w:szCs w:val="16"/>
              </w:rPr>
              <w:t xml:space="preserve">1,66 x</w:t>
            </w:r>
          </w:p>
        </w:tc>
      </w:tr>
      <w:tr>
        <w:trPr>
          <w:cantSplit/>
        </w:trPr>
        <w:tc>
          <w:tcPr>
            <w:tcW w:type="dxa" w:w="34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Revenus −10 %</w:t>
            </w:r>
          </w:p>
        </w:tc>
        <w:tc>
          <w:tcPr>
            <w:tcW w:type="dxa" w:w="13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1,02 x</w:t>
            </w:r>
          </w:p>
        </w:tc>
        <w:tc>
          <w:tcPr>
            <w:tcW w:type="dxa" w:w="11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1,23 x</w:t>
            </w:r>
          </w:p>
        </w:tc>
        <w:tc>
          <w:tcPr>
            <w:tcW w:type="dxa" w:w="11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1,49 x</w:t>
            </w:r>
          </w:p>
        </w:tc>
        <w:tc>
          <w:tcPr>
            <w:tcW w:type="dxa" w:w="13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1,09 x</w:t>
            </w:r>
          </w:p>
        </w:tc>
        <w:tc>
          <w:tcPr>
            <w:tcW w:type="dxa" w:w="129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1,29 x</w:t>
            </w:r>
          </w:p>
        </w:tc>
      </w:tr>
      <w:tr>
        <w:trPr>
          <w:cantSplit/>
        </w:trPr>
        <w:tc>
          <w:tcPr>
            <w:tcW w:type="dxa" w:w="34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Revenus −15 %</w:t>
            </w:r>
          </w:p>
        </w:tc>
        <w:tc>
          <w:tcPr>
            <w:tcW w:type="dxa" w:w="13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0,79 x</w:t>
            </w:r>
          </w:p>
        </w:tc>
        <w:tc>
          <w:tcPr>
            <w:tcW w:type="dxa" w:w="11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1,01 x</w:t>
            </w:r>
          </w:p>
        </w:tc>
        <w:tc>
          <w:tcPr>
            <w:tcW w:type="dxa" w:w="11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1,25 x</w:t>
            </w:r>
          </w:p>
        </w:tc>
        <w:tc>
          <w:tcPr>
            <w:tcW w:type="dxa" w:w="13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0,88 x</w:t>
            </w:r>
          </w:p>
        </w:tc>
        <w:tc>
          <w:tcPr>
            <w:tcW w:type="dxa" w:w="129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1,10 x</w:t>
            </w:r>
          </w:p>
        </w:tc>
      </w:tr>
      <w:tr>
        <w:trPr>
          <w:cantSplit/>
        </w:trPr>
        <w:tc>
          <w:tcPr>
            <w:tcW w:type="dxa" w:w="34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Revenus −20 %</w:t>
            </w:r>
          </w:p>
        </w:tc>
        <w:tc>
          <w:tcPr>
            <w:tcW w:type="dxa" w:w="13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0,56 x</w:t>
            </w:r>
          </w:p>
        </w:tc>
        <w:tc>
          <w:tcPr>
            <w:tcW w:type="dxa" w:w="11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0,78 x</w:t>
            </w:r>
          </w:p>
        </w:tc>
        <w:tc>
          <w:tcPr>
            <w:tcW w:type="dxa" w:w="11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1,02 x</w:t>
            </w:r>
          </w:p>
        </w:tc>
        <w:tc>
          <w:tcPr>
            <w:tcW w:type="dxa" w:w="13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0,66 x</w:t>
            </w:r>
          </w:p>
        </w:tc>
        <w:tc>
          <w:tcPr>
            <w:tcW w:type="dxa" w:w="129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0,89 x</w:t>
            </w:r>
          </w:p>
        </w:tc>
      </w:tr>
      <w:tr>
        <w:trPr>
          <w:cantSplit/>
        </w:trPr>
        <w:tc>
          <w:tcPr>
            <w:tcW w:type="dxa" w:w="34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Revenus d'hiver −50 %</w:t>
            </w:r>
          </w:p>
        </w:tc>
        <w:tc>
          <w:tcPr>
            <w:tcW w:type="dxa" w:w="13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1,16 x</w:t>
            </w:r>
          </w:p>
        </w:tc>
        <w:tc>
          <w:tcPr>
            <w:tcW w:type="dxa" w:w="11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1,35 x</w:t>
            </w:r>
          </w:p>
        </w:tc>
        <w:tc>
          <w:tcPr>
            <w:tcW w:type="dxa" w:w="11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1,62 x</w:t>
            </w:r>
          </w:p>
        </w:tc>
        <w:tc>
          <w:tcPr>
            <w:tcW w:type="dxa" w:w="13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1,19 x</w:t>
            </w:r>
          </w:p>
        </w:tc>
        <w:tc>
          <w:tcPr>
            <w:tcW w:type="dxa" w:w="129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1,40 x</w:t>
            </w:r>
          </w:p>
        </w:tc>
      </w:tr>
      <w:tr>
        <w:trPr>
          <w:cantSplit/>
        </w:trPr>
        <w:tc>
          <w:tcPr>
            <w:tcW w:type="dxa" w:w="34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Restauration −50 %</w:t>
            </w:r>
          </w:p>
        </w:tc>
        <w:tc>
          <w:tcPr>
            <w:tcW w:type="dxa" w:w="13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1,16 x</w:t>
            </w:r>
          </w:p>
        </w:tc>
        <w:tc>
          <w:tcPr>
            <w:tcW w:type="dxa" w:w="11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1,32 x</w:t>
            </w:r>
          </w:p>
        </w:tc>
        <w:tc>
          <w:tcPr>
            <w:tcW w:type="dxa" w:w="11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1,55 x</w:t>
            </w:r>
          </w:p>
        </w:tc>
        <w:tc>
          <w:tcPr>
            <w:tcW w:type="dxa" w:w="13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1,17 x</w:t>
            </w:r>
          </w:p>
        </w:tc>
        <w:tc>
          <w:tcPr>
            <w:tcW w:type="dxa" w:w="129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1,34 x</w:t>
            </w:r>
          </w:p>
        </w:tc>
      </w:tr>
      <w:tr>
        <w:trPr>
          <w:cantSplit/>
        </w:trPr>
        <w:tc>
          <w:tcPr>
            <w:tcW w:type="dxa" w:w="34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Taux senior 8 % (25 ans)</w:t>
            </w:r>
          </w:p>
        </w:tc>
        <w:tc>
          <w:tcPr>
            <w:tcW w:type="dxa" w:w="13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1,46 x</w:t>
            </w:r>
          </w:p>
        </w:tc>
        <w:tc>
          <w:tcPr>
            <w:tcW w:type="dxa" w:w="11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1,58 x</w:t>
            </w:r>
          </w:p>
        </w:tc>
        <w:tc>
          <w:tcPr>
            <w:tcW w:type="dxa" w:w="11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1,86 x</w:t>
            </w:r>
          </w:p>
        </w:tc>
        <w:tc>
          <w:tcPr>
            <w:tcW w:type="dxa" w:w="13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1,38 x</w:t>
            </w:r>
          </w:p>
        </w:tc>
        <w:tc>
          <w:tcPr>
            <w:tcW w:type="dxa" w:w="129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1,57 x</w:t>
            </w:r>
          </w:p>
        </w:tc>
      </w:tr>
      <w:tr>
        <w:trPr>
          <w:cantSplit/>
        </w:trPr>
        <w:tc>
          <w:tcPr>
            <w:tcW w:type="dxa" w:w="34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Taux senior 9 % (25 ans)</w:t>
            </w:r>
          </w:p>
        </w:tc>
        <w:tc>
          <w:tcPr>
            <w:tcW w:type="dxa" w:w="13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1,34 x</w:t>
            </w:r>
          </w:p>
        </w:tc>
        <w:tc>
          <w:tcPr>
            <w:tcW w:type="dxa" w:w="11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1,49 x</w:t>
            </w:r>
          </w:p>
        </w:tc>
        <w:tc>
          <w:tcPr>
            <w:tcW w:type="dxa" w:w="11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1,76 x</w:t>
            </w:r>
          </w:p>
        </w:tc>
        <w:tc>
          <w:tcPr>
            <w:tcW w:type="dxa" w:w="13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1,30 x</w:t>
            </w:r>
          </w:p>
        </w:tc>
        <w:tc>
          <w:tcPr>
            <w:tcW w:type="dxa" w:w="129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1,48 x</w:t>
            </w:r>
          </w:p>
        </w:tc>
      </w:tr>
      <w:tr>
        <w:trPr>
          <w:cantSplit/>
        </w:trPr>
        <w:tc>
          <w:tcPr>
            <w:tcW w:type="dxa" w:w="34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Amortissement senior 20 ans (7 %)</w:t>
            </w:r>
          </w:p>
        </w:tc>
        <w:tc>
          <w:tcPr>
            <w:tcW w:type="dxa" w:w="13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1,53 x</w:t>
            </w:r>
          </w:p>
        </w:tc>
        <w:tc>
          <w:tcPr>
            <w:tcW w:type="dxa" w:w="11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1,57 x</w:t>
            </w:r>
          </w:p>
        </w:tc>
        <w:tc>
          <w:tcPr>
            <w:tcW w:type="dxa" w:w="11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1,85 x</w:t>
            </w:r>
          </w:p>
        </w:tc>
        <w:tc>
          <w:tcPr>
            <w:tcW w:type="dxa" w:w="13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1,38 x</w:t>
            </w:r>
          </w:p>
        </w:tc>
        <w:tc>
          <w:tcPr>
            <w:tcW w:type="dxa" w:w="129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6"/>
                <w:szCs w:val="16"/>
              </w:rPr>
              <w:t xml:space="preserve">1,56 x</w:t>
            </w:r>
          </w:p>
        </w:tc>
      </w:tr>
    </w:tbl>
    <w:p>
      <w:pPr>
        <w:spacing w:after="120" w:before="0" w:line="276"/>
        <w:jc w:val="left"/>
      </w:pPr>
      <w:r>
        <w:rPr>
          <w:rFonts w:ascii="Calibri" w:cs="Calibri" w:eastAsia="Calibri" w:hAnsi="Calibri"/>
        </w:rPr>
        <w:t xml:space="preserve">Le prêt senior demeure couvert dans tous les scénarios dès l'An 3. Les baisses de revenus de 10 % et plus ramènent la couverture de l'ensemble des couches sous 1,25 : la réserve de service de la dette, les saisonniers encaissés d'avance et le blocage des distributions couvrent cette transition. Le spa, non compté, constitue un potentiel additionnel.</w:t>
      </w:r>
    </w:p>
    <w:p>
      <w:pPr>
        <w:pStyle w:val="Heading2"/>
        <w:keepNext/>
        <w:spacing w:after="120" w:before="300"/>
      </w:pPr>
      <w:r>
        <w:rPr>
          <w:rFonts w:ascii="Calibri" w:cs="Calibri" w:eastAsia="Calibri" w:hAnsi="Calibri"/>
          <w:b/>
          <w:bCs/>
          <w:color w:val="0C4A5E"/>
          <w:sz w:val="27"/>
          <w:szCs w:val="27"/>
        </w:rPr>
        <w:t xml:space="preserve">8.8 Seuil de rentabilité</w:t>
      </w:r>
    </w:p>
    <w:p>
      <w:pPr>
        <w:spacing w:after="120" w:before="0" w:line="276"/>
        <w:jc w:val="left"/>
      </w:pPr>
      <w:r>
        <w:rPr>
          <w:rFonts w:ascii="Calibri" w:cs="Calibri" w:eastAsia="Calibri" w:hAnsi="Calibri"/>
        </w:rPr>
        <w:t xml:space="preserve">À l'An 3, les charges fixes (49 % des charges) et le service de la dette totalisent environ 2,57 M$ ; avec une marge sur charges variables de 60 %, le seuil de rentabilité en trésorerie se situe autour de 4,3 M$ de revenus, soit 85 % des revenus projetés.</w:t>
      </w:r>
    </w:p>
    <w:p>
      <w:pPr>
        <w:pageBreakBefore/>
        <w:spacing w:after="0" w:before="0" w:line="20" w:lineRule="exact"/>
      </w:pPr>
      <w:r>
        <w:drawing>
          <wp:anchor distT="0" distB="0" distL="0" distR="0" simplePos="0" allowOverlap="1" behindDoc="1" locked="1" layoutInCell="0" relativeHeight="3838575">
            <wp:simplePos x="0" y="0"/>
            <wp:positionH relativeFrom="page">
              <wp:posOffset>0</wp:posOffset>
            </wp:positionH>
            <wp:positionV relativeFrom="page">
              <wp:posOffset>566928</wp:posOffset>
            </wp:positionV>
            <wp:extent cx="7772400" cy="3838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7772400" cy="3838575"/>
                    </a:xfrm>
                    <a:prstGeom prst="rect">
                      <a:avLst/>
                    </a:prstGeom>
                  </pic:spPr>
                </pic:pic>
              </a:graphicData>
            </a:graphic>
          </wp:anchor>
        </w:drawing>
      </w:r>
    </w:p>
    <w:p>
      <w:pPr>
        <w:spacing w:after="0" w:before="0" w:line="3800" w:lineRule="exact"/>
      </w:pPr>
    </w:p>
    <w:p>
      <w:pPr>
        <w:spacing w:after="60" w:before="0"/>
      </w:pPr>
      <w:r>
        <w:rPr>
          <w:rFonts w:ascii="Calibri" w:cs="Calibri" w:eastAsia="Calibri" w:hAnsi="Calibri"/>
          <w:b/>
          <w:bCs/>
          <w:color w:val="F4B942"/>
          <w:sz w:val="26"/>
          <w:szCs w:val="26"/>
        </w:rPr>
        <w:t xml:space="preserve">09</w:t>
      </w:r>
    </w:p>
    <w:p>
      <w:pPr>
        <w:pStyle w:val="Heading1"/>
        <w:spacing w:after="0" w:before="0"/>
      </w:pPr>
      <w:r>
        <w:rPr>
          <w:rFonts w:ascii="Calibri" w:cs="Calibri" w:eastAsia="Calibri" w:hAnsi="Calibri"/>
          <w:b/>
          <w:bCs/>
          <w:color w:val="FFFFFF"/>
          <w:sz w:val="46"/>
          <w:szCs w:val="46"/>
        </w:rPr>
        <w:t xml:space="preserve">Risques et mesures d'atténuation</w:t>
      </w:r>
    </w:p>
    <w:p>
      <w:pPr>
        <w:spacing w:after="0" w:before="0" w:line="1250" w:lineRule="exact"/>
      </w:pPr>
    </w:p>
    <w:p>
      <w:pPr>
        <w:spacing w:after="240" w:before="0" w:line="300"/>
      </w:pPr>
      <w:r>
        <w:rPr>
          <w:rFonts w:ascii="Georgia" w:cs="Georgia" w:eastAsia="Georgia" w:hAnsi="Georgia"/>
          <w:i/>
          <w:iCs/>
          <w:color w:val="2BB5BF"/>
          <w:sz w:val="25"/>
          <w:szCs w:val="25"/>
        </w:rPr>
        <w:t xml:space="preserve">Chaque risque a un responsable et une mesure.</w:t>
      </w:r>
    </w:p>
    <w:tbl>
      <w:tblPr>
        <w:tblW w:type="dxa" w:w="9648"/>
        <w:tblBorders>
          <w:top w:val="none" w:color="FFFFFF" w:sz="0"/>
          <w:left w:val="none" w:color="FFFFFF" w:sz="0"/>
          <w:bottom w:val="single" w:color="0C4A5E" w:sz="8"/>
          <w:right w:val="none" w:color="FFFFFF" w:sz="0"/>
          <w:insideH w:val="single" w:color="CFE3E6" w:sz="4"/>
          <w:insideV w:val="none" w:color="FFFFFF" w:sz="0"/>
        </w:tblBorders>
      </w:tblPr>
      <w:tblGrid>
        <w:gridCol w:w="2700"/>
        <w:gridCol w:w="1500"/>
        <w:gridCol w:w="5448"/>
      </w:tblGrid>
      <w:tr>
        <w:trPr>
          <w:tblHeader/>
        </w:trPr>
        <w:tc>
          <w:tcPr>
            <w:tcW w:type="dxa" w:w="2700"/>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6"/>
                <w:szCs w:val="16"/>
              </w:rPr>
              <w:t xml:space="preserve">Risque</w:t>
            </w:r>
          </w:p>
        </w:tc>
        <w:tc>
          <w:tcPr>
            <w:tcW w:type="dxa" w:w="1500"/>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6"/>
                <w:szCs w:val="16"/>
              </w:rPr>
              <w:t xml:space="preserve">Probabilité / impact</w:t>
            </w:r>
          </w:p>
        </w:tc>
        <w:tc>
          <w:tcPr>
            <w:tcW w:type="dxa" w:w="5448"/>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6"/>
                <w:szCs w:val="16"/>
              </w:rPr>
              <w:t xml:space="preserve">Mesures</w:t>
            </w:r>
          </w:p>
        </w:tc>
      </w:tr>
      <w:tr>
        <w:trPr>
          <w:cantSplit/>
        </w:trPr>
        <w:tc>
          <w:tcPr>
            <w:tcW w:type="dxa" w:w="27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Dépassement des coûts ou retard de chantier</w:t>
            </w:r>
          </w:p>
        </w:tc>
        <w:tc>
          <w:tcPr>
            <w:tcW w:type="dxa" w:w="15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Moyen / élevé</w:t>
            </w:r>
          </w:p>
        </w:tc>
        <w:tc>
          <w:tcPr>
            <w:tcW w:type="dxa" w:w="54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Contrat à forfait Construction Prospère, cautionnements, contingence 5 % / 10 %, décaissements par avancement sur certificats, unités Coolbox à prix fixe d'usine</w:t>
            </w:r>
          </w:p>
        </w:tc>
      </w:tr>
      <w:tr>
        <w:trPr>
          <w:cantSplit/>
        </w:trPr>
        <w:tc>
          <w:tcPr>
            <w:tcW w:type="dxa" w:w="27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Montée en régime plus lente de l'hiver</w:t>
            </w:r>
          </w:p>
        </w:tc>
        <w:tc>
          <w:tcPr>
            <w:tcW w:type="dxa" w:w="15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Moyen / élevé</w:t>
            </w:r>
          </w:p>
        </w:tc>
        <w:tc>
          <w:tcPr>
            <w:tcW w:type="dxa" w:w="5448"/>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Produit hiver éprouvé (Coolbox), programme d'hiver nommé (5.3), réserve de service de la dette, aucun test de covenant avant 2029, blocage des distributions</w:t>
            </w:r>
          </w:p>
        </w:tc>
      </w:tr>
      <w:tr>
        <w:trPr>
          <w:cantSplit/>
        </w:trPr>
        <w:tc>
          <w:tcPr>
            <w:tcW w:type="dxa" w:w="27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Voisinage et bruit</w:t>
            </w:r>
          </w:p>
        </w:tc>
        <w:tc>
          <w:tcPr>
            <w:tcW w:type="dxa" w:w="15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Faible / moyen</w:t>
            </w:r>
          </w:p>
        </w:tc>
        <w:tc>
          <w:tcPr>
            <w:tcW w:type="dxa" w:w="54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Protocole de bruit (heures, orientation de la scène, nombre d'événements), communication avec la municipalité et les voisins</w:t>
            </w:r>
          </w:p>
        </w:tc>
      </w:tr>
      <w:tr>
        <w:trPr>
          <w:cantSplit/>
        </w:trPr>
        <w:tc>
          <w:tcPr>
            <w:tcW w:type="dxa" w:w="27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Météo et saison estivale défavorable</w:t>
            </w:r>
          </w:p>
        </w:tc>
        <w:tc>
          <w:tcPr>
            <w:tcW w:type="dxa" w:w="15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Moyen / moyen</w:t>
            </w:r>
          </w:p>
        </w:tc>
        <w:tc>
          <w:tcPr>
            <w:tcW w:type="dxa" w:w="5448"/>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Saisonniers encaissés d'avance, hôtel et unités chauffées, restauration, assurance pertes d'exploitation</w:t>
            </w:r>
          </w:p>
        </w:tc>
      </w:tr>
      <w:tr>
        <w:trPr>
          <w:cantSplit/>
        </w:trPr>
        <w:tc>
          <w:tcPr>
            <w:tcW w:type="dxa" w:w="27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Main-d'œuvre</w:t>
            </w:r>
          </w:p>
        </w:tc>
        <w:tc>
          <w:tcPr>
            <w:tcW w:type="dxa" w:w="15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Élevé / moyen</w:t>
            </w:r>
          </w:p>
        </w:tc>
        <w:tc>
          <w:tcPr>
            <w:tcW w:type="dxa" w:w="54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Logement sur le site, postes à l'année, partenariats avec les écoles hôtelières</w:t>
            </w:r>
          </w:p>
        </w:tc>
      </w:tr>
      <w:tr>
        <w:trPr>
          <w:cantSplit/>
        </w:trPr>
        <w:tc>
          <w:tcPr>
            <w:tcW w:type="dxa" w:w="27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Hausse des taux d'intérêt</w:t>
            </w:r>
          </w:p>
        </w:tc>
        <w:tc>
          <w:tcPr>
            <w:tcW w:type="dxa" w:w="15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Moyen / moyen</w:t>
            </w:r>
          </w:p>
        </w:tc>
        <w:tc>
          <w:tcPr>
            <w:tcW w:type="dxa" w:w="5448"/>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Taux fixe 5 ans sur le senior ; sensibilités à 8 % et 9 % en 8.7</w:t>
            </w:r>
          </w:p>
        </w:tc>
      </w:tr>
      <w:tr>
        <w:trPr>
          <w:cantSplit/>
        </w:trPr>
        <w:tc>
          <w:tcPr>
            <w:tcW w:type="dxa" w:w="27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Dépendance à la direction</w:t>
            </w:r>
          </w:p>
        </w:tc>
        <w:tc>
          <w:tcPr>
            <w:tcW w:type="dxa" w:w="15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Moyen / élevé</w:t>
            </w:r>
          </w:p>
        </w:tc>
        <w:tc>
          <w:tcPr>
            <w:tcW w:type="dxa" w:w="54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6"/>
                <w:szCs w:val="16"/>
              </w:rPr>
              <w:t xml:space="preserve">Responsables de service, assurance personne clé, rapports trimestriels au prêteur</w:t>
            </w:r>
          </w:p>
        </w:tc>
      </w:tr>
    </w:tbl>
    <w:p>
      <w:pPr>
        <w:pageBreakBefore/>
        <w:spacing w:after="0" w:before="0" w:line="20" w:lineRule="exact"/>
      </w:pPr>
      <w:r>
        <w:drawing>
          <wp:anchor distT="0" distB="0" distL="0" distR="0" simplePos="0" allowOverlap="1" behindDoc="1" locked="1" layoutInCell="0" relativeHeight="3838575">
            <wp:simplePos x="0" y="0"/>
            <wp:positionH relativeFrom="page">
              <wp:posOffset>0</wp:posOffset>
            </wp:positionH>
            <wp:positionV relativeFrom="page">
              <wp:posOffset>566928</wp:posOffset>
            </wp:positionV>
            <wp:extent cx="7772400" cy="3838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7772400" cy="3838575"/>
                    </a:xfrm>
                    <a:prstGeom prst="rect">
                      <a:avLst/>
                    </a:prstGeom>
                  </pic:spPr>
                </pic:pic>
              </a:graphicData>
            </a:graphic>
          </wp:anchor>
        </w:drawing>
      </w:r>
    </w:p>
    <w:p>
      <w:pPr>
        <w:spacing w:after="0" w:before="0" w:line="3800" w:lineRule="exact"/>
      </w:pPr>
    </w:p>
    <w:p>
      <w:pPr>
        <w:spacing w:after="60" w:before="0"/>
      </w:pPr>
      <w:r>
        <w:rPr>
          <w:rFonts w:ascii="Calibri" w:cs="Calibri" w:eastAsia="Calibri" w:hAnsi="Calibri"/>
          <w:b/>
          <w:bCs/>
          <w:color w:val="F4B942"/>
          <w:sz w:val="26"/>
          <w:szCs w:val="26"/>
        </w:rPr>
        <w:t xml:space="preserve">10</w:t>
      </w:r>
    </w:p>
    <w:p>
      <w:pPr>
        <w:pStyle w:val="Heading1"/>
        <w:spacing w:after="0" w:before="0"/>
      </w:pPr>
      <w:r>
        <w:rPr>
          <w:rFonts w:ascii="Calibri" w:cs="Calibri" w:eastAsia="Calibri" w:hAnsi="Calibri"/>
          <w:b/>
          <w:bCs/>
          <w:color w:val="FFFFFF"/>
          <w:sz w:val="46"/>
          <w:szCs w:val="46"/>
        </w:rPr>
        <w:t xml:space="preserve">Conclusion et demande</w:t>
      </w:r>
    </w:p>
    <w:p>
      <w:pPr>
        <w:spacing w:after="0" w:before="0" w:line="1250" w:lineRule="exact"/>
      </w:pPr>
    </w:p>
    <w:p>
      <w:pPr>
        <w:spacing w:after="240" w:before="0" w:line="300"/>
      </w:pPr>
      <w:r>
        <w:rPr>
          <w:rFonts w:ascii="Georgia" w:cs="Georgia" w:eastAsia="Georgia" w:hAnsi="Georgia"/>
          <w:i/>
          <w:iCs/>
          <w:color w:val="2BB5BF"/>
          <w:sz w:val="25"/>
          <w:szCs w:val="25"/>
        </w:rPr>
        <w:t xml:space="preserve">Un site qui vend déjà 1,5 M$ par année, 11,9 M$ investis, un produit quatre saisons en place : le Complexe Havana demande un prêt senior de 5,5 M$ dans un montage de 9,3 M$ pour ouvrir douze mois par année.</w:t>
      </w:r>
    </w:p>
    <w:p>
      <w:pPr>
        <w:spacing w:after="120" w:before="0" w:line="276"/>
        <w:jc w:val="left"/>
      </w:pPr>
      <w:r>
        <w:rPr>
          <w:rFonts w:ascii="Calibri" w:cs="Calibri" w:eastAsia="Calibri" w:hAnsi="Calibri"/>
        </w:rPr>
        <w:t xml:space="preserve">Le projet demande à la banque de financer des travaux ciblés, construits par un entrepreneur licencié à prix forfaitaire sur des actifs existants, avec des fonds propres de 42 % de l'argent neuf et un prêt senior couvert 2,42 x en An 3.</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none" w:color="FFFFFF" w:sz="0"/>
              <w:left w:val="single" w:color="2BB5BF" w:sz="24"/>
              <w:bottom w:val="none" w:color="FFFFFF" w:sz="0"/>
              <w:right w:val="none" w:color="FFFFFF" w:sz="0"/>
            </w:tcBorders>
            <w:shd w:fill="F5F2EA" w:color="auto" w:val="clear"/>
            <w:tcMar>
              <w:top w:type="dxa" w:w="120"/>
              <w:left w:type="dxa" w:w="200"/>
              <w:bottom w:type="dxa" w:w="120"/>
              <w:right w:type="dxa" w:w="160"/>
            </w:tcMar>
          </w:tcPr>
          <w:p>
            <w:pPr>
              <w:spacing w:after="80"/>
            </w:pPr>
            <w:r>
              <w:rPr>
                <w:rFonts w:ascii="Calibri" w:cs="Calibri" w:eastAsia="Calibri" w:hAnsi="Calibri"/>
                <w:b/>
                <w:bCs/>
                <w:color w:val="0C4A5E"/>
                <w:sz w:val="21"/>
                <w:szCs w:val="21"/>
              </w:rPr>
              <w:t xml:space="preserve">Demande</w:t>
            </w:r>
          </w:p>
          <w:p>
            <w:pPr>
              <w:spacing w:after="60" w:line="264"/>
            </w:pPr>
            <w:r>
              <w:rPr>
                <w:rFonts w:ascii="Calibri" w:cs="Calibri" w:eastAsia="Calibri" w:hAnsi="Calibri"/>
                <w:b/>
                <w:bCs/>
                <w:color w:val="1E2A2E"/>
                <w:sz w:val="20"/>
                <w:szCs w:val="20"/>
              </w:rPr>
              <w:t xml:space="preserve">Prêt hypothécaire de premier rang de 5 500 000 $</w:t>
            </w:r>
          </w:p>
          <w:p>
            <w:pPr>
              <w:spacing w:after="60" w:line="264"/>
            </w:pPr>
            <w:r>
              <w:rPr>
                <w:rFonts w:ascii="Calibri" w:cs="Calibri" w:eastAsia="Calibri" w:hAnsi="Calibri"/>
                <w:color w:val="1E2A2E"/>
                <w:sz w:val="20"/>
                <w:szCs w:val="20"/>
              </w:rPr>
              <w:t xml:space="preserve">Tranche A de 4 000 000 $ à la clôture (refinancement) ; tranche B de 1 500 000 $ en prêt de construction convertible à la réception des travaux.</w:t>
            </w:r>
          </w:p>
          <w:p>
            <w:pPr>
              <w:spacing w:after="60" w:line="264"/>
            </w:pPr>
            <w:r>
              <w:rPr>
                <w:rFonts w:ascii="Calibri" w:cs="Calibri" w:eastAsia="Calibri" w:hAnsi="Calibri"/>
                <w:color w:val="1E2A2E"/>
                <w:sz w:val="20"/>
                <w:szCs w:val="20"/>
              </w:rPr>
              <w:t xml:space="preserve">Amortissement de 25 ans, moratoire de capital de 12 mois, réserve de service de la dette de 6 mois déposée à la clôture.</w:t>
            </w:r>
          </w:p>
          <w:p>
            <w:pPr>
              <w:spacing w:after="60" w:line="264"/>
            </w:pPr>
            <w:r>
              <w:rPr>
                <w:rFonts w:ascii="Calibri" w:cs="Calibri" w:eastAsia="Calibri" w:hAnsi="Calibri"/>
                <w:color w:val="1E2A2E"/>
                <w:sz w:val="20"/>
                <w:szCs w:val="20"/>
              </w:rPr>
              <w:t xml:space="preserve">Couches complémentaires sollicitées : 1 585 000 $ ; fonds propres : 2 261 737 $, dont 2 120 000 $ en nature (20 unités Coolbox).</w:t>
            </w:r>
          </w:p>
          <w:p>
            <w:pPr>
              <w:spacing w:after="60" w:line="264"/>
            </w:pPr>
            <w:r>
              <w:rPr>
                <w:rFonts w:ascii="Calibri" w:cs="Calibri" w:eastAsia="Calibri" w:hAnsi="Calibri"/>
                <w:color w:val="1E2A2E"/>
                <w:sz w:val="20"/>
                <w:szCs w:val="20"/>
              </w:rPr>
              <w:t xml:space="preserve">Clôture souhaitée en janvier 2027, pour un début des travaux à l'hiver 2027 et une ouverture en juillet 2027.</w:t>
            </w:r>
          </w:p>
        </w:tc>
      </w:tr>
    </w:tbl>
    <w:p>
      <w:pPr>
        <w:spacing w:after="120" w:before="0" w:line="276"/>
        <w:jc w:val="left"/>
      </w:pPr>
      <w:r>
        <w:rPr>
          <w:rFonts w:ascii="Calibri" w:cs="Calibri" w:eastAsia="Calibri" w:hAnsi="Calibri"/>
        </w:rPr>
        <w:t xml:space="preserve">Nous remercions l'institution de l'attention portée à ce dossier et demeurons disponibles pour une visite du site.</w:t>
      </w:r>
    </w:p>
    <w:p>
      <w:pPr>
        <w:spacing w:after="200"/>
      </w:pPr>
    </w:p>
    <w:p>
      <w:pPr>
        <w:spacing w:after="0" w:before="0" w:line="276"/>
        <w:jc w:val="left"/>
      </w:pPr>
      <w:r>
        <w:rPr>
          <w:rFonts w:ascii="Calibri" w:cs="Calibri" w:eastAsia="Calibri" w:hAnsi="Calibri"/>
        </w:rPr>
        <w:t xml:space="preserve">_______________________________</w:t>
      </w:r>
    </w:p>
    <w:p>
      <w:pPr>
        <w:spacing w:after="0" w:before="0" w:line="276"/>
        <w:jc w:val="left"/>
      </w:pPr>
      <w:r>
        <w:rPr>
          <w:rFonts w:ascii="Calibri" w:cs="Calibri" w:eastAsia="Calibri" w:hAnsi="Calibri"/>
        </w:rPr>
        <w:t xml:space="preserve">Dominic Perrier, direction générale</w:t>
      </w:r>
    </w:p>
    <w:p>
      <w:pPr>
        <w:spacing w:after="0" w:before="0" w:line="276"/>
        <w:jc w:val="left"/>
      </w:pPr>
      <w:r>
        <w:rPr>
          <w:rFonts w:ascii="Calibri" w:cs="Calibri" w:eastAsia="Calibri" w:hAnsi="Calibri"/>
        </w:rPr>
        <w:t xml:space="preserve">Complexe Havana</w:t>
      </w:r>
    </w:p>
    <w:p>
      <w:pPr>
        <w:spacing w:after="120" w:before="0" w:line="276"/>
        <w:jc w:val="left"/>
      </w:pPr>
      <w:r>
        <w:rPr>
          <w:rFonts w:ascii="Calibri" w:cs="Calibri" w:eastAsia="Calibri" w:hAnsi="Calibri"/>
        </w:rPr>
        <w:t xml:space="preserve">514 774-7979 · havanaresort.ca</w:t>
      </w:r>
    </w:p>
    <w:p>
      <w:pPr>
        <w:pageBreakBefore/>
        <w:spacing w:after="0" w:before="0" w:line="20" w:lineRule="exact"/>
      </w:pPr>
      <w:r>
        <w:drawing>
          <wp:anchor distT="0" distB="0" distL="0" distR="0" simplePos="0" allowOverlap="1" behindDoc="1" locked="1" layoutInCell="0" relativeHeight="3838575">
            <wp:simplePos x="0" y="0"/>
            <wp:positionH relativeFrom="page">
              <wp:posOffset>0</wp:posOffset>
            </wp:positionH>
            <wp:positionV relativeFrom="page">
              <wp:posOffset>566928</wp:posOffset>
            </wp:positionV>
            <wp:extent cx="7772400" cy="3838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7772400" cy="3838575"/>
                    </a:xfrm>
                    <a:prstGeom prst="rect">
                      <a:avLst/>
                    </a:prstGeom>
                  </pic:spPr>
                </pic:pic>
              </a:graphicData>
            </a:graphic>
          </wp:anchor>
        </w:drawing>
      </w:r>
    </w:p>
    <w:p>
      <w:pPr>
        <w:spacing w:after="0" w:before="0" w:line="3800" w:lineRule="exact"/>
      </w:pPr>
    </w:p>
    <w:p>
      <w:pPr>
        <w:spacing w:after="60" w:before="0"/>
      </w:pPr>
      <w:r>
        <w:rPr>
          <w:rFonts w:ascii="Calibri" w:cs="Calibri" w:eastAsia="Calibri" w:hAnsi="Calibri"/>
          <w:b/>
          <w:bCs/>
          <w:color w:val="F4B942"/>
          <w:sz w:val="26"/>
          <w:szCs w:val="26"/>
        </w:rPr>
        <w:t xml:space="preserve">A</w:t>
      </w:r>
    </w:p>
    <w:p>
      <w:pPr>
        <w:pStyle w:val="Heading1"/>
        <w:spacing w:after="0" w:before="0"/>
      </w:pPr>
      <w:r>
        <w:rPr>
          <w:rFonts w:ascii="Calibri" w:cs="Calibri" w:eastAsia="Calibri" w:hAnsi="Calibri"/>
          <w:b/>
          <w:bCs/>
          <w:color w:val="FFFFFF"/>
          <w:sz w:val="46"/>
          <w:szCs w:val="46"/>
        </w:rPr>
        <w:t xml:space="preserve">Annexes</w:t>
      </w:r>
    </w:p>
    <w:p>
      <w:pPr>
        <w:spacing w:after="0" w:before="0" w:line="1250" w:lineRule="exact"/>
      </w:pPr>
    </w:p>
    <w:p>
      <w:pPr>
        <w:spacing w:after="120" w:before="0" w:line="276"/>
        <w:jc w:val="left"/>
      </w:pPr>
      <w:r>
        <w:rPr>
          <w:rFonts w:ascii="Calibri" w:cs="Calibri" w:eastAsia="Calibri" w:hAnsi="Calibri"/>
        </w:rPr>
        <w:t xml:space="preserve">Les documents ci-dessous accompagnent le plan d'affaires. Les pièces complémentaires seront fournies et prises en considération aux étapes subséquentes du projet, au fur et à mesure de sa progression.</w:t>
      </w:r>
    </w:p>
    <w:tbl>
      <w:tblPr>
        <w:tblW w:type="dxa" w:w="9648"/>
        <w:tblBorders>
          <w:top w:val="none" w:color="FFFFFF" w:sz="0"/>
          <w:left w:val="none" w:color="FFFFFF" w:sz="0"/>
          <w:bottom w:val="single" w:color="0C4A5E" w:sz="8"/>
          <w:right w:val="none" w:color="FFFFFF" w:sz="0"/>
          <w:insideH w:val="single" w:color="CFE3E6" w:sz="4"/>
          <w:insideV w:val="none" w:color="FFFFFF" w:sz="0"/>
        </w:tblBorders>
      </w:tblPr>
      <w:tblGrid>
        <w:gridCol w:w="900"/>
        <w:gridCol w:w="8748"/>
      </w:tblGrid>
      <w:tr>
        <w:trPr>
          <w:tblHeader/>
        </w:trPr>
        <w:tc>
          <w:tcPr>
            <w:tcW w:type="dxa" w:w="900"/>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7"/>
                <w:szCs w:val="17"/>
              </w:rPr>
              <w:t xml:space="preserve">Annexe</w:t>
            </w:r>
          </w:p>
        </w:tc>
        <w:tc>
          <w:tcPr>
            <w:tcW w:type="dxa" w:w="8748"/>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7"/>
                <w:szCs w:val="17"/>
              </w:rPr>
              <w:t xml:space="preserve">Contenu</w:t>
            </w:r>
          </w:p>
        </w:tc>
      </w:tr>
      <w:tr>
        <w:trPr>
          <w:cantSplit/>
        </w:trPr>
        <w:tc>
          <w:tcPr>
            <w:tcW w:type="dxa" w:w="9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A</w:t>
            </w:r>
          </w:p>
        </w:tc>
        <w:tc>
          <w:tcPr>
            <w:tcW w:type="dxa" w:w="87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États financiers, état de la dette existante, historique des investissements 2015-2023 (11 915 000 $)</w:t>
            </w:r>
          </w:p>
        </w:tc>
      </w:tr>
      <w:tr>
        <w:trPr>
          <w:cantSplit/>
        </w:trPr>
        <w:tc>
          <w:tcPr>
            <w:tcW w:type="dxa" w:w="9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B</w:t>
            </w:r>
          </w:p>
        </w:tc>
        <w:tc>
          <w:tcPr>
            <w:tcW w:type="dxa" w:w="8748"/>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Rapports d'évaluation : Grenier 2021 (méthode du revenu), Leblanc 2024 (hôtel) et 2025 (camping), rapport d'équipements 2023 (2 052 200 $), rôle municipal 2024-2026</w:t>
            </w:r>
          </w:p>
        </w:tc>
      </w:tr>
      <w:tr>
        <w:trPr>
          <w:cantSplit/>
        </w:trPr>
        <w:tc>
          <w:tcPr>
            <w:tcW w:type="dxa" w:w="9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C</w:t>
            </w:r>
          </w:p>
        </w:tc>
        <w:tc>
          <w:tcPr>
            <w:tcW w:type="dxa" w:w="87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Soumissions à forfait : Construction Prospère par composante, Coolbox HPA (9 unités, validité 12 mois)</w:t>
            </w:r>
          </w:p>
        </w:tc>
      </w:tr>
      <w:tr>
        <w:trPr>
          <w:cantSplit/>
        </w:trPr>
        <w:tc>
          <w:tcPr>
            <w:tcW w:type="dxa" w:w="9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D</w:t>
            </w:r>
          </w:p>
        </w:tc>
        <w:tc>
          <w:tcPr>
            <w:tcW w:type="dxa" w:w="8748"/>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Plans, permis municipaux et documents d'infrastructures (usine d'épuration 2019)</w:t>
            </w:r>
          </w:p>
        </w:tc>
      </w:tr>
      <w:tr>
        <w:trPr>
          <w:cantSplit/>
        </w:trPr>
        <w:tc>
          <w:tcPr>
            <w:tcW w:type="dxa" w:w="9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E</w:t>
            </w:r>
          </w:p>
        </w:tc>
        <w:tc>
          <w:tcPr>
            <w:tcW w:type="dxa" w:w="87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Curriculum vitæ de la direction ; fiches Construction Prospère et Coolbox HPA</w:t>
            </w:r>
          </w:p>
        </w:tc>
      </w:tr>
      <w:tr>
        <w:trPr>
          <w:cantSplit/>
        </w:trPr>
        <w:tc>
          <w:tcPr>
            <w:tcW w:type="dxa" w:w="9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F</w:t>
            </w:r>
          </w:p>
        </w:tc>
        <w:tc>
          <w:tcPr>
            <w:tcW w:type="dxa" w:w="8748"/>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Chronologie visuelle des travaux 2015-2023, cartes du site 2023 et 2026, photos</w:t>
            </w:r>
          </w:p>
        </w:tc>
      </w:tr>
      <w:tr>
        <w:trPr>
          <w:cantSplit/>
        </w:trPr>
        <w:tc>
          <w:tcPr>
            <w:tcW w:type="dxa" w:w="9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G</w:t>
            </w:r>
          </w:p>
        </w:tc>
        <w:tc>
          <w:tcPr>
            <w:tcW w:type="dxa" w:w="87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Rapports du système de réservation 2025 et 2026 ; grille tarifaire</w:t>
            </w:r>
          </w:p>
        </w:tc>
      </w:tr>
      <w:tr>
        <w:trPr>
          <w:cantSplit/>
        </w:trPr>
        <w:tc>
          <w:tcPr>
            <w:tcW w:type="dxa" w:w="9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H</w:t>
            </w:r>
          </w:p>
        </w:tc>
        <w:tc>
          <w:tcPr>
            <w:tcW w:type="dxa" w:w="8748"/>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Classeur financier (hypothèses, investissement, couches de dette, résultats, trésorerie, bilan, ratios, sensibilité, DPA)</w:t>
            </w:r>
          </w:p>
        </w:tc>
      </w:tr>
      <w:tr>
        <w:trPr>
          <w:cantSplit/>
        </w:trPr>
        <w:tc>
          <w:tcPr>
            <w:tcW w:type="dxa" w:w="9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I</w:t>
            </w:r>
          </w:p>
        </w:tc>
        <w:tc>
          <w:tcPr>
            <w:tcW w:type="dxa" w:w="87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Lettres d'appui et des partenaires</w:t>
            </w:r>
          </w:p>
        </w:tc>
      </w:tr>
      <w:tr>
        <w:trPr>
          <w:cantSplit/>
        </w:trPr>
        <w:tc>
          <w:tcPr>
            <w:tcW w:type="dxa" w:w="9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J</w:t>
            </w:r>
          </w:p>
        </w:tc>
        <w:tc>
          <w:tcPr>
            <w:tcW w:type="dxa" w:w="8748"/>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Contrat de partenariat Coolbox, avis et calcul de redevance 2026, ventes d'hiver du réseau, fiche technique des unités</w:t>
            </w:r>
          </w:p>
        </w:tc>
      </w:tr>
      <w:tr>
        <w:trPr>
          <w:cantSplit/>
        </w:trPr>
        <w:tc>
          <w:tcPr>
            <w:tcW w:type="dxa" w:w="9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K</w:t>
            </w:r>
          </w:p>
        </w:tc>
        <w:tc>
          <w:tcPr>
            <w:tcW w:type="dxa" w:w="87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7"/>
                <w:szCs w:val="17"/>
              </w:rPr>
              <w:t xml:space="preserve">Cédule de DPA par catégorie fiscale ; tableau d'amortissement complet du prêt senior</w:t>
            </w:r>
          </w:p>
        </w:tc>
      </w:tr>
    </w:tbl>
    <w:p>
      <w:r>
        <w:br w:type="page"/>
      </w:r>
    </w:p>
    <w:p>
      <w:pPr>
        <w:pStyle w:val="Heading2"/>
        <w:keepNext/>
        <w:spacing w:after="120" w:before="300"/>
      </w:pPr>
      <w:r>
        <w:rPr>
          <w:rFonts w:ascii="Calibri" w:cs="Calibri" w:eastAsia="Calibri" w:hAnsi="Calibri"/>
          <w:b/>
          <w:bCs/>
          <w:color w:val="0C4A5E"/>
          <w:sz w:val="27"/>
          <w:szCs w:val="27"/>
        </w:rPr>
        <w:t xml:space="preserve">Annexe K – Tableau d'amortissement complet du prêt senior</w:t>
      </w:r>
    </w:p>
    <w:p>
      <w:pPr>
        <w:spacing w:after="120" w:before="0" w:line="276"/>
        <w:jc w:val="left"/>
      </w:pPr>
      <w:r>
        <w:rPr>
          <w:rFonts w:ascii="Calibri" w:cs="Calibri" w:eastAsia="Calibri" w:hAnsi="Calibri"/>
          <w:i/>
          <w:iCs/>
          <w:color w:val="6F8A90"/>
          <w:sz w:val="18"/>
          <w:szCs w:val="18"/>
        </w:rPr>
        <w:t xml:space="preserve">Prêt de 5 500 000 $ à 7,0 %, 25 ans, paiement mensuel de 38 873 $ après le moratoire de 12 mois ; An 1 : intérêts sur le solde moyen décaissé.</w:t>
      </w:r>
    </w:p>
    <w:tbl>
      <w:tblPr>
        <w:tblW w:type="dxa" w:w="9648"/>
        <w:tblBorders>
          <w:top w:val="none" w:color="FFFFFF" w:sz="0"/>
          <w:left w:val="none" w:color="FFFFFF" w:sz="0"/>
          <w:bottom w:val="single" w:color="0C4A5E" w:sz="8"/>
          <w:right w:val="none" w:color="FFFFFF" w:sz="0"/>
          <w:insideH w:val="single" w:color="CFE3E6" w:sz="4"/>
          <w:insideV w:val="none" w:color="FFFFFF" w:sz="0"/>
        </w:tblBorders>
      </w:tblPr>
      <w:tblGrid>
        <w:gridCol w:w="1600"/>
        <w:gridCol w:w="2000"/>
        <w:gridCol w:w="2000"/>
        <w:gridCol w:w="2000"/>
        <w:gridCol w:w="2048"/>
      </w:tblGrid>
      <w:tr>
        <w:trPr>
          <w:tblHeader/>
        </w:trPr>
        <w:tc>
          <w:tcPr>
            <w:tcW w:type="dxa" w:w="1600"/>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5"/>
                <w:szCs w:val="15"/>
              </w:rPr>
              <w:t xml:space="preserve">Année</w:t>
            </w:r>
          </w:p>
        </w:tc>
        <w:tc>
          <w:tcPr>
            <w:tcW w:type="dxa" w:w="200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5"/>
                <w:szCs w:val="15"/>
              </w:rPr>
              <w:t xml:space="preserve">Intérêts</w:t>
            </w:r>
          </w:p>
        </w:tc>
        <w:tc>
          <w:tcPr>
            <w:tcW w:type="dxa" w:w="200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5"/>
                <w:szCs w:val="15"/>
              </w:rPr>
              <w:t xml:space="preserve">Capital</w:t>
            </w:r>
          </w:p>
        </w:tc>
        <w:tc>
          <w:tcPr>
            <w:tcW w:type="dxa" w:w="200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5"/>
                <w:szCs w:val="15"/>
              </w:rPr>
              <w:t xml:space="preserve">Service</w:t>
            </w:r>
          </w:p>
        </w:tc>
        <w:tc>
          <w:tcPr>
            <w:tcW w:type="dxa" w:w="2048"/>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5"/>
                <w:szCs w:val="15"/>
              </w:rPr>
              <w:t xml:space="preserve">Solde en fin d'année</w:t>
            </w:r>
          </w:p>
        </w:tc>
      </w:tr>
      <w:tr>
        <w:trPr>
          <w:cantSplit/>
        </w:trPr>
        <w:tc>
          <w:tcPr>
            <w:tcW w:type="dxa" w:w="16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An 1</w:t>
            </w:r>
          </w:p>
        </w:tc>
        <w:tc>
          <w:tcPr>
            <w:tcW w:type="dxa" w:w="20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337 750 $</w:t>
            </w:r>
          </w:p>
        </w:tc>
        <w:tc>
          <w:tcPr>
            <w:tcW w:type="dxa" w:w="20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0 $</w:t>
            </w:r>
          </w:p>
        </w:tc>
        <w:tc>
          <w:tcPr>
            <w:tcW w:type="dxa" w:w="20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337 750 $</w:t>
            </w:r>
          </w:p>
        </w:tc>
        <w:tc>
          <w:tcPr>
            <w:tcW w:type="dxa" w:w="20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5 500 000 $</w:t>
            </w:r>
          </w:p>
        </w:tc>
      </w:tr>
      <w:tr>
        <w:trPr>
          <w:cantSplit/>
        </w:trPr>
        <w:tc>
          <w:tcPr>
            <w:tcW w:type="dxa" w:w="16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An 2</w:t>
            </w:r>
          </w:p>
        </w:tc>
        <w:tc>
          <w:tcPr>
            <w:tcW w:type="dxa" w:w="20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382 335 $</w:t>
            </w:r>
          </w:p>
        </w:tc>
        <w:tc>
          <w:tcPr>
            <w:tcW w:type="dxa" w:w="20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84 140 $</w:t>
            </w:r>
          </w:p>
        </w:tc>
        <w:tc>
          <w:tcPr>
            <w:tcW w:type="dxa" w:w="20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466 474 $</w:t>
            </w:r>
          </w:p>
        </w:tc>
        <w:tc>
          <w:tcPr>
            <w:tcW w:type="dxa" w:w="20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5 415 860 $</w:t>
            </w:r>
          </w:p>
        </w:tc>
      </w:tr>
      <w:tr>
        <w:trPr>
          <w:cantSplit/>
        </w:trPr>
        <w:tc>
          <w:tcPr>
            <w:tcW w:type="dxa" w:w="16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An 3</w:t>
            </w:r>
          </w:p>
        </w:tc>
        <w:tc>
          <w:tcPr>
            <w:tcW w:type="dxa" w:w="20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376 252 $</w:t>
            </w:r>
          </w:p>
        </w:tc>
        <w:tc>
          <w:tcPr>
            <w:tcW w:type="dxa" w:w="20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90 222 $</w:t>
            </w:r>
          </w:p>
        </w:tc>
        <w:tc>
          <w:tcPr>
            <w:tcW w:type="dxa" w:w="20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466 474 $</w:t>
            </w:r>
          </w:p>
        </w:tc>
        <w:tc>
          <w:tcPr>
            <w:tcW w:type="dxa" w:w="20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5 325 638 $</w:t>
            </w:r>
          </w:p>
        </w:tc>
      </w:tr>
      <w:tr>
        <w:trPr>
          <w:cantSplit/>
        </w:trPr>
        <w:tc>
          <w:tcPr>
            <w:tcW w:type="dxa" w:w="16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An 4</w:t>
            </w:r>
          </w:p>
        </w:tc>
        <w:tc>
          <w:tcPr>
            <w:tcW w:type="dxa" w:w="20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369 730 $</w:t>
            </w:r>
          </w:p>
        </w:tc>
        <w:tc>
          <w:tcPr>
            <w:tcW w:type="dxa" w:w="20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96 744 $</w:t>
            </w:r>
          </w:p>
        </w:tc>
        <w:tc>
          <w:tcPr>
            <w:tcW w:type="dxa" w:w="20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466 474 $</w:t>
            </w:r>
          </w:p>
        </w:tc>
        <w:tc>
          <w:tcPr>
            <w:tcW w:type="dxa" w:w="20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5 228 894 $</w:t>
            </w:r>
          </w:p>
        </w:tc>
      </w:tr>
      <w:tr>
        <w:trPr>
          <w:cantSplit/>
        </w:trPr>
        <w:tc>
          <w:tcPr>
            <w:tcW w:type="dxa" w:w="16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An 5</w:t>
            </w:r>
          </w:p>
        </w:tc>
        <w:tc>
          <w:tcPr>
            <w:tcW w:type="dxa" w:w="20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362 736 $</w:t>
            </w:r>
          </w:p>
        </w:tc>
        <w:tc>
          <w:tcPr>
            <w:tcW w:type="dxa" w:w="20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103 738 $</w:t>
            </w:r>
          </w:p>
        </w:tc>
        <w:tc>
          <w:tcPr>
            <w:tcW w:type="dxa" w:w="20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466 474 $</w:t>
            </w:r>
          </w:p>
        </w:tc>
        <w:tc>
          <w:tcPr>
            <w:tcW w:type="dxa" w:w="20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5 125 156 $</w:t>
            </w:r>
          </w:p>
        </w:tc>
      </w:tr>
      <w:tr>
        <w:trPr>
          <w:cantSplit/>
        </w:trPr>
        <w:tc>
          <w:tcPr>
            <w:tcW w:type="dxa" w:w="16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An 6</w:t>
            </w:r>
          </w:p>
        </w:tc>
        <w:tc>
          <w:tcPr>
            <w:tcW w:type="dxa" w:w="20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355 237 $</w:t>
            </w:r>
          </w:p>
        </w:tc>
        <w:tc>
          <w:tcPr>
            <w:tcW w:type="dxa" w:w="20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111 237 $</w:t>
            </w:r>
          </w:p>
        </w:tc>
        <w:tc>
          <w:tcPr>
            <w:tcW w:type="dxa" w:w="20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466 474 $</w:t>
            </w:r>
          </w:p>
        </w:tc>
        <w:tc>
          <w:tcPr>
            <w:tcW w:type="dxa" w:w="20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5 013 918 $</w:t>
            </w:r>
          </w:p>
        </w:tc>
      </w:tr>
      <w:tr>
        <w:trPr>
          <w:cantSplit/>
        </w:trPr>
        <w:tc>
          <w:tcPr>
            <w:tcW w:type="dxa" w:w="16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An 7</w:t>
            </w:r>
          </w:p>
        </w:tc>
        <w:tc>
          <w:tcPr>
            <w:tcW w:type="dxa" w:w="20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347 196 $</w:t>
            </w:r>
          </w:p>
        </w:tc>
        <w:tc>
          <w:tcPr>
            <w:tcW w:type="dxa" w:w="20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119 279 $</w:t>
            </w:r>
          </w:p>
        </w:tc>
        <w:tc>
          <w:tcPr>
            <w:tcW w:type="dxa" w:w="20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466 474 $</w:t>
            </w:r>
          </w:p>
        </w:tc>
        <w:tc>
          <w:tcPr>
            <w:tcW w:type="dxa" w:w="20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4 894 640 $</w:t>
            </w:r>
          </w:p>
        </w:tc>
      </w:tr>
      <w:tr>
        <w:trPr>
          <w:cantSplit/>
        </w:trPr>
        <w:tc>
          <w:tcPr>
            <w:tcW w:type="dxa" w:w="16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An 8</w:t>
            </w:r>
          </w:p>
        </w:tc>
        <w:tc>
          <w:tcPr>
            <w:tcW w:type="dxa" w:w="20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338 573 $</w:t>
            </w:r>
          </w:p>
        </w:tc>
        <w:tc>
          <w:tcPr>
            <w:tcW w:type="dxa" w:w="20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127 901 $</w:t>
            </w:r>
          </w:p>
        </w:tc>
        <w:tc>
          <w:tcPr>
            <w:tcW w:type="dxa" w:w="20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466 474 $</w:t>
            </w:r>
          </w:p>
        </w:tc>
        <w:tc>
          <w:tcPr>
            <w:tcW w:type="dxa" w:w="20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4 766 738 $</w:t>
            </w:r>
          </w:p>
        </w:tc>
      </w:tr>
      <w:tr>
        <w:trPr>
          <w:cantSplit/>
        </w:trPr>
        <w:tc>
          <w:tcPr>
            <w:tcW w:type="dxa" w:w="16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An 9</w:t>
            </w:r>
          </w:p>
        </w:tc>
        <w:tc>
          <w:tcPr>
            <w:tcW w:type="dxa" w:w="20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329 327 $</w:t>
            </w:r>
          </w:p>
        </w:tc>
        <w:tc>
          <w:tcPr>
            <w:tcW w:type="dxa" w:w="20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137 147 $</w:t>
            </w:r>
          </w:p>
        </w:tc>
        <w:tc>
          <w:tcPr>
            <w:tcW w:type="dxa" w:w="20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466 474 $</w:t>
            </w:r>
          </w:p>
        </w:tc>
        <w:tc>
          <w:tcPr>
            <w:tcW w:type="dxa" w:w="20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4 629 591 $</w:t>
            </w:r>
          </w:p>
        </w:tc>
      </w:tr>
      <w:tr>
        <w:trPr>
          <w:cantSplit/>
        </w:trPr>
        <w:tc>
          <w:tcPr>
            <w:tcW w:type="dxa" w:w="16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An 10</w:t>
            </w:r>
          </w:p>
        </w:tc>
        <w:tc>
          <w:tcPr>
            <w:tcW w:type="dxa" w:w="20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319 413 $</w:t>
            </w:r>
          </w:p>
        </w:tc>
        <w:tc>
          <w:tcPr>
            <w:tcW w:type="dxa" w:w="20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147 062 $</w:t>
            </w:r>
          </w:p>
        </w:tc>
        <w:tc>
          <w:tcPr>
            <w:tcW w:type="dxa" w:w="20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466 474 $</w:t>
            </w:r>
          </w:p>
        </w:tc>
        <w:tc>
          <w:tcPr>
            <w:tcW w:type="dxa" w:w="20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4 482 530 $</w:t>
            </w:r>
          </w:p>
        </w:tc>
      </w:tr>
      <w:tr>
        <w:trPr>
          <w:cantSplit/>
        </w:trPr>
        <w:tc>
          <w:tcPr>
            <w:tcW w:type="dxa" w:w="16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An 11</w:t>
            </w:r>
          </w:p>
        </w:tc>
        <w:tc>
          <w:tcPr>
            <w:tcW w:type="dxa" w:w="20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308 782 $</w:t>
            </w:r>
          </w:p>
        </w:tc>
        <w:tc>
          <w:tcPr>
            <w:tcW w:type="dxa" w:w="20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157 693 $</w:t>
            </w:r>
          </w:p>
        </w:tc>
        <w:tc>
          <w:tcPr>
            <w:tcW w:type="dxa" w:w="20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466 474 $</w:t>
            </w:r>
          </w:p>
        </w:tc>
        <w:tc>
          <w:tcPr>
            <w:tcW w:type="dxa" w:w="20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4 324 837 $</w:t>
            </w:r>
          </w:p>
        </w:tc>
      </w:tr>
      <w:tr>
        <w:trPr>
          <w:cantSplit/>
        </w:trPr>
        <w:tc>
          <w:tcPr>
            <w:tcW w:type="dxa" w:w="16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An 12</w:t>
            </w:r>
          </w:p>
        </w:tc>
        <w:tc>
          <w:tcPr>
            <w:tcW w:type="dxa" w:w="20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297 382 $</w:t>
            </w:r>
          </w:p>
        </w:tc>
        <w:tc>
          <w:tcPr>
            <w:tcW w:type="dxa" w:w="20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169 092 $</w:t>
            </w:r>
          </w:p>
        </w:tc>
        <w:tc>
          <w:tcPr>
            <w:tcW w:type="dxa" w:w="20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466 474 $</w:t>
            </w:r>
          </w:p>
        </w:tc>
        <w:tc>
          <w:tcPr>
            <w:tcW w:type="dxa" w:w="20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4 155 744 $</w:t>
            </w:r>
          </w:p>
        </w:tc>
      </w:tr>
      <w:tr>
        <w:trPr>
          <w:cantSplit/>
        </w:trPr>
        <w:tc>
          <w:tcPr>
            <w:tcW w:type="dxa" w:w="16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An 13</w:t>
            </w:r>
          </w:p>
        </w:tc>
        <w:tc>
          <w:tcPr>
            <w:tcW w:type="dxa" w:w="20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285 158 $</w:t>
            </w:r>
          </w:p>
        </w:tc>
        <w:tc>
          <w:tcPr>
            <w:tcW w:type="dxa" w:w="20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181 316 $</w:t>
            </w:r>
          </w:p>
        </w:tc>
        <w:tc>
          <w:tcPr>
            <w:tcW w:type="dxa" w:w="20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466 474 $</w:t>
            </w:r>
          </w:p>
        </w:tc>
        <w:tc>
          <w:tcPr>
            <w:tcW w:type="dxa" w:w="20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3 974 428 $</w:t>
            </w:r>
          </w:p>
        </w:tc>
      </w:tr>
      <w:tr>
        <w:trPr>
          <w:cantSplit/>
        </w:trPr>
        <w:tc>
          <w:tcPr>
            <w:tcW w:type="dxa" w:w="16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An 14</w:t>
            </w:r>
          </w:p>
        </w:tc>
        <w:tc>
          <w:tcPr>
            <w:tcW w:type="dxa" w:w="20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272 051 $</w:t>
            </w:r>
          </w:p>
        </w:tc>
        <w:tc>
          <w:tcPr>
            <w:tcW w:type="dxa" w:w="20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194 423 $</w:t>
            </w:r>
          </w:p>
        </w:tc>
        <w:tc>
          <w:tcPr>
            <w:tcW w:type="dxa" w:w="20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466 474 $</w:t>
            </w:r>
          </w:p>
        </w:tc>
        <w:tc>
          <w:tcPr>
            <w:tcW w:type="dxa" w:w="20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3 780 005 $</w:t>
            </w:r>
          </w:p>
        </w:tc>
      </w:tr>
      <w:tr>
        <w:trPr>
          <w:cantSplit/>
        </w:trPr>
        <w:tc>
          <w:tcPr>
            <w:tcW w:type="dxa" w:w="16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An 15</w:t>
            </w:r>
          </w:p>
        </w:tc>
        <w:tc>
          <w:tcPr>
            <w:tcW w:type="dxa" w:w="20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257 996 $</w:t>
            </w:r>
          </w:p>
        </w:tc>
        <w:tc>
          <w:tcPr>
            <w:tcW w:type="dxa" w:w="20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208 478 $</w:t>
            </w:r>
          </w:p>
        </w:tc>
        <w:tc>
          <w:tcPr>
            <w:tcW w:type="dxa" w:w="20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466 474 $</w:t>
            </w:r>
          </w:p>
        </w:tc>
        <w:tc>
          <w:tcPr>
            <w:tcW w:type="dxa" w:w="20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3 571 527 $</w:t>
            </w:r>
          </w:p>
        </w:tc>
      </w:tr>
      <w:tr>
        <w:trPr>
          <w:cantSplit/>
        </w:trPr>
        <w:tc>
          <w:tcPr>
            <w:tcW w:type="dxa" w:w="16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An 16</w:t>
            </w:r>
          </w:p>
        </w:tc>
        <w:tc>
          <w:tcPr>
            <w:tcW w:type="dxa" w:w="20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242 925 $</w:t>
            </w:r>
          </w:p>
        </w:tc>
        <w:tc>
          <w:tcPr>
            <w:tcW w:type="dxa" w:w="20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223 549 $</w:t>
            </w:r>
          </w:p>
        </w:tc>
        <w:tc>
          <w:tcPr>
            <w:tcW w:type="dxa" w:w="20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466 474 $</w:t>
            </w:r>
          </w:p>
        </w:tc>
        <w:tc>
          <w:tcPr>
            <w:tcW w:type="dxa" w:w="20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3 347 977 $</w:t>
            </w:r>
          </w:p>
        </w:tc>
      </w:tr>
      <w:tr>
        <w:trPr>
          <w:cantSplit/>
        </w:trPr>
        <w:tc>
          <w:tcPr>
            <w:tcW w:type="dxa" w:w="16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An 17</w:t>
            </w:r>
          </w:p>
        </w:tc>
        <w:tc>
          <w:tcPr>
            <w:tcW w:type="dxa" w:w="20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226 765 $</w:t>
            </w:r>
          </w:p>
        </w:tc>
        <w:tc>
          <w:tcPr>
            <w:tcW w:type="dxa" w:w="20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239 710 $</w:t>
            </w:r>
          </w:p>
        </w:tc>
        <w:tc>
          <w:tcPr>
            <w:tcW w:type="dxa" w:w="20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466 474 $</w:t>
            </w:r>
          </w:p>
        </w:tc>
        <w:tc>
          <w:tcPr>
            <w:tcW w:type="dxa" w:w="20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3 108 268 $</w:t>
            </w:r>
          </w:p>
        </w:tc>
      </w:tr>
      <w:tr>
        <w:trPr>
          <w:cantSplit/>
        </w:trPr>
        <w:tc>
          <w:tcPr>
            <w:tcW w:type="dxa" w:w="16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An 18</w:t>
            </w:r>
          </w:p>
        </w:tc>
        <w:tc>
          <w:tcPr>
            <w:tcW w:type="dxa" w:w="20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209 436 $</w:t>
            </w:r>
          </w:p>
        </w:tc>
        <w:tc>
          <w:tcPr>
            <w:tcW w:type="dxa" w:w="20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257 038 $</w:t>
            </w:r>
          </w:p>
        </w:tc>
        <w:tc>
          <w:tcPr>
            <w:tcW w:type="dxa" w:w="20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466 474 $</w:t>
            </w:r>
          </w:p>
        </w:tc>
        <w:tc>
          <w:tcPr>
            <w:tcW w:type="dxa" w:w="20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2 851 229 $</w:t>
            </w:r>
          </w:p>
        </w:tc>
      </w:tr>
      <w:tr>
        <w:trPr>
          <w:cantSplit/>
        </w:trPr>
        <w:tc>
          <w:tcPr>
            <w:tcW w:type="dxa" w:w="16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An 19</w:t>
            </w:r>
          </w:p>
        </w:tc>
        <w:tc>
          <w:tcPr>
            <w:tcW w:type="dxa" w:w="20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190 855 $</w:t>
            </w:r>
          </w:p>
        </w:tc>
        <w:tc>
          <w:tcPr>
            <w:tcW w:type="dxa" w:w="20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275 620 $</w:t>
            </w:r>
          </w:p>
        </w:tc>
        <w:tc>
          <w:tcPr>
            <w:tcW w:type="dxa" w:w="20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466 474 $</w:t>
            </w:r>
          </w:p>
        </w:tc>
        <w:tc>
          <w:tcPr>
            <w:tcW w:type="dxa" w:w="20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2 575 610 $</w:t>
            </w:r>
          </w:p>
        </w:tc>
      </w:tr>
      <w:tr>
        <w:trPr>
          <w:cantSplit/>
        </w:trPr>
        <w:tc>
          <w:tcPr>
            <w:tcW w:type="dxa" w:w="16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An 20</w:t>
            </w:r>
          </w:p>
        </w:tc>
        <w:tc>
          <w:tcPr>
            <w:tcW w:type="dxa" w:w="20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170 930 $</w:t>
            </w:r>
          </w:p>
        </w:tc>
        <w:tc>
          <w:tcPr>
            <w:tcW w:type="dxa" w:w="20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295 544 $</w:t>
            </w:r>
          </w:p>
        </w:tc>
        <w:tc>
          <w:tcPr>
            <w:tcW w:type="dxa" w:w="20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466 474 $</w:t>
            </w:r>
          </w:p>
        </w:tc>
        <w:tc>
          <w:tcPr>
            <w:tcW w:type="dxa" w:w="20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2 280 066 $</w:t>
            </w:r>
          </w:p>
        </w:tc>
      </w:tr>
      <w:tr>
        <w:trPr>
          <w:cantSplit/>
        </w:trPr>
        <w:tc>
          <w:tcPr>
            <w:tcW w:type="dxa" w:w="16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An 21</w:t>
            </w:r>
          </w:p>
        </w:tc>
        <w:tc>
          <w:tcPr>
            <w:tcW w:type="dxa" w:w="20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149 565 $</w:t>
            </w:r>
          </w:p>
        </w:tc>
        <w:tc>
          <w:tcPr>
            <w:tcW w:type="dxa" w:w="20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316 909 $</w:t>
            </w:r>
          </w:p>
        </w:tc>
        <w:tc>
          <w:tcPr>
            <w:tcW w:type="dxa" w:w="20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466 474 $</w:t>
            </w:r>
          </w:p>
        </w:tc>
        <w:tc>
          <w:tcPr>
            <w:tcW w:type="dxa" w:w="20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1 963 157 $</w:t>
            </w:r>
          </w:p>
        </w:tc>
      </w:tr>
      <w:tr>
        <w:trPr>
          <w:cantSplit/>
        </w:trPr>
        <w:tc>
          <w:tcPr>
            <w:tcW w:type="dxa" w:w="16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An 22</w:t>
            </w:r>
          </w:p>
        </w:tc>
        <w:tc>
          <w:tcPr>
            <w:tcW w:type="dxa" w:w="20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126 656 $</w:t>
            </w:r>
          </w:p>
        </w:tc>
        <w:tc>
          <w:tcPr>
            <w:tcW w:type="dxa" w:w="20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339 818 $</w:t>
            </w:r>
          </w:p>
        </w:tc>
        <w:tc>
          <w:tcPr>
            <w:tcW w:type="dxa" w:w="20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466 474 $</w:t>
            </w:r>
          </w:p>
        </w:tc>
        <w:tc>
          <w:tcPr>
            <w:tcW w:type="dxa" w:w="20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1 623 338 $</w:t>
            </w:r>
          </w:p>
        </w:tc>
      </w:tr>
      <w:tr>
        <w:trPr>
          <w:cantSplit/>
        </w:trPr>
        <w:tc>
          <w:tcPr>
            <w:tcW w:type="dxa" w:w="16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An 23</w:t>
            </w:r>
          </w:p>
        </w:tc>
        <w:tc>
          <w:tcPr>
            <w:tcW w:type="dxa" w:w="20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102 090 $</w:t>
            </w:r>
          </w:p>
        </w:tc>
        <w:tc>
          <w:tcPr>
            <w:tcW w:type="dxa" w:w="20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364 384 $</w:t>
            </w:r>
          </w:p>
        </w:tc>
        <w:tc>
          <w:tcPr>
            <w:tcW w:type="dxa" w:w="20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466 474 $</w:t>
            </w:r>
          </w:p>
        </w:tc>
        <w:tc>
          <w:tcPr>
            <w:tcW w:type="dxa" w:w="20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1 258 954 $</w:t>
            </w:r>
          </w:p>
        </w:tc>
      </w:tr>
      <w:tr>
        <w:trPr>
          <w:cantSplit/>
        </w:trPr>
        <w:tc>
          <w:tcPr>
            <w:tcW w:type="dxa" w:w="16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An 24</w:t>
            </w:r>
          </w:p>
        </w:tc>
        <w:tc>
          <w:tcPr>
            <w:tcW w:type="dxa" w:w="20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75 749 $</w:t>
            </w:r>
          </w:p>
        </w:tc>
        <w:tc>
          <w:tcPr>
            <w:tcW w:type="dxa" w:w="20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390 725 $</w:t>
            </w:r>
          </w:p>
        </w:tc>
        <w:tc>
          <w:tcPr>
            <w:tcW w:type="dxa" w:w="20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466 474 $</w:t>
            </w:r>
          </w:p>
        </w:tc>
        <w:tc>
          <w:tcPr>
            <w:tcW w:type="dxa" w:w="20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868 229 $</w:t>
            </w:r>
          </w:p>
        </w:tc>
      </w:tr>
      <w:tr>
        <w:trPr>
          <w:cantSplit/>
        </w:trPr>
        <w:tc>
          <w:tcPr>
            <w:tcW w:type="dxa" w:w="1600"/>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An 25</w:t>
            </w:r>
          </w:p>
        </w:tc>
        <w:tc>
          <w:tcPr>
            <w:tcW w:type="dxa" w:w="20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47 503 $</w:t>
            </w:r>
          </w:p>
        </w:tc>
        <w:tc>
          <w:tcPr>
            <w:tcW w:type="dxa" w:w="20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418 971 $</w:t>
            </w:r>
          </w:p>
        </w:tc>
        <w:tc>
          <w:tcPr>
            <w:tcW w:type="dxa" w:w="200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466 474 $</w:t>
            </w:r>
          </w:p>
        </w:tc>
        <w:tc>
          <w:tcPr>
            <w:tcW w:type="dxa" w:w="2048"/>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449 258 $</w:t>
            </w:r>
          </w:p>
        </w:tc>
      </w:tr>
      <w:tr>
        <w:trPr>
          <w:cantSplit/>
        </w:trPr>
        <w:tc>
          <w:tcPr>
            <w:tcW w:type="dxa" w:w="1600"/>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5"/>
                <w:szCs w:val="15"/>
              </w:rPr>
              <w:t xml:space="preserve">An 26</w:t>
            </w:r>
          </w:p>
        </w:tc>
        <w:tc>
          <w:tcPr>
            <w:tcW w:type="dxa" w:w="20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17 216 $</w:t>
            </w:r>
          </w:p>
        </w:tc>
        <w:tc>
          <w:tcPr>
            <w:tcW w:type="dxa" w:w="20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449 258 $</w:t>
            </w:r>
          </w:p>
        </w:tc>
        <w:tc>
          <w:tcPr>
            <w:tcW w:type="dxa" w:w="200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466 474 $</w:t>
            </w:r>
          </w:p>
        </w:tc>
        <w:tc>
          <w:tcPr>
            <w:tcW w:type="dxa" w:w="2048"/>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5"/>
                <w:szCs w:val="15"/>
              </w:rPr>
              <w:t xml:space="preserve">0 $</w:t>
            </w:r>
          </w:p>
        </w:tc>
      </w:tr>
      <w:tr>
        <w:trPr>
          <w:cantSplit/>
        </w:trPr>
        <w:tc>
          <w:tcPr>
            <w:tcW w:type="dxa" w:w="1600"/>
            <w:shd w:fill="CFE3E6"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1E2A2E"/>
                <w:sz w:val="15"/>
                <w:szCs w:val="15"/>
              </w:rPr>
              <w:t xml:space="preserve">Total</w:t>
            </w:r>
          </w:p>
        </w:tc>
        <w:tc>
          <w:tcPr>
            <w:tcW w:type="dxa" w:w="2000"/>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6 499 607 $</w:t>
            </w:r>
          </w:p>
        </w:tc>
        <w:tc>
          <w:tcPr>
            <w:tcW w:type="dxa" w:w="2000"/>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5 500 000 $</w:t>
            </w:r>
          </w:p>
        </w:tc>
        <w:tc>
          <w:tcPr>
            <w:tcW w:type="dxa" w:w="2000"/>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11 999 607 $</w:t>
            </w:r>
          </w:p>
        </w:tc>
        <w:tc>
          <w:tcPr>
            <w:tcW w:type="dxa" w:w="2048"/>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5"/>
                <w:szCs w:val="15"/>
              </w:rPr>
              <w:t xml:space="preserve">—</w:t>
            </w:r>
          </w:p>
        </w:tc>
      </w:tr>
    </w:tbl>
    <w:p>
      <w:r>
        <w:br w:type="page"/>
      </w:r>
    </w:p>
    <w:p>
      <w:pPr>
        <w:pStyle w:val="Heading2"/>
        <w:keepNext/>
        <w:spacing w:after="120" w:before="300"/>
      </w:pPr>
      <w:r>
        <w:rPr>
          <w:rFonts w:ascii="Calibri" w:cs="Calibri" w:eastAsia="Calibri" w:hAnsi="Calibri"/>
          <w:b/>
          <w:bCs/>
          <w:color w:val="0C4A5E"/>
          <w:sz w:val="27"/>
          <w:szCs w:val="27"/>
        </w:rPr>
        <w:t xml:space="preserve">Annexe K – Cédule de DPA par catégorie fiscale</w:t>
      </w:r>
    </w:p>
    <w:p>
      <w:pPr>
        <w:spacing w:after="120" w:before="0" w:line="276"/>
        <w:jc w:val="left"/>
      </w:pPr>
      <w:r>
        <w:rPr>
          <w:rFonts w:ascii="Calibri" w:cs="Calibri" w:eastAsia="Calibri" w:hAnsi="Calibri"/>
          <w:i/>
          <w:iCs/>
          <w:color w:val="6F8A90"/>
          <w:sz w:val="18"/>
          <w:szCs w:val="18"/>
        </w:rPr>
        <w:t xml:space="preserve">Investissement capitalisé (travaux, contingence et honoraires au prorata) et frais de financement, solde dégressif avec règle de demi-année.</w:t>
      </w:r>
    </w:p>
    <w:tbl>
      <w:tblPr>
        <w:tblW w:type="dxa" w:w="9648"/>
        <w:tblBorders>
          <w:top w:val="none" w:color="FFFFFF" w:sz="0"/>
          <w:left w:val="none" w:color="FFFFFF" w:sz="0"/>
          <w:bottom w:val="single" w:color="0C4A5E" w:sz="8"/>
          <w:right w:val="none" w:color="FFFFFF" w:sz="0"/>
          <w:insideH w:val="single" w:color="CFE3E6" w:sz="4"/>
          <w:insideV w:val="none" w:color="FFFFFF" w:sz="0"/>
        </w:tblBorders>
      </w:tblPr>
      <w:tblGrid>
        <w:gridCol w:w="2448"/>
        <w:gridCol w:w="650"/>
        <w:gridCol w:w="1250"/>
        <w:gridCol w:w="1060"/>
        <w:gridCol w:w="1060"/>
        <w:gridCol w:w="1060"/>
        <w:gridCol w:w="1060"/>
        <w:gridCol w:w="1060"/>
      </w:tblGrid>
      <w:tr>
        <w:trPr>
          <w:tblHeader/>
        </w:trPr>
        <w:tc>
          <w:tcPr>
            <w:tcW w:type="dxa" w:w="2448"/>
            <w:shd w:fill="0C4A5E"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FFFFFF"/>
                <w:sz w:val="14"/>
                <w:szCs w:val="14"/>
              </w:rPr>
              <w:t xml:space="preserve">Catégorie</w:t>
            </w:r>
          </w:p>
        </w:tc>
        <w:tc>
          <w:tcPr>
            <w:tcW w:type="dxa" w:w="65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4"/>
                <w:szCs w:val="14"/>
              </w:rPr>
              <w:t xml:space="preserve">Taux</w:t>
            </w:r>
          </w:p>
        </w:tc>
        <w:tc>
          <w:tcPr>
            <w:tcW w:type="dxa" w:w="125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4"/>
                <w:szCs w:val="14"/>
              </w:rPr>
              <w:t xml:space="preserve">Base</w:t>
            </w:r>
          </w:p>
        </w:tc>
        <w:tc>
          <w:tcPr>
            <w:tcW w:type="dxa" w:w="106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4"/>
                <w:szCs w:val="14"/>
              </w:rPr>
              <w:t xml:space="preserve">DPA 2027</w:t>
            </w:r>
          </w:p>
        </w:tc>
        <w:tc>
          <w:tcPr>
            <w:tcW w:type="dxa" w:w="106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4"/>
                <w:szCs w:val="14"/>
              </w:rPr>
              <w:t xml:space="preserve">DPA 2028</w:t>
            </w:r>
          </w:p>
        </w:tc>
        <w:tc>
          <w:tcPr>
            <w:tcW w:type="dxa" w:w="106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4"/>
                <w:szCs w:val="14"/>
              </w:rPr>
              <w:t xml:space="preserve">DPA 2029</w:t>
            </w:r>
          </w:p>
        </w:tc>
        <w:tc>
          <w:tcPr>
            <w:tcW w:type="dxa" w:w="106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4"/>
                <w:szCs w:val="14"/>
              </w:rPr>
              <w:t xml:space="preserve">DPA 2030</w:t>
            </w:r>
          </w:p>
        </w:tc>
        <w:tc>
          <w:tcPr>
            <w:tcW w:type="dxa" w:w="1060"/>
            <w:shd w:fill="0C4A5E"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FFFFFF"/>
                <w:sz w:val="14"/>
                <w:szCs w:val="14"/>
              </w:rPr>
              <w:t xml:space="preserve">DPA 2031</w:t>
            </w:r>
          </w:p>
        </w:tc>
      </w:tr>
      <w:tr>
        <w:trPr>
          <w:cantSplit/>
        </w:trPr>
        <w:tc>
          <w:tcPr>
            <w:tcW w:type="dxa" w:w="24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4"/>
                <w:szCs w:val="14"/>
              </w:rPr>
              <w:t xml:space="preserve">Cat. 1 — bâtiments : hôtel, restaurant, villas, chalets</w:t>
            </w:r>
          </w:p>
        </w:tc>
        <w:tc>
          <w:tcPr>
            <w:tcW w:type="dxa" w:w="6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4"/>
                <w:szCs w:val="14"/>
              </w:rPr>
              <w:t xml:space="preserve">4 %</w:t>
            </w:r>
          </w:p>
        </w:tc>
        <w:tc>
          <w:tcPr>
            <w:tcW w:type="dxa" w:w="12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4"/>
                <w:szCs w:val="14"/>
              </w:rPr>
              <w:t xml:space="preserve">2 011 285 $</w:t>
            </w:r>
          </w:p>
        </w:tc>
        <w:tc>
          <w:tcPr>
            <w:tcW w:type="dxa" w:w="10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4"/>
                <w:szCs w:val="14"/>
              </w:rPr>
              <w:t xml:space="preserve">40 226 $</w:t>
            </w:r>
          </w:p>
        </w:tc>
        <w:tc>
          <w:tcPr>
            <w:tcW w:type="dxa" w:w="10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4"/>
                <w:szCs w:val="14"/>
              </w:rPr>
              <w:t xml:space="preserve">78 842 $</w:t>
            </w:r>
          </w:p>
        </w:tc>
        <w:tc>
          <w:tcPr>
            <w:tcW w:type="dxa" w:w="10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4"/>
                <w:szCs w:val="14"/>
              </w:rPr>
              <w:t xml:space="preserve">75 689 $</w:t>
            </w:r>
          </w:p>
        </w:tc>
        <w:tc>
          <w:tcPr>
            <w:tcW w:type="dxa" w:w="10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4"/>
                <w:szCs w:val="14"/>
              </w:rPr>
              <w:t xml:space="preserve">72 661 $</w:t>
            </w:r>
          </w:p>
        </w:tc>
        <w:tc>
          <w:tcPr>
            <w:tcW w:type="dxa" w:w="10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4"/>
                <w:szCs w:val="14"/>
              </w:rPr>
              <w:t xml:space="preserve">69 755 $</w:t>
            </w:r>
          </w:p>
        </w:tc>
      </w:tr>
      <w:tr>
        <w:trPr>
          <w:cantSplit/>
        </w:trPr>
        <w:tc>
          <w:tcPr>
            <w:tcW w:type="dxa" w:w="2448"/>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4"/>
                <w:szCs w:val="14"/>
              </w:rPr>
              <w:t xml:space="preserve">Cat. 8 — équipements : mobilier</w:t>
            </w:r>
          </w:p>
        </w:tc>
        <w:tc>
          <w:tcPr>
            <w:tcW w:type="dxa" w:w="6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4"/>
                <w:szCs w:val="14"/>
              </w:rPr>
              <w:t xml:space="preserve">20 %</w:t>
            </w:r>
          </w:p>
        </w:tc>
        <w:tc>
          <w:tcPr>
            <w:tcW w:type="dxa" w:w="12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4"/>
                <w:szCs w:val="14"/>
              </w:rPr>
              <w:t xml:space="preserve">0 $</w:t>
            </w:r>
          </w:p>
        </w:tc>
        <w:tc>
          <w:tcPr>
            <w:tcW w:type="dxa" w:w="10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4"/>
                <w:szCs w:val="14"/>
              </w:rPr>
              <w:t xml:space="preserve">0 $</w:t>
            </w:r>
          </w:p>
        </w:tc>
        <w:tc>
          <w:tcPr>
            <w:tcW w:type="dxa" w:w="10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4"/>
                <w:szCs w:val="14"/>
              </w:rPr>
              <w:t xml:space="preserve">0 $</w:t>
            </w:r>
          </w:p>
        </w:tc>
        <w:tc>
          <w:tcPr>
            <w:tcW w:type="dxa" w:w="10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4"/>
                <w:szCs w:val="14"/>
              </w:rPr>
              <w:t xml:space="preserve">0 $</w:t>
            </w:r>
          </w:p>
        </w:tc>
        <w:tc>
          <w:tcPr>
            <w:tcW w:type="dxa" w:w="10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4"/>
                <w:szCs w:val="14"/>
              </w:rPr>
              <w:t xml:space="preserve">0 $</w:t>
            </w:r>
          </w:p>
        </w:tc>
        <w:tc>
          <w:tcPr>
            <w:tcW w:type="dxa" w:w="10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4"/>
                <w:szCs w:val="14"/>
              </w:rPr>
              <w:t xml:space="preserve">0 $</w:t>
            </w:r>
          </w:p>
        </w:tc>
      </w:tr>
      <w:tr>
        <w:trPr>
          <w:cantSplit/>
        </w:trPr>
        <w:tc>
          <w:tcPr>
            <w:tcW w:type="dxa" w:w="24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4"/>
                <w:szCs w:val="14"/>
              </w:rPr>
              <w:t xml:space="preserve">Cat. 6 — unités d'hébergement préfabriquées sur structure d'acier (Coolbox)</w:t>
            </w:r>
          </w:p>
        </w:tc>
        <w:tc>
          <w:tcPr>
            <w:tcW w:type="dxa" w:w="6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4"/>
                <w:szCs w:val="14"/>
              </w:rPr>
              <w:t xml:space="preserve">10 %</w:t>
            </w:r>
          </w:p>
        </w:tc>
        <w:tc>
          <w:tcPr>
            <w:tcW w:type="dxa" w:w="12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4"/>
                <w:szCs w:val="14"/>
              </w:rPr>
              <w:t xml:space="preserve">2 368 846 $</w:t>
            </w:r>
          </w:p>
        </w:tc>
        <w:tc>
          <w:tcPr>
            <w:tcW w:type="dxa" w:w="10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4"/>
                <w:szCs w:val="14"/>
              </w:rPr>
              <w:t xml:space="preserve">118 442 $</w:t>
            </w:r>
          </w:p>
        </w:tc>
        <w:tc>
          <w:tcPr>
            <w:tcW w:type="dxa" w:w="10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4"/>
                <w:szCs w:val="14"/>
              </w:rPr>
              <w:t xml:space="preserve">225 040 $</w:t>
            </w:r>
          </w:p>
        </w:tc>
        <w:tc>
          <w:tcPr>
            <w:tcW w:type="dxa" w:w="10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4"/>
                <w:szCs w:val="14"/>
              </w:rPr>
              <w:t xml:space="preserve">202 536 $</w:t>
            </w:r>
          </w:p>
        </w:tc>
        <w:tc>
          <w:tcPr>
            <w:tcW w:type="dxa" w:w="10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4"/>
                <w:szCs w:val="14"/>
              </w:rPr>
              <w:t xml:space="preserve">182 283 $</w:t>
            </w:r>
          </w:p>
        </w:tc>
        <w:tc>
          <w:tcPr>
            <w:tcW w:type="dxa" w:w="10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4"/>
                <w:szCs w:val="14"/>
              </w:rPr>
              <w:t xml:space="preserve">164 054 $</w:t>
            </w:r>
          </w:p>
        </w:tc>
      </w:tr>
      <w:tr>
        <w:trPr>
          <w:cantSplit/>
        </w:trPr>
        <w:tc>
          <w:tcPr>
            <w:tcW w:type="dxa" w:w="2448"/>
            <w:shd w:fill="F5F2EA"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4"/>
                <w:szCs w:val="14"/>
              </w:rPr>
              <w:t xml:space="preserve">Cat. 17 — aménagements de surface : conversion de terrains saisonniers</w:t>
            </w:r>
          </w:p>
        </w:tc>
        <w:tc>
          <w:tcPr>
            <w:tcW w:type="dxa" w:w="6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4"/>
                <w:szCs w:val="14"/>
              </w:rPr>
              <w:t xml:space="preserve">8 %</w:t>
            </w:r>
          </w:p>
        </w:tc>
        <w:tc>
          <w:tcPr>
            <w:tcW w:type="dxa" w:w="125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4"/>
                <w:szCs w:val="14"/>
              </w:rPr>
              <w:t xml:space="preserve">55 869 $</w:t>
            </w:r>
          </w:p>
        </w:tc>
        <w:tc>
          <w:tcPr>
            <w:tcW w:type="dxa" w:w="10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4"/>
                <w:szCs w:val="14"/>
              </w:rPr>
              <w:t xml:space="preserve">2 235 $</w:t>
            </w:r>
          </w:p>
        </w:tc>
        <w:tc>
          <w:tcPr>
            <w:tcW w:type="dxa" w:w="10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4"/>
                <w:szCs w:val="14"/>
              </w:rPr>
              <w:t xml:space="preserve">4 291 $</w:t>
            </w:r>
          </w:p>
        </w:tc>
        <w:tc>
          <w:tcPr>
            <w:tcW w:type="dxa" w:w="10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4"/>
                <w:szCs w:val="14"/>
              </w:rPr>
              <w:t xml:space="preserve">3 947 $</w:t>
            </w:r>
          </w:p>
        </w:tc>
        <w:tc>
          <w:tcPr>
            <w:tcW w:type="dxa" w:w="10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4"/>
                <w:szCs w:val="14"/>
              </w:rPr>
              <w:t xml:space="preserve">3 632 $</w:t>
            </w:r>
          </w:p>
        </w:tc>
        <w:tc>
          <w:tcPr>
            <w:tcW w:type="dxa" w:w="1060"/>
            <w:shd w:fill="F5F2EA"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4"/>
                <w:szCs w:val="14"/>
              </w:rPr>
              <w:t xml:space="preserve">3 341 $</w:t>
            </w:r>
          </w:p>
        </w:tc>
      </w:tr>
      <w:tr>
        <w:trPr>
          <w:cantSplit/>
        </w:trPr>
        <w:tc>
          <w:tcPr>
            <w:tcW w:type="dxa" w:w="2448"/>
            <w:shd w:fill="FFFFFF"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val="false"/>
                <w:bCs w:val="false"/>
                <w:color w:val="1E2A2E"/>
                <w:sz w:val="14"/>
                <w:szCs w:val="14"/>
              </w:rPr>
              <w:t xml:space="preserve">Frais de financement (déductibles sur 5 ans)</w:t>
            </w:r>
          </w:p>
        </w:tc>
        <w:tc>
          <w:tcPr>
            <w:tcW w:type="dxa" w:w="6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4"/>
                <w:szCs w:val="14"/>
              </w:rPr>
              <w:t xml:space="preserve">20 %</w:t>
            </w:r>
          </w:p>
        </w:tc>
        <w:tc>
          <w:tcPr>
            <w:tcW w:type="dxa" w:w="125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4"/>
                <w:szCs w:val="14"/>
              </w:rPr>
              <w:t xml:space="preserve">125 000 $</w:t>
            </w:r>
          </w:p>
        </w:tc>
        <w:tc>
          <w:tcPr>
            <w:tcW w:type="dxa" w:w="10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4"/>
                <w:szCs w:val="14"/>
              </w:rPr>
              <w:t xml:space="preserve">25 000 $</w:t>
            </w:r>
          </w:p>
        </w:tc>
        <w:tc>
          <w:tcPr>
            <w:tcW w:type="dxa" w:w="10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4"/>
                <w:szCs w:val="14"/>
              </w:rPr>
              <w:t xml:space="preserve">25 000 $</w:t>
            </w:r>
          </w:p>
        </w:tc>
        <w:tc>
          <w:tcPr>
            <w:tcW w:type="dxa" w:w="10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4"/>
                <w:szCs w:val="14"/>
              </w:rPr>
              <w:t xml:space="preserve">25 000 $</w:t>
            </w:r>
          </w:p>
        </w:tc>
        <w:tc>
          <w:tcPr>
            <w:tcW w:type="dxa" w:w="10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4"/>
                <w:szCs w:val="14"/>
              </w:rPr>
              <w:t xml:space="preserve">25 000 $</w:t>
            </w:r>
          </w:p>
        </w:tc>
        <w:tc>
          <w:tcPr>
            <w:tcW w:type="dxa" w:w="1060"/>
            <w:shd w:fill="FFFFFF"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val="false"/>
                <w:bCs w:val="false"/>
                <w:color w:val="1E2A2E"/>
                <w:sz w:val="14"/>
                <w:szCs w:val="14"/>
              </w:rPr>
              <w:t xml:space="preserve">25 000 $</w:t>
            </w:r>
          </w:p>
        </w:tc>
      </w:tr>
      <w:tr>
        <w:trPr>
          <w:cantSplit/>
        </w:trPr>
        <w:tc>
          <w:tcPr>
            <w:tcW w:type="dxa" w:w="2448"/>
            <w:shd w:fill="CFE3E6" w:color="auto" w:val="clear"/>
            <w:tcMar>
              <w:top w:type="dxa" w:w="40"/>
              <w:left w:type="dxa" w:w="70"/>
              <w:bottom w:type="dxa" w:w="40"/>
              <w:right w:type="dxa" w:w="70"/>
            </w:tcMar>
            <w:vAlign w:val="center"/>
          </w:tcPr>
          <w:p>
            <w:pPr>
              <w:spacing w:after="40" w:before="40" w:line="240"/>
              <w:jc w:val="left"/>
            </w:pPr>
            <w:r>
              <w:rPr>
                <w:rFonts w:ascii="Calibri" w:cs="Calibri" w:eastAsia="Calibri" w:hAnsi="Calibri"/>
                <w:b/>
                <w:bCs/>
                <w:color w:val="1E2A2E"/>
                <w:sz w:val="14"/>
                <w:szCs w:val="14"/>
              </w:rPr>
              <w:t xml:space="preserve">Total de la DPA</w:t>
            </w:r>
          </w:p>
        </w:tc>
        <w:tc>
          <w:tcPr>
            <w:tcW w:type="dxa" w:w="650"/>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4"/>
                <w:szCs w:val="14"/>
              </w:rPr>
              <w:t xml:space="preserve"/>
            </w:r>
          </w:p>
        </w:tc>
        <w:tc>
          <w:tcPr>
            <w:tcW w:type="dxa" w:w="1250"/>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4"/>
                <w:szCs w:val="14"/>
              </w:rPr>
              <w:t xml:space="preserve">4 561 000 $</w:t>
            </w:r>
          </w:p>
        </w:tc>
        <w:tc>
          <w:tcPr>
            <w:tcW w:type="dxa" w:w="1060"/>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4"/>
                <w:szCs w:val="14"/>
              </w:rPr>
              <w:t xml:space="preserve">185 903 $</w:t>
            </w:r>
          </w:p>
        </w:tc>
        <w:tc>
          <w:tcPr>
            <w:tcW w:type="dxa" w:w="1060"/>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4"/>
                <w:szCs w:val="14"/>
              </w:rPr>
              <w:t xml:space="preserve">333 174 $</w:t>
            </w:r>
          </w:p>
        </w:tc>
        <w:tc>
          <w:tcPr>
            <w:tcW w:type="dxa" w:w="1060"/>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4"/>
                <w:szCs w:val="14"/>
              </w:rPr>
              <w:t xml:space="preserve">307 173 $</w:t>
            </w:r>
          </w:p>
        </w:tc>
        <w:tc>
          <w:tcPr>
            <w:tcW w:type="dxa" w:w="1060"/>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4"/>
                <w:szCs w:val="14"/>
              </w:rPr>
              <w:t xml:space="preserve">283 576 $</w:t>
            </w:r>
          </w:p>
        </w:tc>
        <w:tc>
          <w:tcPr>
            <w:tcW w:type="dxa" w:w="1060"/>
            <w:shd w:fill="CFE3E6" w:color="auto" w:val="clear"/>
            <w:tcMar>
              <w:top w:type="dxa" w:w="40"/>
              <w:left w:type="dxa" w:w="70"/>
              <w:bottom w:type="dxa" w:w="40"/>
              <w:right w:type="dxa" w:w="70"/>
            </w:tcMar>
            <w:vAlign w:val="center"/>
          </w:tcPr>
          <w:p>
            <w:pPr>
              <w:spacing w:after="40" w:before="40" w:line="240"/>
              <w:jc w:val="right"/>
            </w:pPr>
            <w:r>
              <w:rPr>
                <w:rFonts w:ascii="Calibri" w:cs="Calibri" w:eastAsia="Calibri" w:hAnsi="Calibri"/>
                <w:b/>
                <w:bCs/>
                <w:color w:val="1E2A2E"/>
                <w:sz w:val="14"/>
                <w:szCs w:val="14"/>
              </w:rPr>
              <w:t xml:space="preserve">262 150 $</w:t>
            </w:r>
          </w:p>
        </w:tc>
      </w:tr>
    </w:tbl>
    <w:p>
      <w:pPr>
        <w:sectPr>
          <w:headerReference w:type="default" r:id="rId7"/>
          <w:headerReference w:type="first" r:id="rId8"/>
          <w:footerReference w:type="default" r:id="rId9"/>
          <w:footerReference w:type="first" r:id="rId10"/>
          <w:pgSz w:w="12240" w:h="15840" w:orient="portrait"/>
          <w:pgMar w:top="1200" w:right="1296" w:bottom="1100" w:left="1296" w:header="560" w:footer="560" w:gutter="0"/>
          <w:pgNumType/>
          <w:titlePg/>
          <w:docGrid w:linePitch="360"/>
        </w:sectPr>
      </w:pPr>
    </w:p>
    <w:p>
      <w:pPr>
        <w:spacing w:after="0" w:before="0" w:line="20" w:lineRule="exact"/>
      </w:pPr>
      <w:r>
        <w:drawing>
          <wp:anchor distT="0" distB="0" distL="0" distR="0" simplePos="0" allowOverlap="1" behindDoc="1" locked="1" layoutInCell="0" relativeHeight="10058400">
            <wp:simplePos x="0" y="0"/>
            <wp:positionH relativeFrom="page">
              <wp:posOffset>0</wp:posOffset>
            </wp:positionH>
            <wp:positionV relativeFrom="page">
              <wp:posOffset>0</wp:posOffset>
            </wp:positionV>
            <wp:extent cx="7772400" cy="100584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7772400" cy="10058400"/>
                    </a:xfrm>
                    <a:prstGeom prst="rect">
                      <a:avLst/>
                    </a:prstGeom>
                  </pic:spPr>
                </pic:pic>
              </a:graphicData>
            </a:graphic>
          </wp:anchor>
        </w:drawing>
      </w:r>
    </w:p>
    <w:p>
      <w:pPr>
        <w:spacing w:after="0" w:before="0" w:line="5200" w:lineRule="exact"/>
      </w:pPr>
    </w:p>
    <w:p>
      <w:pPr>
        <w:spacing w:after="0"/>
        <w:jc w:val="center"/>
      </w:pPr>
      <w:r>
        <w:rPr>
          <w:rFonts w:ascii="Calibri" w:cs="Calibri" w:eastAsia="Calibri" w:hAnsi="Calibri"/>
          <w:b/>
          <w:bCs/>
          <w:color w:val="FFFFFF"/>
          <w:sz w:val="40"/>
          <w:szCs w:val="40"/>
        </w:rPr>
        <w:t xml:space="preserve">COMPLEXE HAVANA</w:t>
      </w:r>
    </w:p>
    <w:p>
      <w:pPr>
        <w:spacing w:after="0" w:before="80"/>
        <w:jc w:val="center"/>
      </w:pPr>
      <w:r>
        <w:rPr>
          <w:rFonts w:ascii="Georgia" w:cs="Georgia" w:eastAsia="Georgia" w:hAnsi="Georgia"/>
          <w:i/>
          <w:iCs/>
          <w:color w:val="F4B942"/>
          <w:sz w:val="24"/>
          <w:szCs w:val="24"/>
        </w:rPr>
        <w:t xml:space="preserve">Un petit bout de Cuba, douze mois par année</w:t>
      </w:r>
    </w:p>
    <w:p>
      <w:pPr>
        <w:spacing w:after="0" w:before="600"/>
        <w:jc w:val="center"/>
      </w:pPr>
      <w:r>
        <w:rPr>
          <w:rFonts w:ascii="Calibri" w:cs="Calibri" w:eastAsia="Calibri" w:hAnsi="Calibri"/>
          <w:color w:val="D9F1F3"/>
          <w:sz w:val="20"/>
          <w:szCs w:val="20"/>
        </w:rPr>
        <w:t xml:space="preserve">631, 7e Rang, Maricourt (Québec)  J0E 2L2</w:t>
      </w:r>
    </w:p>
    <w:p>
      <w:pPr>
        <w:spacing w:after="0" w:before="60"/>
        <w:jc w:val="center"/>
      </w:pPr>
      <w:r>
        <w:rPr>
          <w:rFonts w:ascii="Calibri" w:cs="Calibri" w:eastAsia="Calibri" w:hAnsi="Calibri"/>
          <w:color w:val="D9F1F3"/>
          <w:sz w:val="20"/>
          <w:szCs w:val="20"/>
        </w:rPr>
        <w:t xml:space="preserve">514 774-7979   ·   havanaresort.ca</w:t>
      </w:r>
    </w:p>
    <w:p>
      <w:pPr>
        <w:spacing w:after="0" w:before="600"/>
        <w:jc w:val="center"/>
      </w:pPr>
      <w:r>
        <w:rPr>
          <w:rFonts w:ascii="Calibri" w:cs="Calibri" w:eastAsia="Calibri" w:hAnsi="Calibri"/>
          <w:color w:val="A8D8DC"/>
          <w:sz w:val="17"/>
          <w:szCs w:val="17"/>
        </w:rPr>
        <w:t xml:space="preserve">Plan d'affaires 2027 – 2031, version 2   ·   Document confidentiel</w:t>
      </w:r>
    </w:p>
    <w:sectPr>
      <w:headerReference w:type="default" r:id="rId11"/>
      <w:footerReference w:type="default" r:id="rId12"/>
      <w:pgSz w:w="12240" w:h="15840" w:orient="portrait"/>
      <w:pgMar w:top="1200" w:right="1296" w:bottom="1100" w:left="1296"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48"/>
      </w:tabs>
    </w:pPr>
    <w:r>
      <w:rPr>
        <w:rFonts w:ascii="Calibri" w:cs="Calibri" w:eastAsia="Calibri" w:hAnsi="Calibri"/>
        <w:color w:val="6F8A90"/>
        <w:sz w:val="16"/>
        <w:szCs w:val="16"/>
      </w:rPr>
      <w:t xml:space="preserve">Confidentiel</w:t>
    </w:r>
    <w:r>
      <w:rPr>
        <w:rFonts w:ascii="Calibri" w:cs="Calibri" w:eastAsia="Calibri" w:hAnsi="Calibri"/>
        <w:color w:val="6F8A90"/>
        <w:sz w:val="16"/>
        <w:szCs w:val="16"/>
      </w:rPr>
      <w:t xml:space="preserve">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E3E6" w:sz="4" w:space="4"/>
      </w:pBdr>
      <w:tabs>
        <w:tab w:val="right" w:pos="9648"/>
      </w:tabs>
    </w:pPr>
    <w:r>
      <w:rPr>
        <w:rFonts w:ascii="Calibri" w:cs="Calibri" w:eastAsia="Calibri" w:hAnsi="Calibri"/>
        <w:b/>
        <w:bCs/>
        <w:color w:val="0C4A5E"/>
        <w:sz w:val="17"/>
        <w:szCs w:val="17"/>
      </w:rPr>
      <w:t xml:space="preserve">Complexe Havana</w:t>
    </w:r>
    <w:r>
      <w:rPr>
        <w:rFonts w:ascii="Calibri" w:cs="Calibri" w:eastAsia="Calibri" w:hAnsi="Calibri"/>
        <w:color w:val="6F8A90"/>
        <w:sz w:val="17"/>
        <w:szCs w:val="17"/>
      </w:rPr>
      <w:t xml:space="preserve">	Plan d'affaires 2027 – 2031 · v2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BB5BF"/>
      </w:rPr>
    </w:lvl>
  </w:abstractNum>
  <w:abstractNum w:abstractNumId="3" w15:restartNumberingAfterBreak="0">
    <w:multiLevelType w:val="hybridMultilevel"/>
    <w:lvl w:ilvl="0" w15:tentative="1">
      <w:start w:val="1"/>
      <w:numFmt w:val="decimal"/>
      <w:lvlText w:val="%1."/>
      <w:lvlJc w:val="left"/>
      <w:pPr>
        <w:ind w:left="460" w:hanging="300"/>
      </w:pPr>
      <w:rPr>
        <w:b/>
        <w:bCs/>
        <w:color w:val="0C4A5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Calibri" w:cs="Calibri" w:eastAsia="Calibri" w:hAnsi="Calibri"/>
      <w:b/>
      <w:bCs/>
      <w:color w:val="0C4A5E"/>
      <w:sz w:val="40"/>
      <w:szCs w:val="40"/>
    </w:rPr>
  </w:style>
  <w:style w:type="paragraph" w:styleId="Heading2">
    <w:name w:val="Heading 2"/>
    <w:basedOn w:val="Normal"/>
    <w:next w:val="Normal"/>
    <w:qFormat/>
    <w:pPr>
      <w:spacing w:after="120" w:before="300"/>
      <w:outlineLvl w:val="1"/>
    </w:pPr>
    <w:rPr>
      <w:rFonts w:ascii="Calibri" w:cs="Calibri" w:eastAsia="Calibri" w:hAnsi="Calibri"/>
      <w:b/>
      <w:bCs/>
      <w:color w:val="0C4A5E"/>
      <w:sz w:val="27"/>
      <w:szCs w:val="27"/>
    </w:rPr>
  </w:style>
  <w:style w:type="paragraph" w:styleId="Heading3">
    <w:name w:val="Heading 3"/>
    <w:basedOn w:val="Normal"/>
    <w:next w:val="Normal"/>
    <w:qFormat/>
    <w:pPr>
      <w:spacing w:after="80" w:before="200"/>
      <w:outlineLvl w:val="2"/>
    </w:pPr>
    <w:rPr>
      <w:rFonts w:ascii="Calibri" w:cs="Calibri" w:eastAsia="Calibri" w:hAnsi="Calibri"/>
      <w:b/>
      <w:bCs/>
      <w:color w:val="2BB5B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1ef3e98190745d321cbbf7b942ae9666a86b8db8.jpg"/><Relationship Id="rId14" Type="http://schemas.openxmlformats.org/officeDocument/2006/relationships/image" Target="media/252b1f60f8edb87ed577616c38ba1ab4e46c36f7.jpg"/><Relationship Id="rId15" Type="http://schemas.openxmlformats.org/officeDocument/2006/relationships/image" Target="media/e82bcdeeeed82a44c5b860c965cecbe23b903a23.jpg"/><Relationship Id="rId16" Type="http://schemas.openxmlformats.org/officeDocument/2006/relationships/image" Target="media/d2805219107fb91264ce9212b9c3693f06df5a07.jpg"/><Relationship Id="rId17" Type="http://schemas.openxmlformats.org/officeDocument/2006/relationships/image" Target="media/93881b4177052683d60c852e888cdd4e59a5fb38.jpg"/><Relationship Id="rId18" Type="http://schemas.openxmlformats.org/officeDocument/2006/relationships/image" Target="media/2dfc67123e8f340728502d9379ff5e3a181b41a6.jpg"/><Relationship Id="rId19" Type="http://schemas.openxmlformats.org/officeDocument/2006/relationships/image" Target="media/aab0179ed95ac7d5e30d752da486a611a16e0cd1.jpg"/><Relationship Id="rId20" Type="http://schemas.openxmlformats.org/officeDocument/2006/relationships/image" Target="media/facef0d88eee6bbe224aa5c75ab7b946508e19f1.jpg"/><Relationship Id="rId21" Type="http://schemas.openxmlformats.org/officeDocument/2006/relationships/image" Target="media/ef3034f89c108692ab336428c27723b80d3b0fb6.jpg"/><Relationship Id="rId22" Type="http://schemas.openxmlformats.org/officeDocument/2006/relationships/image" Target="media/3588df7105997156a378c5528ca16e9f97343c66.png"/><Relationship Id="rId23" Type="http://schemas.openxmlformats.org/officeDocument/2006/relationships/image" Target="media/6ec8de9a58714a5ca81039b7f80ddc03fff9c68f.jpg"/><Relationship Id="rId24" Type="http://schemas.openxmlformats.org/officeDocument/2006/relationships/image" Target="media/60369e58449b47ed5d7367d16ab4dc4b939a365b.jpg"/><Relationship Id="rId25" Type="http://schemas.openxmlformats.org/officeDocument/2006/relationships/image" Target="media/7b35804e6c9ef60bb0e9da0a098b76437561ba49.jpg"/><Relationship Id="rId26" Type="http://schemas.openxmlformats.org/officeDocument/2006/relationships/image" Target="media/4f4a4a016764670ebdcc1e2106ca65287ab68a7b.jpg"/><Relationship Id="rId27" Type="http://schemas.openxmlformats.org/officeDocument/2006/relationships/image" Target="media/b4e2ddf0d0ee042d6883abbf8a4029a1c4b96ccf.jpg"/><Relationship Id="rId28" Type="http://schemas.openxmlformats.org/officeDocument/2006/relationships/image" Target="media/92231ce820c10f25bbc190a27cb35ad8d8bfaa94.jpg"/><Relationship Id="rId29" Type="http://schemas.openxmlformats.org/officeDocument/2006/relationships/image" Target="media/5d30e4d2d4c0c44f62db636db76d9049712bcd10.jpg"/><Relationship Id="rId30" Type="http://schemas.openxmlformats.org/officeDocument/2006/relationships/image" Target="media/be65f93757001afc5f3fe9fb81ace30c7edea0f4.jpg"/><Relationship Id="rId31" Type="http://schemas.openxmlformats.org/officeDocument/2006/relationships/image" Target="media/b0dcfc7c2a7c0c58583646b4d9d9e156f1c64513.png"/><Relationship Id="rId32" Type="http://schemas.openxmlformats.org/officeDocument/2006/relationships/image" Target="media/358a09f55e5f6249fefcae2cbc6111e932eaccf5.png"/><Relationship Id="rId33" Type="http://schemas.openxmlformats.org/officeDocument/2006/relationships/image" Target="media/b698b65354843408f220fbc37d804153ccc43730.png"/><Relationship Id="rId34" Type="http://schemas.openxmlformats.org/officeDocument/2006/relationships/image" Target="media/9e2b8a47aef2f1f6d88753c8f3d9090505d57125.png"/><Relationship Id="rId35" Type="http://schemas.openxmlformats.org/officeDocument/2006/relationships/image" Target="media/3cf37c38673537f48db48bd757075a5dafb86f54.jpg"/><Relationship Id="rId36" Type="http://schemas.openxmlformats.org/officeDocument/2006/relationships/image" Target="media/e9de535a7bc74afad02505747cbefbd708d04bcf.jpg"/><Relationship Id="rId37" Type="http://schemas.openxmlformats.org/officeDocument/2006/relationships/image" Target="media/65c2e47bb21ea8fa0d61bc6ca11b9d0378e285ca.jpg"/><Relationship Id="rId38" Type="http://schemas.openxmlformats.org/officeDocument/2006/relationships/image" Target="media/7d3a82a51ddb3864ebdb17dd985b41e6c456bf80.jp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d'affaires 2027-2031 v2 – Complexe Havana</dc:title>
  <dc:creator>Complexe Havana</dc:creator>
  <dc:description>Demande de financement</dc:description>
  <cp:lastModifiedBy>Un-named</cp:lastModifiedBy>
  <cp:revision>1</cp:revision>
  <dcterms:created xsi:type="dcterms:W3CDTF">2026-09-04T12:42:04.717Z</dcterms:created>
  <dcterms:modified xsi:type="dcterms:W3CDTF">2026-09-04T12:42:04.717Z</dcterms:modified>
</cp:coreProperties>
</file>

<file path=docProps/custom.xml><?xml version="1.0" encoding="utf-8"?>
<Properties xmlns="http://schemas.openxmlformats.org/officeDocument/2006/custom-properties" xmlns:vt="http://schemas.openxmlformats.org/officeDocument/2006/docPropsVTypes"/>
</file>