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772400" cy="10058400"/>
                    </a:xfrm>
                    <a:prstGeom prst="rect">
                      <a:avLst/>
                    </a:prstGeom>
                  </pic:spPr>
                </pic:pic>
              </a:graphicData>
            </a:graphic>
          </wp:anchor>
        </w:drawing>
      </w:r>
    </w:p>
    <w:p>
      <w:pPr>
        <w:spacing w:after="0" w:before="0" w:line="7400" w:lineRule="exact"/>
      </w:pPr>
    </w:p>
    <w:p>
      <w:pPr>
        <w:spacing w:after="0"/>
      </w:pPr>
      <w:r>
        <w:rPr>
          <w:rFonts w:ascii="Calibri" w:cs="Calibri" w:eastAsia="Calibri" w:hAnsi="Calibri"/>
          <w:b/>
          <w:bCs/>
          <w:color w:val="F4B942"/>
          <w:sz w:val="22"/>
          <w:szCs w:val="22"/>
        </w:rPr>
        <w:t xml:space="preserve">PLAN D'AFFAIRES 2027 – 2031</w:t>
      </w:r>
    </w:p>
    <w:p>
      <w:pPr>
        <w:spacing w:after="0" w:before="80"/>
      </w:pPr>
      <w:r>
        <w:rPr>
          <w:rFonts w:ascii="Calibri" w:cs="Calibri" w:eastAsia="Calibri" w:hAnsi="Calibri"/>
          <w:b/>
          <w:bCs/>
          <w:color w:val="FFFFFF"/>
          <w:sz w:val="72"/>
          <w:szCs w:val="72"/>
        </w:rPr>
        <w:t xml:space="preserve">COMPLEXE HAVANA</w:t>
      </w:r>
    </w:p>
    <w:p>
      <w:pPr>
        <w:spacing w:after="0" w:before="60"/>
      </w:pPr>
      <w:r>
        <w:rPr>
          <w:rFonts w:ascii="Georgia" w:cs="Georgia" w:eastAsia="Georgia" w:hAnsi="Georgia"/>
          <w:i/>
          <w:iCs/>
          <w:color w:val="FFFFFF"/>
          <w:sz w:val="28"/>
          <w:szCs w:val="28"/>
        </w:rPr>
        <w:t xml:space="preserve">Du camping estival au centre de villégiature quatre saisons</w:t>
      </w:r>
    </w:p>
    <w:p>
      <w:pPr>
        <w:spacing w:after="0" w:before="260"/>
      </w:pPr>
      <w:r>
        <w:rPr>
          <w:rFonts w:ascii="Calibri" w:cs="Calibri" w:eastAsia="Calibri" w:hAnsi="Calibri"/>
          <w:color w:val="D9F1F3"/>
          <w:sz w:val="19"/>
          <w:szCs w:val="19"/>
        </w:rPr>
        <w:t xml:space="preserve">Demande de financement : prêt hypothécaire de premier rang de 5,5 M$ dans un montage de 8,2 M$   ·   Maricourt, Cantons-de-l'Est   ·   Septembre 2026</w:t>
      </w:r>
    </w:p>
    <w:p>
      <w:pPr>
        <w:spacing w:after="0" w:before="60"/>
      </w:pPr>
      <w:r>
        <w:rPr>
          <w:rFonts w:ascii="Calibri" w:cs="Calibri" w:eastAsia="Calibri" w:hAnsi="Calibri"/>
          <w:color w:val="A8D8DC"/>
          <w:sz w:val="18"/>
          <w:szCs w:val="18"/>
        </w:rPr>
        <w:t xml:space="preserve">Document confidentiel</w:t>
      </w:r>
    </w:p>
    <w:p>
      <w:r>
        <w:br w:type="page"/>
      </w:r>
    </w:p>
    <w:p>
      <w:pPr>
        <w:pStyle w:val="Heading2"/>
        <w:keepNext/>
        <w:spacing w:after="120" w:before="300"/>
      </w:pPr>
      <w:r>
        <w:rPr>
          <w:rFonts w:ascii="Calibri" w:cs="Calibri" w:eastAsia="Calibri" w:hAnsi="Calibri"/>
          <w:b/>
          <w:bCs/>
          <w:color w:val="0C4A5E"/>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appartenant au Complexe Havana et à ses partenaires. Il est remis uniquement aux fins d'évaluation d'une demande de financement. Les projections reposent sur des hypothèses documentées dans le classeur financier joint (annexe H) ; chaque hypothèse y porte sa source ou la mention « hypothèse à valider ». Les résultats réels pourraient différer.</w:t>
      </w:r>
    </w:p>
    <w:p>
      <w:pPr>
        <w:spacing w:after="200"/>
      </w:pPr>
    </w:p>
    <w:p>
      <w:pPr>
        <w:pStyle w:val="Heading2"/>
        <w:keepNext/>
        <w:spacing w:after="120" w:before="300"/>
      </w:pPr>
      <w:r>
        <w:rPr>
          <w:rFonts w:ascii="Calibri" w:cs="Calibri" w:eastAsia="Calibri" w:hAnsi="Calibri"/>
          <w:b/>
          <w:bCs/>
          <w:color w:val="0C4A5E"/>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01</w:t>
      </w:r>
    </w:p>
    <w:p>
      <w:pPr>
        <w:pStyle w:val="Heading1"/>
        <w:spacing w:after="0" w:before="0"/>
      </w:pPr>
      <w:r>
        <w:rPr>
          <w:rFonts w:ascii="Calibri" w:cs="Calibri" w:eastAsia="Calibri" w:hAnsi="Calibri"/>
          <w:b/>
          <w:bCs/>
          <w:color w:val="FFFFFF"/>
          <w:sz w:val="46"/>
          <w:szCs w:val="46"/>
        </w:rPr>
        <w:t xml:space="preserve">Sommaire exécutif</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exploité depuis dix ans, un produit quatre saisons déjà en place et des actifs prêts à être mis en valeur : le projet demande un financement dimensionné sur ses résultats.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1,53 M$</w:t>
            </w:r>
          </w:p>
          <w:p>
            <w:pPr>
              <w:spacing w:after="0"/>
            </w:pPr>
            <w:r>
              <w:rPr>
                <w:rFonts w:ascii="Calibri" w:cs="Calibri" w:eastAsia="Calibri" w:hAnsi="Calibri"/>
                <w:color w:val="6F8A90"/>
                <w:sz w:val="17"/>
                <w:szCs w:val="17"/>
              </w:rPr>
              <w:t xml:space="preserve">Ventes 2026 mesurées (Pixum, avant taxes)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11,9 M$</w:t>
            </w:r>
          </w:p>
          <w:p>
            <w:pPr>
              <w:spacing w:after="0"/>
            </w:pPr>
            <w:r>
              <w:rPr>
                <w:rFonts w:ascii="Calibri" w:cs="Calibri" w:eastAsia="Calibri" w:hAnsi="Calibri"/>
                <w:color w:val="6F8A90"/>
                <w:sz w:val="17"/>
                <w:szCs w:val="17"/>
              </w:rPr>
              <w:t xml:space="preserve">Investissements réalisés 2015-2023 (déclarés)</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5,5 M$</w:t>
            </w:r>
          </w:p>
          <w:p>
            <w:pPr>
              <w:spacing w:after="0"/>
            </w:pPr>
            <w:r>
              <w:rPr>
                <w:rFonts w:ascii="Calibri" w:cs="Calibri" w:eastAsia="Calibri" w:hAnsi="Calibri"/>
                <w:color w:val="6F8A90"/>
                <w:sz w:val="17"/>
                <w:szCs w:val="17"/>
              </w:rPr>
              <w:t xml:space="preserve">Prêt senior demandé</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26 %</w:t>
            </w:r>
          </w:p>
          <w:p>
            <w:pPr>
              <w:spacing w:after="0"/>
            </w:pPr>
            <w:r>
              <w:rPr>
                <w:rFonts w:ascii="Calibri" w:cs="Calibri" w:eastAsia="Calibri" w:hAnsi="Calibri"/>
                <w:color w:val="6F8A90"/>
                <w:sz w:val="17"/>
                <w:szCs w:val="17"/>
              </w:rPr>
              <w:t xml:space="preserve">Fonds propres sur l'argent neuf</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5,1 M$</w:t>
            </w:r>
          </w:p>
          <w:p>
            <w:pPr>
              <w:spacing w:after="0"/>
            </w:pPr>
            <w:r>
              <w:rPr>
                <w:rFonts w:ascii="Calibri" w:cs="Calibri" w:eastAsia="Calibri" w:hAnsi="Calibri"/>
                <w:color w:val="6F8A90"/>
                <w:sz w:val="17"/>
                <w:szCs w:val="17"/>
              </w:rPr>
              <w:t xml:space="preserve">Revenus projetés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1,2 M$</w:t>
            </w:r>
          </w:p>
          <w:p>
            <w:pPr>
              <w:spacing w:after="0"/>
            </w:pPr>
            <w:r>
              <w:rPr>
                <w:rFonts w:ascii="Calibri" w:cs="Calibri" w:eastAsia="Calibri" w:hAnsi="Calibri"/>
                <w:color w:val="6F8A90"/>
                <w:sz w:val="17"/>
                <w:szCs w:val="17"/>
              </w:rPr>
              <w:t xml:space="preserve">BAIIA An 5</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1,98 x</w:t>
            </w:r>
          </w:p>
          <w:p>
            <w:pPr>
              <w:spacing w:after="0"/>
            </w:pPr>
            <w:r>
              <w:rPr>
                <w:rFonts w:ascii="Calibri" w:cs="Calibri" w:eastAsia="Calibri" w:hAnsi="Calibri"/>
                <w:color w:val="6F8A90"/>
                <w:sz w:val="17"/>
                <w:szCs w:val="17"/>
              </w:rPr>
              <w:t xml:space="preserve">Couverture du prêt senior An 3</w:t>
            </w:r>
          </w:p>
        </w:tc>
        <w:tc>
          <w:tcPr>
            <w:tcW w:type="dxa" w:w="2412"/>
            <w:tcBorders>
              <w:top w:val="single" w:color="2BB5BF" w:sz="18"/>
              <w:left w:val="none" w:color="FFFFFF" w:sz="0"/>
              <w:bottom w:val="none" w:color="FFFFFF" w:sz="0"/>
              <w:right w:val="single" w:color="FFFFFF" w:sz="6"/>
            </w:tcBorders>
            <w:shd w:fill="F5F2EA" w:color="auto" w:val="clear"/>
            <w:tcMar>
              <w:top w:type="dxa" w:w="120"/>
              <w:left w:type="dxa" w:w="120"/>
              <w:bottom w:type="dxa" w:w="120"/>
              <w:right w:type="dxa" w:w="120"/>
            </w:tcMar>
          </w:tcPr>
          <w:p>
            <w:pPr>
              <w:spacing w:after="40"/>
            </w:pPr>
            <w:r>
              <w:rPr>
                <w:rFonts w:ascii="Calibri" w:cs="Calibri" w:eastAsia="Calibri" w:hAnsi="Calibri"/>
                <w:b/>
                <w:bCs/>
                <w:color w:val="0C4A5E"/>
                <w:sz w:val="34"/>
                <w:szCs w:val="34"/>
              </w:rPr>
              <w:t xml:space="preserve">1,41 x</w:t>
            </w:r>
          </w:p>
          <w:p>
            <w:pPr>
              <w:spacing w:after="0"/>
            </w:pPr>
            <w:r>
              <w:rPr>
                <w:rFonts w:ascii="Calibri" w:cs="Calibri" w:eastAsia="Calibri" w:hAnsi="Calibri"/>
                <w:color w:val="6F8A90"/>
                <w:sz w:val="17"/>
                <w:szCs w:val="17"/>
              </w:rPr>
              <w:t xml:space="preserve">Couverture bancaire, toutes couches, An 5</w:t>
            </w:r>
          </w:p>
        </w:tc>
      </w:tr>
    </w:tbl>
    <w:p>
      <w:pPr>
        <w:spacing w:after="200"/>
      </w:pPr>
    </w:p>
    <w:p>
      <w:pPr>
        <w:pStyle w:val="Heading2"/>
        <w:keepNext/>
        <w:spacing w:after="120" w:before="300"/>
      </w:pPr>
      <w:r>
        <w:rPr>
          <w:rFonts w:ascii="Calibri" w:cs="Calibri" w:eastAsia="Calibri" w:hAnsi="Calibri"/>
          <w:b/>
          <w:bCs/>
          <w:color w:val="0C4A5E"/>
          <w:sz w:val="27"/>
          <w:szCs w:val="27"/>
        </w:rPr>
        <w:t xml:space="preserve">L'entreprise</w:t>
      </w:r>
    </w:p>
    <w:p>
      <w:pPr>
        <w:spacing w:after="120" w:before="0" w:line="276"/>
        <w:jc w:val="left"/>
      </w:pPr>
      <w:r>
        <w:rPr>
          <w:rFonts w:ascii="Calibri" w:cs="Calibri" w:eastAsia="Calibri" w:hAnsi="Calibri"/>
        </w:rPr>
        <w:t xml:space="preserve">Le Complexe Havana (Camping Havana Resort) exploite depuis 2015 un site de 274,57 acres (111,13 ha, trois lots) au 631-637, 7e Rang à Maricourt, dans les Cantons-de-l'Est. Le concept, unique au Québec, reproduit l'ambiance des destinations cubaines : piscine centrale avec bar, animation, musique et cuisine cubaines. L'inventaire compte 313 terrains de camping, 14 cabanas prêt-à-camper, une trentaine de chalets, six chambres d'hôtel en exploitation dans un bâtiment de 24 860 pi² pouvant en accueillir 17, une piscine extérieure, une usine d'épuration privée et 18 emplacements aménagés pour des unités Coolbox, dont 9 sont exploitées.</w:t>
      </w:r>
    </w:p>
    <w:p>
      <w:pPr>
        <w:spacing w:after="120" w:before="0" w:line="276"/>
        <w:jc w:val="left"/>
      </w:pPr>
      <w:r>
        <w:rPr>
          <w:rFonts w:ascii="Calibri" w:cs="Calibri" w:eastAsia="Calibri" w:hAnsi="Calibri"/>
        </w:rPr>
        <w:t xml:space="preserve">Les ventes enregistrées par le système de réservation sont passées de 1 453 605 $ en 2025 à 1 531 842 $ en 2026 (+5,4 %), avec un panier moyen en hausse de 15 % (158 $). S'y ajoutent la restauration et les activités (196 700 $, budget interne à valider) et la part de Havana dans les ventes des unités Coolbox (76 667 $ en 2026, contrat de partenariat).</w:t>
      </w:r>
    </w:p>
    <w:p>
      <w:pPr>
        <w:pStyle w:val="Heading2"/>
        <w:keepNext/>
        <w:spacing w:after="120" w:before="300"/>
      </w:pPr>
      <w:r>
        <w:rPr>
          <w:rFonts w:ascii="Calibri" w:cs="Calibri" w:eastAsia="Calibri" w:hAnsi="Calibri"/>
          <w:b/>
          <w:bCs/>
          <w:color w:val="0C4A5E"/>
          <w:sz w:val="27"/>
          <w:szCs w:val="27"/>
        </w:rPr>
        <w:t xml:space="preserve">Le projet</w:t>
      </w:r>
    </w:p>
    <w:p>
      <w:pPr>
        <w:spacing w:after="120" w:before="0" w:line="276"/>
        <w:jc w:val="left"/>
      </w:pPr>
      <w:r>
        <w:rPr>
          <w:rFonts w:ascii="Calibri" w:cs="Calibri" w:eastAsia="Calibri" w:hAnsi="Calibri"/>
        </w:rPr>
        <w:t xml:space="preserve">Transformer l'exploitation estivale en centre de villégiature douze mois par année, en mettant en valeur les actifs existants. Travaux de 2,86 M$ réalisés à l'hiver et au printemps 2027 pour une ouverture en juillet 2027 :</w:t>
      </w:r>
    </w:p>
    <w:p>
      <w:pPr>
        <w:pStyle w:val="ListParagraph"/>
        <w:numPr>
          <w:ilvl w:val="0"/>
          <w:numId w:val="2"/>
        </w:numPr>
        <w:spacing w:after="80" w:line="276"/>
      </w:pPr>
      <w:r>
        <w:rPr>
          <w:rFonts w:ascii="Calibri" w:cs="Calibri" w:eastAsia="Calibri" w:hAnsi="Calibri"/>
          <w:b/>
          <w:bCs/>
          <w:color w:val="1E2A2E"/>
          <w:sz w:val="21"/>
          <w:szCs w:val="21"/>
        </w:rPr>
        <w:t xml:space="preserve">Hôtel : </w:t>
      </w:r>
      <w:r>
        <w:rPr>
          <w:rFonts w:ascii="Calibri" w:cs="Calibri" w:eastAsia="Calibri" w:hAnsi="Calibri"/>
          <w:color w:val="1E2A2E"/>
          <w:sz w:val="21"/>
          <w:szCs w:val="21"/>
        </w:rPr>
        <w:t xml:space="preserve">de 6 à 17 chambres, restaurant Madera et salle de conférence, exploitation douze mois.</w:t>
      </w:r>
    </w:p>
    <w:p>
      <w:pPr>
        <w:pStyle w:val="ListParagraph"/>
        <w:numPr>
          <w:ilvl w:val="0"/>
          <w:numId w:val="2"/>
        </w:numPr>
        <w:spacing w:after="80" w:line="276"/>
      </w:pPr>
      <w:r>
        <w:rPr>
          <w:rFonts w:ascii="Calibri" w:cs="Calibri" w:eastAsia="Calibri" w:hAnsi="Calibri"/>
          <w:b/>
          <w:bCs/>
          <w:color w:val="1E2A2E"/>
          <w:sz w:val="21"/>
          <w:szCs w:val="21"/>
        </w:rPr>
        <w:t xml:space="preserve">Hébergement quatre saisons : </w:t>
      </w:r>
      <w:r>
        <w:rPr>
          <w:rFonts w:ascii="Calibri" w:cs="Calibri" w:eastAsia="Calibri" w:hAnsi="Calibri"/>
          <w:color w:val="1E2A2E"/>
          <w:sz w:val="21"/>
          <w:szCs w:val="21"/>
        </w:rPr>
        <w:t xml:space="preserve">achèvement des 13 villas, hivernisation des 16 chalets, 9 unités Coolbox quatre saisons sur les emplacements aménagés en 2022.</w:t>
      </w:r>
    </w:p>
    <w:p>
      <w:pPr>
        <w:pStyle w:val="ListParagraph"/>
        <w:numPr>
          <w:ilvl w:val="0"/>
          <w:numId w:val="2"/>
        </w:numPr>
        <w:spacing w:after="80" w:line="276"/>
      </w:pPr>
      <w:r>
        <w:rPr>
          <w:rFonts w:ascii="Calibri" w:cs="Calibri" w:eastAsia="Calibri" w:hAnsi="Calibri"/>
          <w:b/>
          <w:bCs/>
          <w:color w:val="1E2A2E"/>
          <w:sz w:val="21"/>
          <w:szCs w:val="21"/>
        </w:rPr>
        <w:t xml:space="preserve">Saisonniers : </w:t>
      </w:r>
      <w:r>
        <w:rPr>
          <w:rFonts w:ascii="Calibri" w:cs="Calibri" w:eastAsia="Calibri" w:hAnsi="Calibri"/>
          <w:color w:val="1E2A2E"/>
          <w:sz w:val="21"/>
          <w:szCs w:val="21"/>
        </w:rPr>
        <w:t xml:space="preserve">conversion de 40 terrains existants en contrats saisonniers, encaissés avant la saison.</w:t>
      </w:r>
    </w:p>
    <w:p>
      <w:pPr>
        <w:pStyle w:val="Heading2"/>
        <w:keepNext/>
        <w:spacing w:after="120" w:before="300"/>
      </w:pPr>
      <w:r>
        <w:rPr>
          <w:rFonts w:ascii="Calibri" w:cs="Calibri" w:eastAsia="Calibri" w:hAnsi="Calibri"/>
          <w:b/>
          <w:bCs/>
          <w:color w:val="0C4A5E"/>
          <w:sz w:val="27"/>
          <w:szCs w:val="27"/>
        </w:rPr>
        <w:t xml:space="preserve">La demande de financement</w:t>
      </w:r>
    </w:p>
    <w:p>
      <w:pPr>
        <w:spacing w:after="120" w:before="0" w:line="276"/>
        <w:jc w:val="left"/>
      </w:pPr>
      <w:r>
        <w:rPr>
          <w:rFonts w:ascii="Calibri" w:cs="Calibri" w:eastAsia="Calibri" w:hAnsi="Calibri"/>
        </w:rPr>
        <w:t xml:space="preserve">Le montage de 8 181 027 $ comprend les travaux, une contingence différenciée, les honoraires, la mise en conformité, les intérêts de construction, une réserve de service de la dette déposée à la clôture, le fonds de roulement et le refinancement de la dette existante. Il est financé en couches : un prêt hypothécaire de premier rang de 5 500 000 $ (tranche A à la clôture, tranche B par avancement des travaux), des couches publiques et partenaires sollicitées (1 585 000 $) et des fonds propres de 1 096 027 $, soit 26 % de l'argent neuf.</w:t>
      </w:r>
    </w:p>
    <w:p>
      <w:pPr>
        <w:pStyle w:val="Heading2"/>
        <w:keepNext/>
        <w:spacing w:after="120" w:before="300"/>
      </w:pPr>
      <w:r>
        <w:rPr>
          <w:rFonts w:ascii="Calibri" w:cs="Calibri" w:eastAsia="Calibri" w:hAnsi="Calibri"/>
          <w:b/>
          <w:bCs/>
          <w:color w:val="0C4A5E"/>
          <w:sz w:val="27"/>
          <w:szCs w:val="27"/>
        </w:rPr>
        <w:t xml:space="preserve">Pourquoi le projet est finançable</w:t>
      </w:r>
    </w:p>
    <w:p>
      <w:pPr>
        <w:pStyle w:val="ListParagraph"/>
        <w:numPr>
          <w:ilvl w:val="0"/>
          <w:numId w:val="3"/>
        </w:numPr>
        <w:spacing w:after="80" w:line="276"/>
      </w:pPr>
      <w:r>
        <w:rPr>
          <w:rFonts w:ascii="Calibri" w:cs="Calibri" w:eastAsia="Calibri" w:hAnsi="Calibri"/>
          <w:b/>
          <w:bCs/>
          <w:color w:val="1E2A2E"/>
          <w:sz w:val="21"/>
          <w:szCs w:val="21"/>
        </w:rPr>
        <w:t xml:space="preserve">Des revenus mesurés, pas estimés : </w:t>
      </w:r>
      <w:r>
        <w:rPr>
          <w:rFonts w:ascii="Calibri" w:cs="Calibri" w:eastAsia="Calibri" w:hAnsi="Calibri"/>
          <w:color w:val="1E2A2E"/>
          <w:sz w:val="21"/>
          <w:szCs w:val="21"/>
        </w:rPr>
        <w:t xml:space="preserve">le modèle part des ventes 2026 du système de réservation et du budget de la direction, avec l'année 2026 publiée dans tous les tableaux.</w:t>
      </w:r>
    </w:p>
    <w:p>
      <w:pPr>
        <w:pStyle w:val="ListParagraph"/>
        <w:numPr>
          <w:ilvl w:val="0"/>
          <w:numId w:val="3"/>
        </w:numPr>
        <w:spacing w:after="80" w:line="276"/>
      </w:pPr>
      <w:r>
        <w:rPr>
          <w:rFonts w:ascii="Calibri" w:cs="Calibri" w:eastAsia="Calibri" w:hAnsi="Calibri"/>
          <w:b/>
          <w:bCs/>
          <w:color w:val="1E2A2E"/>
          <w:sz w:val="21"/>
          <w:szCs w:val="21"/>
        </w:rPr>
        <w:t xml:space="preserve">Le produit quatre saisons existe déjà sur le site : </w:t>
      </w:r>
      <w:r>
        <w:rPr>
          <w:rFonts w:ascii="Calibri" w:cs="Calibri" w:eastAsia="Calibri" w:hAnsi="Calibri"/>
          <w:color w:val="1E2A2E"/>
          <w:sz w:val="21"/>
          <w:szCs w:val="21"/>
        </w:rPr>
        <w:t xml:space="preserve">9 unités Coolbox ont généré 180 334 $ de ventes en un seul été 2026, soit 20 037 $ par unité ; la grappe A en ajoute 9, fabriquées en usine à prix fixe.</w:t>
      </w:r>
    </w:p>
    <w:p>
      <w:pPr>
        <w:pStyle w:val="ListParagraph"/>
        <w:numPr>
          <w:ilvl w:val="0"/>
          <w:numId w:val="3"/>
        </w:numPr>
        <w:spacing w:after="80" w:line="276"/>
      </w:pPr>
      <w:r>
        <w:rPr>
          <w:rFonts w:ascii="Calibri" w:cs="Calibri" w:eastAsia="Calibri" w:hAnsi="Calibri"/>
          <w:b/>
          <w:bCs/>
          <w:color w:val="1E2A2E"/>
          <w:sz w:val="21"/>
          <w:szCs w:val="21"/>
        </w:rPr>
        <w:t xml:space="preserve">Des actifs existants mis en valeur : </w:t>
      </w:r>
      <w:r>
        <w:rPr>
          <w:rFonts w:ascii="Calibri" w:cs="Calibri" w:eastAsia="Calibri" w:hAnsi="Calibri"/>
          <w:color w:val="1E2A2E"/>
          <w:sz w:val="21"/>
          <w:szCs w:val="21"/>
        </w:rPr>
        <w:t xml:space="preserve">hôtel, chalets, emplacements Coolbox déjà desservis et terrains existants ; aucune construction lourde, un chantier de six mois en basse saison.</w:t>
      </w:r>
    </w:p>
    <w:p>
      <w:pPr>
        <w:pStyle w:val="ListParagraph"/>
        <w:numPr>
          <w:ilvl w:val="0"/>
          <w:numId w:val="3"/>
        </w:numPr>
        <w:spacing w:after="80" w:line="276"/>
      </w:pPr>
      <w:r>
        <w:rPr>
          <w:rFonts w:ascii="Calibri" w:cs="Calibri" w:eastAsia="Calibri" w:hAnsi="Calibri"/>
          <w:b/>
          <w:bCs/>
          <w:color w:val="1E2A2E"/>
          <w:sz w:val="21"/>
          <w:szCs w:val="21"/>
        </w:rPr>
        <w:t xml:space="preserve">Un chantier à prix maîtrisé : </w:t>
      </w:r>
      <w:r>
        <w:rPr>
          <w:rFonts w:ascii="Calibri" w:cs="Calibri" w:eastAsia="Calibri" w:hAnsi="Calibri"/>
          <w:color w:val="1E2A2E"/>
          <w:sz w:val="21"/>
          <w:szCs w:val="21"/>
        </w:rPr>
        <w:t xml:space="preserve">entrepreneur général licencié (Construction Prospère) à prix forfaitaire, cautionnements, retenue subordonnée, prix validés par un tiers.</w:t>
      </w:r>
    </w:p>
    <w:p>
      <w:pPr>
        <w:pStyle w:val="ListParagraph"/>
        <w:numPr>
          <w:ilvl w:val="0"/>
          <w:numId w:val="3"/>
        </w:numPr>
        <w:spacing w:after="80" w:line="276"/>
      </w:pPr>
      <w:r>
        <w:rPr>
          <w:rFonts w:ascii="Calibri" w:cs="Calibri" w:eastAsia="Calibri" w:hAnsi="Calibri"/>
          <w:b/>
          <w:bCs/>
          <w:color w:val="1E2A2E"/>
          <w:sz w:val="21"/>
          <w:szCs w:val="21"/>
        </w:rPr>
        <w:t xml:space="preserve">Un prêt senior dimensionné sur la capacité : </w:t>
      </w:r>
      <w:r>
        <w:rPr>
          <w:rFonts w:ascii="Calibri" w:cs="Calibri" w:eastAsia="Calibri" w:hAnsi="Calibri"/>
          <w:color w:val="1E2A2E"/>
          <w:sz w:val="21"/>
          <w:szCs w:val="21"/>
        </w:rPr>
        <w:t xml:space="preserve">couverture du service du prêt senior de 1,98 x en An 3 et 2,62 x en An 5 ; toutes couches confondues, 1,37 x et 1,63 x.</w:t>
      </w:r>
    </w:p>
    <w:p>
      <w:pPr>
        <w:pStyle w:val="Heading2"/>
        <w:keepNext/>
        <w:spacing w:after="120" w:before="300"/>
      </w:pPr>
      <w:r>
        <w:rPr>
          <w:rFonts w:ascii="Calibri" w:cs="Calibri" w:eastAsia="Calibri" w:hAnsi="Calibri"/>
          <w:b/>
          <w:bCs/>
          <w:color w:val="0C4A5E"/>
          <w:sz w:val="27"/>
          <w:szCs w:val="27"/>
        </w:rPr>
        <w:t xml:space="preserve">Faits saillants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totaux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1 805 209 $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2 663 845 $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3 799 811 $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4 429 436 $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4 831 099 $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5 142 777 $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193 348 $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455 586 $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664 300 $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924 075 $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1 084 795 $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1 222 500 $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du prêt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Service de la dette,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423 500 $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569 520 $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673 592 $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750 894 $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toutes couches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0,64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Bénéfice net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(189 379)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(96 232)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150 561 $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302 792 $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An 1 : année de travaux, tranche B décaissée par avancement, moratoire de capital. Premier test de covenant proposé : exercice 2029.</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02</w:t>
      </w:r>
    </w:p>
    <w:p>
      <w:pPr>
        <w:pStyle w:val="Heading1"/>
        <w:spacing w:after="0" w:before="0"/>
      </w:pPr>
      <w:r>
        <w:rPr>
          <w:rFonts w:ascii="Calibri" w:cs="Calibri" w:eastAsia="Calibri" w:hAnsi="Calibri"/>
          <w:b/>
          <w:bCs/>
          <w:color w:val="FFFFFF"/>
          <w:sz w:val="46"/>
          <w:szCs w:val="46"/>
        </w:rPr>
        <w:t xml:space="preserve">L'entreprise</w:t>
      </w:r>
    </w:p>
    <w:p>
      <w:pPr>
        <w:spacing w:after="0" w:before="0" w:line="1250" w:lineRule="exact"/>
      </w:pPr>
    </w:p>
    <w:p>
      <w:pPr>
        <w:spacing w:after="240" w:before="0" w:line="300"/>
      </w:pPr>
      <w:r>
        <w:rPr>
          <w:rFonts w:ascii="Georgia" w:cs="Georgia" w:eastAsia="Georgia" w:hAnsi="Georgia"/>
          <w:i/>
          <w:iCs/>
          <w:color w:val="2BB5BF"/>
          <w:sz w:val="25"/>
          <w:szCs w:val="25"/>
        </w:rPr>
        <w:t xml:space="preserve">Dix ans d'exploitation, 11,9 M$ investis dans le site, et une clientèle qui revient : la base sur laquelle le projet est construit.</w:t>
      </w:r>
    </w:p>
    <w:p>
      <w:pPr>
        <w:pStyle w:val="Heading2"/>
        <w:keepNext/>
        <w:spacing w:after="120" w:before="300"/>
      </w:pPr>
      <w:r>
        <w:rPr>
          <w:rFonts w:ascii="Calibri" w:cs="Calibri" w:eastAsia="Calibri" w:hAnsi="Calibri"/>
          <w:b/>
          <w:bCs/>
          <w:color w:val="0C4A5E"/>
          <w:sz w:val="27"/>
          <w:szCs w:val="27"/>
        </w:rPr>
        <w:t xml:space="preserve">2.1 Historique</w:t>
      </w:r>
    </w:p>
    <w:p>
      <w:pPr>
        <w:spacing w:after="120" w:before="0" w:line="276"/>
        <w:jc w:val="left"/>
      </w:pPr>
      <w:r>
        <w:rPr>
          <w:rFonts w:ascii="Calibri" w:cs="Calibri" w:eastAsia="Calibri" w:hAnsi="Calibri"/>
        </w:rPr>
        <w:t xml:space="preserve">Le site du 7e Rang à Maricourt a été acquis en octobre 2014 ; la famille Perrier en prend le contrôle en 2015 et fonde le Camping Havana Resort. De 2015 à 2023, la direction déclare 11 915 000 $ d'investissements (annexe A) : 200 terrains, rues, électricité et bloc sanitaire (2016), piscine centrale, rénovation complète de l'hôtel, 14 cabanas, usine d'épuration des eaux usées (2019-2020, 1,0 M$), une trentaine de chalets construits par vagues, 67 terrains et 20 terrains saisonniers additionnels (2021), 18 emplacements Coolbox (2022), chapiteau (2022-2023). La chronologie visuelle des travaux figure à l'annexe F.</w:t>
      </w:r>
    </w:p>
    <w:p>
      <w:pPr>
        <w:spacing w:after="120" w:before="0" w:line="276"/>
        <w:jc w:val="left"/>
      </w:pPr>
      <w:r>
        <w:rPr>
          <w:rFonts w:ascii="Calibri" w:cs="Calibri" w:eastAsia="Calibri" w:hAnsi="Calibri"/>
        </w:rPr>
        <w:t xml:space="preserve">Le concept s'articule autour d'une piscine centrale avec café-bar, où se déploient animation, musique et ambiance familiale. Une nouvelle direction est en place depuis 2025 ; la famille fondatrice assure la continuité de la vision. La présente version du plan intègre deux partenaires industriels : Coolbox HPA, fabricant des unités d'hébergement quatre saisons déjà exploitées sur le site, et Construction Prospère, entrepreneur général.</w:t>
      </w:r>
    </w:p>
    <w:p>
      <w:pPr>
        <w:pStyle w:val="Heading2"/>
        <w:keepNext/>
        <w:spacing w:after="120" w:before="300"/>
      </w:pPr>
      <w:r>
        <w:rPr>
          <w:rFonts w:ascii="Calibri" w:cs="Calibri" w:eastAsia="Calibri" w:hAnsi="Calibri"/>
          <w:b/>
          <w:bCs/>
          <w:color w:val="0C4A5E"/>
          <w:sz w:val="27"/>
          <w:szCs w:val="27"/>
        </w:rPr>
        <w:t xml:space="preserve">2.2 Mission, vision et valeurs</w:t>
      </w:r>
    </w:p>
    <w:p>
      <w:pPr>
        <w:pStyle w:val="Heading3"/>
        <w:keepNext/>
        <w:spacing w:after="80" w:before="200"/>
      </w:pPr>
      <w:r>
        <w:rPr>
          <w:rFonts w:ascii="Calibri" w:cs="Calibri" w:eastAsia="Calibri" w:hAnsi="Calibri"/>
          <w:b/>
          <w:bCs/>
          <w:color w:val="2BB5BF"/>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grandes destinations vacances. Notre mission ultime : que chaque invité planifie son retour au moment de son départ.</w:t>
      </w:r>
    </w:p>
    <w:p>
      <w:pPr>
        <w:pStyle w:val="Heading3"/>
        <w:keepNext/>
        <w:spacing w:after="80" w:before="200"/>
      </w:pPr>
      <w:r>
        <w:rPr>
          <w:rFonts w:ascii="Calibri" w:cs="Calibri" w:eastAsia="Calibri" w:hAnsi="Calibri"/>
          <w:b/>
          <w:bCs/>
          <w:color w:val="2BB5BF"/>
          <w:sz w:val="22"/>
          <w:szCs w:val="22"/>
        </w:rPr>
        <w:t xml:space="preserve">Vision</w:t>
      </w:r>
    </w:p>
    <w:p>
      <w:pPr>
        <w:spacing w:after="120" w:before="0" w:line="276"/>
        <w:jc w:val="left"/>
      </w:pPr>
      <w:r>
        <w:rPr>
          <w:rFonts w:ascii="Calibri" w:cs="Calibri" w:eastAsia="Calibri" w:hAnsi="Calibri"/>
        </w:rPr>
        <w:t xml:space="preserve">Être le seul complexe d'hébergement et d'activités récréotouristiques au concept entièrement cubain au Québec, ouvert à l'année, reconnu pour son offre unique, son service personnalisé, ses pratiques conformes et durables et ses partenariats avec la communauté cubaine et locale.</w:t>
      </w:r>
    </w:p>
    <w:p>
      <w:pPr>
        <w:pStyle w:val="Heading3"/>
        <w:keepNext/>
        <w:spacing w:after="80" w:before="200"/>
      </w:pPr>
      <w:r>
        <w:rPr>
          <w:rFonts w:ascii="Calibri" w:cs="Calibri" w:eastAsia="Calibri" w:hAnsi="Calibri"/>
          <w:b/>
          <w:bCs/>
          <w:color w:val="2BB5BF"/>
          <w:sz w:val="22"/>
          <w:szCs w:val="22"/>
        </w:rPr>
        <w:t xml:space="preserve">Valeurs</w:t>
      </w:r>
    </w:p>
    <w:p>
      <w:pPr>
        <w:pStyle w:val="ListParagraph"/>
        <w:numPr>
          <w:ilvl w:val="0"/>
          <w:numId w:val="2"/>
        </w:numPr>
        <w:spacing w:after="80" w:line="276"/>
      </w:pPr>
      <w:r>
        <w:rPr>
          <w:rFonts w:ascii="Calibri" w:cs="Calibri" w:eastAsia="Calibri" w:hAnsi="Calibri"/>
          <w:b/>
          <w:bCs/>
          <w:color w:val="1E2A2E"/>
          <w:sz w:val="21"/>
          <w:szCs w:val="21"/>
        </w:rPr>
        <w:t xml:space="preserve">Chaleur et convivialité : </w:t>
      </w:r>
      <w:r>
        <w:rPr>
          <w:rFonts w:ascii="Calibri" w:cs="Calibri" w:eastAsia="Calibri" w:hAnsi="Calibri"/>
          <w:color w:val="1E2A2E"/>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E2A2E"/>
          <w:sz w:val="21"/>
          <w:szCs w:val="21"/>
        </w:rPr>
        <w:t xml:space="preserve">Authenticité : </w:t>
      </w:r>
      <w:r>
        <w:rPr>
          <w:rFonts w:ascii="Calibri" w:cs="Calibri" w:eastAsia="Calibri" w:hAnsi="Calibri"/>
          <w:color w:val="1E2A2E"/>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E2A2E"/>
          <w:sz w:val="21"/>
          <w:szCs w:val="21"/>
        </w:rPr>
        <w:t xml:space="preserve">Rigueur : </w:t>
      </w:r>
      <w:r>
        <w:rPr>
          <w:rFonts w:ascii="Calibri" w:cs="Calibri" w:eastAsia="Calibri" w:hAnsi="Calibri"/>
          <w:color w:val="1E2A2E"/>
          <w:sz w:val="21"/>
          <w:szCs w:val="21"/>
        </w:rPr>
        <w:t xml:space="preserve">des opérations, une conformité et une gestion financière disciplinées, appuyées sur des systèmes et des rapports au prêteur.</w:t>
      </w:r>
    </w:p>
    <w:p>
      <w:pPr>
        <w:pStyle w:val="ListParagraph"/>
        <w:numPr>
          <w:ilvl w:val="0"/>
          <w:numId w:val="2"/>
        </w:numPr>
        <w:spacing w:after="80" w:line="276"/>
      </w:pPr>
      <w:r>
        <w:rPr>
          <w:rFonts w:ascii="Calibri" w:cs="Calibri" w:eastAsia="Calibri" w:hAnsi="Calibri"/>
          <w:b/>
          <w:bCs/>
          <w:color w:val="1E2A2E"/>
          <w:sz w:val="21"/>
          <w:szCs w:val="21"/>
        </w:rPr>
        <w:t xml:space="preserve">Bon voisinage : </w:t>
      </w:r>
      <w:r>
        <w:rPr>
          <w:rFonts w:ascii="Calibri" w:cs="Calibri" w:eastAsia="Calibri" w:hAnsi="Calibri"/>
          <w:color w:val="1E2A2E"/>
          <w:sz w:val="21"/>
          <w:szCs w:val="21"/>
        </w:rPr>
        <w:t xml:space="preserve">un site qui vit avec son milieu : protocole de bruit, communication avec la municipalité et les voisins.</w:t>
      </w:r>
    </w:p>
    <w:p>
      <w:pPr>
        <w:pStyle w:val="Heading2"/>
        <w:keepNext/>
        <w:spacing w:after="120" w:before="300"/>
      </w:pPr>
      <w:r>
        <w:rPr>
          <w:rFonts w:ascii="Calibri" w:cs="Calibri" w:eastAsia="Calibri" w:hAnsi="Calibri"/>
          <w:b/>
          <w:bCs/>
          <w:color w:val="0C4A5E"/>
          <w:sz w:val="27"/>
          <w:szCs w:val="27"/>
        </w:rPr>
        <w:t xml:space="preserve">2.3 Structure juridique et propriété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200"/>
        <w:gridCol w:w="6448"/>
      </w:tblGrid>
      <w:tr>
        <w:trPr>
          <w:tblHeader/>
        </w:trPr>
        <w:tc>
          <w:tcPr>
            <w:tcW w:type="dxa" w:w="3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Élément</w:t>
            </w:r>
          </w:p>
        </w:tc>
        <w:tc>
          <w:tcPr>
            <w:tcW w:type="dxa" w:w="6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Détail</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Société propriétaire des trois lots</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9504-5050 Québec inc. (Camping Havana Resort)</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Lots et superficie</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5 626 900 (hôtel, 43 183 m²), 6 040 494 (98 687 m²), 6 040 495 (camping, 969 255 m²) ; total 1 111 126 m² = 274,57 acres</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Siège social</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631, 7e Rang, Maricourt (Québec) J0E 2L2</w:t>
            </w:r>
          </w:p>
        </w:tc>
      </w:tr>
      <w:tr>
        <w:trPr>
          <w:cantSplit/>
        </w:trPr>
        <w:tc>
          <w:tcPr>
            <w:tcW w:type="dxa" w:w="3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6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 ; partenaires industriels Coolbox HPA et Construction Prospère</w:t>
            </w:r>
          </w:p>
        </w:tc>
      </w:tr>
      <w:tr>
        <w:trPr>
          <w:cantSplit/>
        </w:trPr>
        <w:tc>
          <w:tcPr>
            <w:tcW w:type="dxa" w:w="3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Zonage</w:t>
            </w:r>
          </w:p>
        </w:tc>
        <w:tc>
          <w:tcPr>
            <w:tcW w:type="dxa" w:w="6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Récréotouristique (règlement 328-2007 de Maricourt), usage camping et hébergement en place depuis 2015</w:t>
            </w:r>
          </w:p>
        </w:tc>
      </w:tr>
    </w:tbl>
    <w:p>
      <w:pPr>
        <w:pStyle w:val="Heading2"/>
        <w:keepNext/>
        <w:spacing w:after="120" w:before="300"/>
      </w:pPr>
      <w:r>
        <w:rPr>
          <w:rFonts w:ascii="Calibri" w:cs="Calibri" w:eastAsia="Calibri" w:hAnsi="Calibri"/>
          <w:b/>
          <w:bCs/>
          <w:color w:val="0C4A5E"/>
          <w:sz w:val="27"/>
          <w:szCs w:val="27"/>
        </w:rPr>
        <w:t xml:space="preserve">2.4 Actifs et installations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100"/>
        <w:gridCol w:w="1500"/>
        <w:gridCol w:w="1500"/>
        <w:gridCol w:w="1300"/>
        <w:gridCol w:w="2248"/>
      </w:tblGrid>
      <w:tr>
        <w:trPr>
          <w:tblHeader/>
        </w:trPr>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Installation</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Quantité</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Tarif affiché</w:t>
            </w:r>
          </w:p>
        </w:tc>
        <w:tc>
          <w:tcPr>
            <w:tcW w:type="dxa" w:w="1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 actuelle</w:t>
            </w:r>
          </w:p>
        </w:tc>
        <w:tc>
          <w:tcPr>
            <w:tcW w:type="dxa" w:w="2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Après le projet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de camping (2 et 3 services)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313 inventoriés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65 $ à 90 $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(contrats)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12 en 2026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3 650 $ / saison</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Jusqu'à 70 par conversion de terrains existants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16 en location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Hivernisés, 4 saisons</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Chambres d'hôtel</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6</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190 $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17, ouvertes 12 mois</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Cabanas prêt-à-camper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 à 14</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200 $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(en construction)</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13</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275 $ / nuit</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À livrer</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Livrées en juillet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(propriété Coolbox HPA)</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exploitées / 18 emplacements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 nuit</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 et hiver</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Unités Coolbox 4 saisons (nouvelles)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0</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225 $ été, 199 $ hiver</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9, livrées en mai 2027</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extérieure, bar de piscine, lac et plage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Inclus</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Inchangé</w:t>
            </w:r>
          </w:p>
        </w:tc>
      </w:tr>
      <w:tr>
        <w:trPr>
          <w:cantSplit/>
        </w:trPr>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Piscine intérieure, chapiteau 1 600 places, scène extérieure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c>
          <w:tcPr>
            <w:tcW w:type="dxa" w:w="2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Existant</w:t>
            </w:r>
          </w:p>
        </w:tc>
      </w:tr>
      <w:tr>
        <w:trPr>
          <w:cantSplit/>
        </w:trPr>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Usine d'épuration privée (Ecochem, 2019), 2 puits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w:t>
            </w:r>
          </w:p>
        </w:tc>
        <w:tc>
          <w:tcPr>
            <w:tcW w:type="dxa" w:w="1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c>
          <w:tcPr>
            <w:tcW w:type="dxa" w:w="2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0003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200025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C4A5E"/>
          <w:sz w:val="27"/>
          <w:szCs w:val="27"/>
        </w:rPr>
        <w:t xml:space="preserve">2.5 Performance récente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300"/>
        <w:gridCol w:w="1800"/>
        <w:gridCol w:w="1800"/>
        <w:gridCol w:w="1748"/>
      </w:tblGrid>
      <w:tr>
        <w:trPr>
          <w:tblHeader/>
        </w:trPr>
        <w:tc>
          <w:tcPr>
            <w:tcW w:type="dxa" w:w="4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Catégorie (avant taxes, par date de transaction)</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2025</w:t>
            </w:r>
          </w:p>
        </w:tc>
        <w:tc>
          <w:tcPr>
            <w:tcW w:type="dxa" w:w="18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Saison 2026</w:t>
            </w:r>
          </w:p>
        </w:tc>
        <w:tc>
          <w:tcPr>
            <w:tcW w:type="dxa" w:w="17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Variation</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de camping</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837 256 $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791 894 $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et chambres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400 868 $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497 723 $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+24,2 %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Cabanas prêt-à-camper</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195 575 $</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199 016 $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Terrains saisonniers</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19 732 $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43 209 $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+119,0 %</w:t>
            </w:r>
          </w:p>
        </w:tc>
      </w:tr>
      <w:tr>
        <w:trPr>
          <w:cantSplit/>
        </w:trPr>
        <w:tc>
          <w:tcPr>
            <w:tcW w:type="dxa" w:w="43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 des ventes du système de réservation</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1 453 605 $</w:t>
            </w:r>
          </w:p>
        </w:tc>
        <w:tc>
          <w:tcPr>
            <w:tcW w:type="dxa" w:w="18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1 531 842 $</w:t>
            </w:r>
          </w:p>
        </w:tc>
        <w:tc>
          <w:tcPr>
            <w:tcW w:type="dxa" w:w="17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+5,4 %</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Nombre de transactions / panier moyen</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10 587 / 137,30 $</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9 670 / 158,41 $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−8,7 % / +15,4 %</w:t>
            </w:r>
          </w:p>
        </w:tc>
      </w:tr>
      <w:tr>
        <w:trPr>
          <w:cantSplit/>
        </w:trPr>
        <w:tc>
          <w:tcPr>
            <w:tcW w:type="dxa" w:w="4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Ventes des unités Coolbox (plateforme Coolbox, 9 unités)</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180 334 $</w:t>
            </w:r>
          </w:p>
        </w:tc>
        <w:tc>
          <w:tcPr>
            <w:tcW w:type="dxa" w:w="17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r>
        <w:trPr>
          <w:cantSplit/>
        </w:trPr>
        <w:tc>
          <w:tcPr>
            <w:tcW w:type="dxa" w:w="4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Restauration et activités (budget interne)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c>
          <w:tcPr>
            <w:tcW w:type="dxa" w:w="18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196 700 $</w:t>
            </w:r>
          </w:p>
        </w:tc>
        <w:tc>
          <w:tcPr>
            <w:tcW w:type="dxa" w:w="17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w:t>
            </w:r>
          </w:p>
        </w:tc>
      </w:tr>
    </w:tbl>
    <w:p>
      <w:pPr>
        <w:spacing w:after="120"/>
      </w:pPr>
    </w:p>
    <w:p>
      <w:pPr>
        <w:pStyle w:val="Heading3"/>
        <w:keepNext/>
        <w:spacing w:after="80" w:before="200"/>
      </w:pPr>
      <w:r>
        <w:rPr>
          <w:rFonts w:ascii="Calibri" w:cs="Calibri" w:eastAsia="Calibri" w:hAnsi="Calibri"/>
          <w:b/>
          <w:bCs/>
          <w:color w:val="2BB5BF"/>
          <w:sz w:val="22"/>
          <w:szCs w:val="22"/>
        </w:rPr>
        <w:t xml:space="preserve">Réconciliation des chiffres de revenus 2026</w:t>
      </w:r>
    </w:p>
    <w:p>
      <w:pPr>
        <w:spacing w:after="120" w:before="0" w:line="276"/>
        <w:jc w:val="left"/>
      </w:pPr>
      <w:r>
        <w:rPr>
          <w:rFonts w:ascii="Calibri" w:cs="Calibri" w:eastAsia="Calibri" w:hAnsi="Calibri"/>
        </w:rPr>
        <w:t xml:space="preserve">Trois chiffres circulent pour 2026 ; le plan les réconcilie plutôt que d'en choisir un :</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600"/>
        <w:gridCol w:w="3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Source</w:t>
            </w:r>
          </w:p>
        </w:tc>
        <w:tc>
          <w:tcPr>
            <w:tcW w:type="dxa" w:w="16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c>
          <w:tcPr>
            <w:tcW w:type="dxa" w:w="3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Ce qu'il mesure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Système de réservation (Pixum), saison 2025-09-15 → 2026-09-15</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1 531 842 $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Ventes encaissées d'hébergement, hors Coolbox, restauration et activités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An 0 du présent modèle</w:t>
            </w:r>
          </w:p>
        </w:tc>
        <w:tc>
          <w:tcPr>
            <w:tcW w:type="dxa" w:w="16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1 805 209 $</w:t>
            </w:r>
          </w:p>
        </w:tc>
        <w:tc>
          <w:tcPr>
            <w:tcW w:type="dxa" w:w="3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Pixum + restauration et activités (budget interne) + part Havana des ventes Coolbox</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Budget d'exploitation de la direction</w:t>
            </w:r>
          </w:p>
        </w:tc>
        <w:tc>
          <w:tcPr>
            <w:tcW w:type="dxa" w:w="16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2 630 438 $</w:t>
            </w:r>
          </w:p>
        </w:tc>
        <w:tc>
          <w:tcPr>
            <w:tcW w:type="dxa" w:w="3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Revenus modélisés à pleine capacité (unités × tarif × occupation)</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03</w:t>
      </w:r>
    </w:p>
    <w:p>
      <w:pPr>
        <w:pStyle w:val="Heading1"/>
        <w:spacing w:after="0" w:before="0"/>
      </w:pPr>
      <w:r>
        <w:rPr>
          <w:rFonts w:ascii="Calibri" w:cs="Calibri" w:eastAsia="Calibri" w:hAnsi="Calibri"/>
          <w:b/>
          <w:bCs/>
          <w:color w:val="FFFFFF"/>
          <w:sz w:val="46"/>
          <w:szCs w:val="46"/>
        </w:rPr>
        <w:t xml:space="preserve">Le projet</w:t>
      </w:r>
    </w:p>
    <w:p>
      <w:pPr>
        <w:spacing w:after="0" w:before="0" w:line="1250" w:lineRule="exact"/>
      </w:pPr>
    </w:p>
    <w:p>
      <w:pPr>
        <w:spacing w:after="240" w:before="0" w:line="300"/>
      </w:pPr>
      <w:r>
        <w:rPr>
          <w:rFonts w:ascii="Georgia" w:cs="Georgia" w:eastAsia="Georgia" w:hAnsi="Georgia"/>
          <w:i/>
          <w:iCs/>
          <w:color w:val="2BB5BF"/>
          <w:sz w:val="25"/>
          <w:szCs w:val="25"/>
        </w:rPr>
        <w:t xml:space="preserve">Mettre en valeur les actifs existants et ajouter la capacité qui se vend douze mois par année.</w:t>
      </w:r>
    </w:p>
    <w:p>
      <w:pPr>
        <w:pStyle w:val="Heading2"/>
        <w:keepNext/>
        <w:spacing w:after="120" w:before="300"/>
      </w:pPr>
      <w:r>
        <w:rPr>
          <w:rFonts w:ascii="Calibri" w:cs="Calibri" w:eastAsia="Calibri" w:hAnsi="Calibri"/>
          <w:b/>
          <w:bCs/>
          <w:color w:val="0C4A5E"/>
          <w:sz w:val="27"/>
          <w:szCs w:val="27"/>
        </w:rPr>
        <w:t xml:space="preserve">3.1 Objectif</w:t>
      </w:r>
    </w:p>
    <w:p>
      <w:pPr>
        <w:spacing w:after="120" w:before="0" w:line="276"/>
        <w:jc w:val="left"/>
      </w:pPr>
      <w:r>
        <w:rPr>
          <w:rFonts w:ascii="Calibri" w:cs="Calibri" w:eastAsia="Calibri" w:hAnsi="Calibri"/>
        </w:rPr>
        <w:t xml:space="preserve">Rendre le site vendable douze mois par année en s'appuyant sur les actifs existants : hôtel, chalets, emplacements Coolbox desservis, terrains. Chaque composante répond à l'un de deux critères : elle produit des revenus l'année même du décaissement, ou elle allonge la saison des unités existantes.</w:t>
      </w:r>
    </w:p>
    <w:p>
      <w:pPr>
        <w:pStyle w:val="Heading2"/>
        <w:keepNext/>
        <w:spacing w:after="120" w:before="300"/>
      </w:pPr>
      <w:r>
        <w:rPr>
          <w:rFonts w:ascii="Calibri" w:cs="Calibri" w:eastAsia="Calibri" w:hAnsi="Calibri"/>
          <w:b/>
          <w:bCs/>
          <w:color w:val="0C4A5E"/>
          <w:sz w:val="27"/>
          <w:szCs w:val="27"/>
        </w:rPr>
        <w:t xml:space="preserve">3.2 Composantes et coûts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000"/>
        <w:gridCol w:w="1500"/>
        <w:gridCol w:w="2148"/>
      </w:tblGrid>
      <w:tr>
        <w:trPr>
          <w:tblHeader/>
        </w:trPr>
        <w:tc>
          <w:tcPr>
            <w:tcW w:type="dxa" w:w="6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Composante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Type</w:t>
            </w:r>
          </w:p>
        </w:tc>
        <w:tc>
          <w:tcPr>
            <w:tcW w:type="dxa" w:w="2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Coût</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Hôtel : de 6 à 17 chambres, exploitation 12 mois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700 000 $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Restaurant Madera et salle de conférence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800 000 $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Achèvement des 13 villas</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Chalets existants : hivernisation (isolation, chauffage, plomberie)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150 000 $</w:t>
            </w:r>
          </w:p>
        </w:tc>
      </w:tr>
      <w:tr>
        <w:trPr>
          <w:cantSplit/>
        </w:trPr>
        <w:tc>
          <w:tcPr>
            <w:tcW w:type="dxa" w:w="6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9 unités Coolbox 12×24 quatre saisons sur les emplacements aménagés en 2022</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Forfait d'usine</w:t>
            </w:r>
          </w:p>
        </w:tc>
        <w:tc>
          <w:tcPr>
            <w:tcW w:type="dxa" w:w="2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1 009 800 $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Conversion de 40 terrains existants en terrains saisonniers</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Chantier</w:t>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50 000 $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Sous-total des travaux</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2 859 800 $</w:t>
            </w:r>
          </w:p>
        </w:tc>
      </w:tr>
      <w:tr>
        <w:trPr>
          <w:cantSplit/>
        </w:trPr>
        <w:tc>
          <w:tcPr>
            <w:tcW w:type="dxa" w:w="6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Contingence : 5 % sur les forfaits d'usine, 10 % sur les travaux de chantier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
            </w:r>
          </w:p>
        </w:tc>
        <w:tc>
          <w:tcPr>
            <w:tcW w:type="dxa" w:w="2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235 490 $</w:t>
            </w:r>
          </w:p>
        </w:tc>
      </w:tr>
      <w:tr>
        <w:trPr>
          <w:cantSplit/>
        </w:trPr>
        <w:tc>
          <w:tcPr>
            <w:tcW w:type="dxa" w:w="6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Total</w:t>
            </w:r>
          </w:p>
        </w:tc>
        <w:tc>
          <w:tcPr>
            <w:tcW w:type="dxa" w:w="15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
            </w:r>
          </w:p>
        </w:tc>
        <w:tc>
          <w:tcPr>
            <w:tcW w:type="dxa" w:w="2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3 095 290 $</w:t>
            </w:r>
          </w:p>
        </w:tc>
      </w:tr>
    </w:tbl>
    <w:p>
      <w:pPr>
        <w:spacing w:after="120" w:before="0" w:line="276"/>
        <w:jc w:val="left"/>
      </w:pPr>
      <w:r>
        <w:rPr>
          <w:rFonts w:ascii="Calibri" w:cs="Calibri" w:eastAsia="Calibri" w:hAnsi="Calibri"/>
          <w:i/>
          <w:iCs/>
          <w:color w:val="6F8A90"/>
          <w:sz w:val="18"/>
          <w:szCs w:val="18"/>
        </w:rPr>
        <w:t xml:space="preserve">Les coûts de chantier sont ceux de la direction, appuyés par les soumissions à forfait de Construction Prospère (annexe C). Le coût des unités Coolbox est le prix de catalogue 2026 : 112 200 $ par unité installée, raccordée et meublée.</w:t>
      </w:r>
    </w:p>
    <w:p>
      <w:pPr>
        <w:pStyle w:val="Heading2"/>
        <w:keepNext/>
        <w:spacing w:after="120" w:before="300"/>
      </w:pPr>
      <w:r>
        <w:rPr>
          <w:rFonts w:ascii="Calibri" w:cs="Calibri" w:eastAsia="Calibri" w:hAnsi="Calibri"/>
          <w:b/>
          <w:bCs/>
          <w:color w:val="0C4A5E"/>
          <w:sz w:val="27"/>
          <w:szCs w:val="27"/>
        </w:rPr>
        <w:t xml:space="preserve">3.3 Description des composantes</w:t>
      </w:r>
    </w:p>
    <w:p>
      <w:pPr>
        <w:pStyle w:val="Heading3"/>
        <w:keepNext/>
        <w:spacing w:after="80" w:before="200"/>
      </w:pPr>
      <w:r>
        <w:rPr>
          <w:rFonts w:ascii="Calibri" w:cs="Calibri" w:eastAsia="Calibri" w:hAnsi="Calibri"/>
          <w:b/>
          <w:bCs/>
          <w:color w:val="2BB5BF"/>
          <w:sz w:val="22"/>
          <w:szCs w:val="22"/>
        </w:rPr>
        <w:t xml:space="preserve">Hôtel : de 6 à 17 chambres, ouvert douze mois</w:t>
      </w:r>
    </w:p>
    <w:p>
      <w:pPr>
        <w:spacing w:after="120" w:before="0" w:line="276"/>
        <w:jc w:val="left"/>
      </w:pPr>
      <w:r>
        <w:rPr>
          <w:rFonts w:ascii="Calibri" w:cs="Calibri" w:eastAsia="Calibri" w:hAnsi="Calibri"/>
        </w:rPr>
        <w:t xml:space="preserve">Rénovation intérieure du bâtiment de 1997 (24 860 pi²) pour exploiter les 17 unités prévues, avec salle de conférence attenante. L'hôtel devient le pivot de l'exploitation hivernale : couples, groupes, retraites d'entreprise.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2857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1905000"/>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L'aile arrière : les chambres à rénover pour une exploitation 12 mois</w:t>
            </w:r>
          </w:p>
        </w:tc>
      </w:tr>
    </w:tbl>
    <w:p>
      <w:pPr>
        <w:spacing w:after="80"/>
      </w:pPr>
    </w:p>
    <w:p>
      <w:pPr>
        <w:pStyle w:val="Heading3"/>
        <w:keepNext/>
        <w:spacing w:after="80" w:before="200"/>
      </w:pPr>
      <w:r>
        <w:rPr>
          <w:rFonts w:ascii="Calibri" w:cs="Calibri" w:eastAsia="Calibri" w:hAnsi="Calibri"/>
          <w:b/>
          <w:bCs/>
          <w:color w:val="2BB5BF"/>
          <w:sz w:val="22"/>
          <w:szCs w:val="22"/>
        </w:rPr>
        <w:t xml:space="preserve">Restaurant Madera et salle de conférence</w:t>
      </w:r>
    </w:p>
    <w:p>
      <w:pPr>
        <w:spacing w:after="120" w:before="0" w:line="276"/>
        <w:jc w:val="left"/>
      </w:pPr>
      <w:r>
        <w:rPr>
          <w:rFonts w:ascii="Calibri" w:cs="Calibri" w:eastAsia="Calibri" w:hAnsi="Calibri"/>
        </w:rPr>
        <w:t xml:space="preserve">Restaurant de cuisine cubaine et latino-américaine ouvert à la clientèle du site et au public régional, avec le café Cubano et la cantine. Les projections ne comptent que la restauration ; le bar constitue un potentiel additionnel non compté.</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38385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38575" cy="216217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L'Aqua Bar : la vente de boissons fonctionne déjà ; le restaurant Madera y ajoute les repas et l'hiver</w:t>
            </w:r>
          </w:p>
        </w:tc>
      </w:tr>
    </w:tbl>
    <w:p>
      <w:pPr>
        <w:spacing w:after="80"/>
      </w:pPr>
    </w:p>
    <w:p>
      <w:pPr>
        <w:pStyle w:val="Heading3"/>
        <w:keepNext/>
        <w:spacing w:after="80" w:before="200"/>
      </w:pPr>
      <w:r>
        <w:rPr>
          <w:rFonts w:ascii="Calibri" w:cs="Calibri" w:eastAsia="Calibri" w:hAnsi="Calibri"/>
          <w:b/>
          <w:bCs/>
          <w:color w:val="2BB5BF"/>
          <w:sz w:val="22"/>
          <w:szCs w:val="22"/>
        </w:rPr>
        <w:t xml:space="preserve">Neuf unités Coolbox quatre saisons</w:t>
      </w:r>
    </w:p>
    <w:p>
      <w:pPr>
        <w:spacing w:after="120" w:before="0" w:line="276"/>
        <w:jc w:val="left"/>
      </w:pPr>
      <w:r>
        <w:rPr>
          <w:rFonts w:ascii="Calibri" w:cs="Calibri" w:eastAsia="Calibri" w:hAnsi="Calibri"/>
        </w:rPr>
        <w:t xml:space="preserve">Neuf unités 12×24 fabriquées en usine par Coolbox HPA (structure d'acier autoportante, isolation haute performance, thermopompe), installées sur 9 des 18 emplacements aménagés et desservis en 2022. Délai usine de 12 à 16 semaines ; livraison en mai 2027. Les 9 unités déjà exploitées sur le site par Coolbox HPA ont produit 180 334 $ de ventes durant l'été 2026, dont 90 167 $ de part pour Havana.</w:t>
      </w:r>
    </w:p>
    <w:p>
      <w:pPr>
        <w:pStyle w:val="Heading3"/>
        <w:keepNext/>
        <w:spacing w:after="80" w:before="200"/>
      </w:pPr>
      <w:r>
        <w:rPr>
          <w:rFonts w:ascii="Calibri" w:cs="Calibri" w:eastAsia="Calibri" w:hAnsi="Calibri"/>
          <w:b/>
          <w:bCs/>
          <w:color w:val="2BB5BF"/>
          <w:sz w:val="22"/>
          <w:szCs w:val="22"/>
        </w:rPr>
        <w:t xml:space="preserve">Villas, chalets et terrains saisonniers</w:t>
      </w:r>
    </w:p>
    <w:p>
      <w:pPr>
        <w:spacing w:after="120" w:before="0" w:line="276"/>
        <w:jc w:val="left"/>
      </w:pPr>
      <w:r>
        <w:rPr>
          <w:rFonts w:ascii="Calibri" w:cs="Calibri" w:eastAsia="Calibri" w:hAnsi="Calibri"/>
        </w:rPr>
        <w:t xml:space="preserve">Achèvement des 13 villas en construction, hivernisation des 16 chalets (isolation, chauffage, plomberie) et conversion de 40 terrains 3 services existants en contrats saisonniers. Le saisonnier est encaissé avant la saison, de janvier à mars : c'est le revenu qui sécurise le printemps.</w:t>
      </w:r>
    </w:p>
    <w:p>
      <w:pPr>
        <w:pStyle w:val="Heading3"/>
        <w:keepNext/>
        <w:spacing w:after="80" w:before="200"/>
      </w:pPr>
      <w:r>
        <w:rPr>
          <w:rFonts w:ascii="Calibri" w:cs="Calibri" w:eastAsia="Calibri" w:hAnsi="Calibri"/>
          <w:b/>
          <w:bCs/>
          <w:color w:val="2BB5BF"/>
          <w:sz w:val="22"/>
          <w:szCs w:val="22"/>
        </w:rPr>
        <w:t xml:space="preserve">Développement futur</w:t>
      </w:r>
    </w:p>
    <w:p>
      <w:pPr>
        <w:spacing w:after="120" w:before="0" w:line="276"/>
        <w:jc w:val="left"/>
      </w:pPr>
      <w:r>
        <w:rPr>
          <w:rFonts w:ascii="Calibri" w:cs="Calibri" w:eastAsia="Calibri" w:hAnsi="Calibri"/>
        </w:rPr>
        <w:t xml:space="preserve">L'achèvement de la piscine intérieure et un spa quatre saisons constituent la prochaine étape de développement du site, prévue en 2029 et financée séparément sur les résultats du présent projet. Ils ne sont pas comptés dans les projections.</w:t>
      </w:r>
    </w:p>
    <w:p>
      <w:pPr>
        <w:pStyle w:val="Heading2"/>
        <w:keepNext/>
        <w:spacing w:after="120" w:before="300"/>
      </w:pPr>
      <w:r>
        <w:rPr>
          <w:rFonts w:ascii="Calibri" w:cs="Calibri" w:eastAsia="Calibri" w:hAnsi="Calibri"/>
          <w:b/>
          <w:bCs/>
          <w:color w:val="0C4A5E"/>
          <w:sz w:val="27"/>
          <w:szCs w:val="27"/>
        </w:rPr>
        <w:t xml:space="preserve">3.4 Échéancier de réalisation</w:t>
      </w:r>
    </w:p>
    <w:p>
      <w:pPr>
        <w:spacing w:after="40" w:before="120"/>
        <w:jc w:val="center"/>
      </w:pPr>
      <w:r>
        <w:drawing>
          <wp:inline distT="0" distB="0" distL="0" distR="0">
            <wp:extent cx="60388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38850" cy="2428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1 – Échéancier de réalisation</w:t>
      </w:r>
    </w:p>
    <w:p>
      <w:pPr>
        <w:spacing w:after="120" w:before="0" w:line="276"/>
        <w:jc w:val="left"/>
      </w:pPr>
      <w:r>
        <w:rPr>
          <w:rFonts w:ascii="Calibri" w:cs="Calibri" w:eastAsia="Calibri" w:hAnsi="Calibri"/>
        </w:rPr>
        <w:t xml:space="preserve">Les travaux se réalisent en basse saison, entre la clôture et juillet 2027, sans perturber l'exploitation estivale. Les unités Coolbox sont commandées à la clôture et livrées pour l'été. Les contrats saisonniers 2028 se vendent dès l'automne 2027.</w:t>
      </w:r>
    </w:p>
    <w:p>
      <w:pPr>
        <w:pStyle w:val="Heading2"/>
        <w:keepNext/>
        <w:spacing w:after="120" w:before="300"/>
      </w:pPr>
      <w:r>
        <w:rPr>
          <w:rFonts w:ascii="Calibri" w:cs="Calibri" w:eastAsia="Calibri" w:hAnsi="Calibri"/>
          <w:b/>
          <w:bCs/>
          <w:color w:val="0C4A5E"/>
          <w:sz w:val="27"/>
          <w:szCs w:val="27"/>
        </w:rPr>
        <w:t xml:space="preserve">3.5 Partenaires de réalisation</w:t>
      </w:r>
    </w:p>
    <w:p>
      <w:pPr>
        <w:pStyle w:val="ListParagraph"/>
        <w:numPr>
          <w:ilvl w:val="0"/>
          <w:numId w:val="2"/>
        </w:numPr>
        <w:spacing w:after="80" w:line="276"/>
      </w:pPr>
      <w:r>
        <w:rPr>
          <w:rFonts w:ascii="Calibri" w:cs="Calibri" w:eastAsia="Calibri" w:hAnsi="Calibri"/>
          <w:b/>
          <w:bCs/>
          <w:color w:val="1E2A2E"/>
          <w:sz w:val="21"/>
          <w:szCs w:val="21"/>
        </w:rPr>
        <w:t xml:space="preserve">Construction Prospère (Dolbeau-Mistassini), entrepreneur général : </w:t>
      </w:r>
      <w:r>
        <w:rPr>
          <w:rFonts w:ascii="Calibri" w:cs="Calibri" w:eastAsia="Calibri" w:hAnsi="Calibri"/>
          <w:color w:val="1E2A2E"/>
          <w:sz w:val="21"/>
          <w:szCs w:val="21"/>
        </w:rPr>
        <w:t xml:space="preserve">contrat clé en main à prix forfaitaire par composante, licence RBQ, cautionnements d'exécution et de paiement, retenue contractuelle de 10 % convertie en billet subordonné.</w:t>
      </w:r>
    </w:p>
    <w:p>
      <w:pPr>
        <w:pStyle w:val="ListParagraph"/>
        <w:numPr>
          <w:ilvl w:val="0"/>
          <w:numId w:val="2"/>
        </w:numPr>
        <w:spacing w:after="80" w:line="276"/>
      </w:pPr>
      <w:r>
        <w:rPr>
          <w:rFonts w:ascii="Calibri" w:cs="Calibri" w:eastAsia="Calibri" w:hAnsi="Calibri"/>
          <w:b/>
          <w:bCs/>
          <w:color w:val="1E2A2E"/>
          <w:sz w:val="21"/>
          <w:szCs w:val="21"/>
        </w:rPr>
        <w:t xml:space="preserve">Coolbox HPA, fabricant : </w:t>
      </w:r>
      <w:r>
        <w:rPr>
          <w:rFonts w:ascii="Calibri" w:cs="Calibri" w:eastAsia="Calibri" w:hAnsi="Calibri"/>
          <w:color w:val="1E2A2E"/>
          <w:sz w:val="21"/>
          <w:szCs w:val="21"/>
        </w:rPr>
        <w:t xml:space="preserve">soumission à prix fixe valide 12 mois pour les 9 unités, fiche technique quatre saisons, garantie du fabricant, exploitation des 9 unités existantes sous le contrat de partenariat (annexe J).</w:t>
      </w:r>
    </w:p>
    <w:p>
      <w:pPr>
        <w:pStyle w:val="ListParagraph"/>
        <w:numPr>
          <w:ilvl w:val="0"/>
          <w:numId w:val="2"/>
        </w:numPr>
        <w:spacing w:after="80" w:line="276"/>
      </w:pPr>
      <w:r>
        <w:rPr>
          <w:rFonts w:ascii="Calibri" w:cs="Calibri" w:eastAsia="Calibri" w:hAnsi="Calibri"/>
          <w:color w:val="1E2A2E"/>
          <w:sz w:val="21"/>
          <w:szCs w:val="21"/>
        </w:rPr>
        <w:t xml:space="preserve">Professionnels : architecte, ingénieur, firme comptable, évaluateur agréé mandaté par l'institution.</w:t>
      </w:r>
    </w:p>
    <w:p>
      <w:pPr>
        <w:spacing w:after="120" w:before="0" w:line="276"/>
        <w:jc w:val="left"/>
      </w:pPr>
      <w:r>
        <w:rPr>
          <w:rFonts w:ascii="Calibri" w:cs="Calibri" w:eastAsia="Calibri" w:hAnsi="Calibri"/>
        </w:rPr>
        <w:t xml:space="preserve">Les autorisations, permis, documents et pièces complémentaires requis seront fournis et pris en considération aux étapes subséquentes du projet, au fur et à mesure de sa progression, en collaboration avec l'institution financière et les professionnels mandatés.</w:t>
      </w:r>
    </w:p>
    <w:p>
      <w:pPr>
        <w:pStyle w:val="Heading2"/>
        <w:keepNext/>
        <w:spacing w:after="120" w:before="300"/>
      </w:pPr>
      <w:r>
        <w:rPr>
          <w:rFonts w:ascii="Calibri" w:cs="Calibri" w:eastAsia="Calibri" w:hAnsi="Calibri"/>
          <w:b/>
          <w:bCs/>
          <w:color w:val="0C4A5E"/>
          <w:sz w:val="27"/>
          <w:szCs w:val="27"/>
        </w:rPr>
        <w:t xml:space="preserve">3.6 Plan d'aménagement du site</w:t>
      </w:r>
    </w:p>
    <w:p>
      <w:pPr>
        <w:spacing w:after="120" w:before="0" w:line="276"/>
        <w:jc w:val="left"/>
      </w:pPr>
      <w:r>
        <w:rPr>
          <w:rFonts w:ascii="Calibri" w:cs="Calibri" w:eastAsia="Calibri" w:hAnsi="Calibri"/>
        </w:rPr>
        <w:t xml:space="preserve">Le plan ci-dessous localise les installations existantes : l'hôtel et les condos (02) à l'entrée, la piscine centrale (06) avec la scène et le café cubain (08), la zone de restauration (09), les cabanas (14), les emplacements Coolbox et le terrain de volleyball (16), l'amphithéâtre (18), le chapiteau (19) et les secteurs de terrains desservis. Les travaux du projet portent sur l'hôtel, le restaurant, les villas, les chalets, les emplacements Coolbox et les terrains existants convertis en saisonniers.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54959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3552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Plan d'aménagement actuel du site (source : Havana Resort)</w:t>
            </w:r>
          </w:p>
        </w:tc>
      </w:tr>
    </w:tbl>
    <w:p>
      <w:pPr>
        <w:spacing w:after="8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500"/>
        <w:gridCol w:w="2716"/>
        <w:gridCol w:w="500"/>
        <w:gridCol w:w="2716"/>
        <w:gridCol w:w="500"/>
        <w:gridCol w:w="2716"/>
      </w:tblGrid>
      <w:tr>
        <w:trPr>
          <w:tblHeader/>
        </w:trPr>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c>
          <w:tcPr>
            <w:tcW w:type="dxa" w:w="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w:t>
            </w:r>
          </w:p>
        </w:tc>
        <w:tc>
          <w:tcPr>
            <w:tcW w:type="dxa" w:w="2716"/>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Installation</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Accueil</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08</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café cubain</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et stationnement</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02</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 condos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09</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Zone restauration</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Coolbox et terrain de volleyball</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03</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Parc, jeux pour enfants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10</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Salle communautaire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 douches, buanderie</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04</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Kiosque de mangues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11</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Dépanneur et cantine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18</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Amphithéâtre</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05</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d'eau</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Soucoupe volante</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19</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Chapiteau</w:t>
            </w:r>
          </w:p>
        </w:tc>
      </w:tr>
      <w:tr>
        <w:trPr>
          <w:cantSplit/>
        </w:trPr>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06</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Piscine</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13</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Location de triporteurs</w:t>
            </w:r>
          </w:p>
        </w:tc>
        <w:tc>
          <w:tcPr>
            <w:tcW w:type="dxa" w:w="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20</w:t>
            </w:r>
          </w:p>
        </w:tc>
        <w:tc>
          <w:tcPr>
            <w:tcW w:type="dxa" w:w="2716"/>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Boutique Havana et informations</w:t>
            </w:r>
          </w:p>
        </w:tc>
      </w:tr>
      <w:tr>
        <w:trPr>
          <w:cantSplit/>
        </w:trPr>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07</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Toilettes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14</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Cabanas</w:t>
            </w:r>
          </w:p>
        </w:tc>
        <w:tc>
          <w:tcPr>
            <w:tcW w:type="dxa" w:w="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21</w:t>
            </w:r>
          </w:p>
        </w:tc>
        <w:tc>
          <w:tcPr>
            <w:tcW w:type="dxa" w:w="2716"/>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Jeux gonflables</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04</w:t>
      </w:r>
    </w:p>
    <w:p>
      <w:pPr>
        <w:pStyle w:val="Heading1"/>
        <w:spacing w:after="0" w:before="0"/>
      </w:pPr>
      <w:r>
        <w:rPr>
          <w:rFonts w:ascii="Calibri" w:cs="Calibri" w:eastAsia="Calibri" w:hAnsi="Calibri"/>
          <w:b/>
          <w:bCs/>
          <w:color w:val="FFFFFF"/>
          <w:sz w:val="46"/>
          <w:szCs w:val="46"/>
        </w:rPr>
        <w:t xml:space="preserve">Analyse du marché</w:t>
      </w:r>
    </w:p>
    <w:p>
      <w:pPr>
        <w:spacing w:after="0" w:before="0" w:line="1250" w:lineRule="exact"/>
      </w:pPr>
    </w:p>
    <w:p>
      <w:pPr>
        <w:spacing w:after="240" w:before="0" w:line="300"/>
      </w:pPr>
      <w:r>
        <w:rPr>
          <w:rFonts w:ascii="Georgia" w:cs="Georgia" w:eastAsia="Georgia" w:hAnsi="Georgia"/>
          <w:i/>
          <w:iCs/>
          <w:color w:val="2BB5BF"/>
          <w:sz w:val="25"/>
          <w:szCs w:val="25"/>
        </w:rPr>
        <w:t xml:space="preserve">Un marché de proximité de plusieurs millions de personnes, une région quatre saisons établie, et un produit hivernal déjà vendu ailleurs par le réseau Coolbox.</w:t>
      </w:r>
    </w:p>
    <w:p>
      <w:pPr>
        <w:pStyle w:val="Heading2"/>
        <w:keepNext/>
        <w:spacing w:after="120" w:before="300"/>
      </w:pPr>
      <w:r>
        <w:rPr>
          <w:rFonts w:ascii="Calibri" w:cs="Calibri" w:eastAsia="Calibri" w:hAnsi="Calibri"/>
          <w:b/>
          <w:bCs/>
          <w:color w:val="0C4A5E"/>
          <w:sz w:val="27"/>
          <w:szCs w:val="27"/>
        </w:rPr>
        <w:t xml:space="preserve">4.1 Indicateurs de marché</w:t>
      </w:r>
    </w:p>
    <w:p>
      <w:pPr>
        <w:spacing w:after="120" w:before="0" w:line="276"/>
        <w:jc w:val="left"/>
      </w:pPr>
      <w:r>
        <w:rPr>
          <w:rFonts w:ascii="Calibri" w:cs="Calibri" w:eastAsia="Calibri" w:hAnsi="Calibri"/>
        </w:rPr>
        <w:t xml:space="preserve">Sources nommées.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3000"/>
        <w:gridCol w:w="324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w:t>
            </w:r>
          </w:p>
        </w:tc>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Valeur</w:t>
            </w:r>
          </w:p>
        </w:tc>
        <w:tc>
          <w:tcPr>
            <w:tcW w:type="dxa" w:w="32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campings du Québec, juin à août 2025</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75 % (74 % en 2024)</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de fréquentation 2025</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Cantons-de-l'Est, été 2025</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76 %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Camping Québec, bilan 2025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des grands campings, 2015-2020</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75 % à 78 % ; saisonniers ≈ 62 % des sites</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 Grenier 2021, p. 94-100 (Camping Québec)</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hôtelière, Cantons-de-l'Est, hiver 2025-2026</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42 %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communiqué hiver 2025-26</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Bassin à moins de 2 heures de route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RMR de Montréal ≈ 4,3 M, RMR de Sherbrooke ≈ 0,23 M, Granby, Drummondville, Saint-Hyacinthe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Population d'origine latino-américaine, RMR de Montréal</w:t>
            </w:r>
          </w:p>
        </w:tc>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(3,3 %)</w:t>
            </w:r>
          </w:p>
        </w:tc>
        <w:tc>
          <w:tcPr>
            <w:tcW w:type="dxa" w:w="32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Statistique Canada, recensement 2021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Distance</w:t>
            </w:r>
          </w:p>
        </w:tc>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h 15 de Montréal, 35 min de Sherbrooke et de Drummondville</w:t>
            </w:r>
          </w:p>
        </w:tc>
        <w:tc>
          <w:tcPr>
            <w:tcW w:type="dxa" w:w="3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Site havanaresort.ca</w:t>
            </w:r>
          </w:p>
        </w:tc>
      </w:tr>
    </w:tbl>
    <w:p>
      <w:pPr>
        <w:spacing w:after="120"/>
      </w:pPr>
    </w:p>
    <w:p>
      <w:pPr>
        <w:pStyle w:val="Heading2"/>
        <w:keepNext/>
        <w:spacing w:after="120" w:before="300"/>
      </w:pPr>
      <w:r>
        <w:rPr>
          <w:rFonts w:ascii="Calibri" w:cs="Calibri" w:eastAsia="Calibri" w:hAnsi="Calibri"/>
          <w:b/>
          <w:bCs/>
          <w:color w:val="0C4A5E"/>
          <w:sz w:val="27"/>
          <w:szCs w:val="27"/>
        </w:rPr>
        <w:t xml:space="preserve">4.2 Tendances</w:t>
      </w:r>
    </w:p>
    <w:p>
      <w:pPr>
        <w:pStyle w:val="ListParagraph"/>
        <w:numPr>
          <w:ilvl w:val="0"/>
          <w:numId w:val="2"/>
        </w:numPr>
        <w:spacing w:after="80" w:line="276"/>
      </w:pPr>
      <w:r>
        <w:rPr>
          <w:rFonts w:ascii="Calibri" w:cs="Calibri" w:eastAsia="Calibri" w:hAnsi="Calibri"/>
          <w:b/>
          <w:bCs/>
          <w:color w:val="1E2A2E"/>
          <w:sz w:val="21"/>
          <w:szCs w:val="21"/>
        </w:rPr>
        <w:t xml:space="preserve">Le confort et le prêt-à-camper : </w:t>
      </w:r>
      <w:r>
        <w:rPr>
          <w:rFonts w:ascii="Calibri" w:cs="Calibri" w:eastAsia="Calibri" w:hAnsi="Calibri"/>
          <w:color w:val="1E2A2E"/>
          <w:sz w:val="21"/>
          <w:szCs w:val="21"/>
        </w:rPr>
        <w:t xml:space="preserve">cabanas, chalets et unités tout équipées croissent plus vite que le camping traditionnel et commandent des tarifs deux à trois fois supérieurs ; à Havana, les chalets ont progressé de 24 % en 2026.</w:t>
      </w:r>
    </w:p>
    <w:p>
      <w:pPr>
        <w:pStyle w:val="ListParagraph"/>
        <w:numPr>
          <w:ilvl w:val="0"/>
          <w:numId w:val="2"/>
        </w:numPr>
        <w:spacing w:after="80" w:line="276"/>
      </w:pPr>
      <w:r>
        <w:rPr>
          <w:rFonts w:ascii="Calibri" w:cs="Calibri" w:eastAsia="Calibri" w:hAnsi="Calibri"/>
          <w:b/>
          <w:bCs/>
          <w:color w:val="1E2A2E"/>
          <w:sz w:val="21"/>
          <w:szCs w:val="21"/>
        </w:rPr>
        <w:t xml:space="preserve">L'expérience et l'animation : </w:t>
      </w:r>
      <w:r>
        <w:rPr>
          <w:rFonts w:ascii="Calibri" w:cs="Calibri" w:eastAsia="Calibri" w:hAnsi="Calibri"/>
          <w:color w:val="1E2A2E"/>
          <w:sz w:val="21"/>
          <w:szCs w:val="21"/>
        </w:rPr>
        <w:t xml:space="preserve">les clients choisissent un lieu pour ce qu'ils y vivront autant que pour l'hébergement.</w:t>
      </w:r>
    </w:p>
    <w:p>
      <w:pPr>
        <w:pStyle w:val="ListParagraph"/>
        <w:numPr>
          <w:ilvl w:val="0"/>
          <w:numId w:val="2"/>
        </w:numPr>
        <w:spacing w:after="80" w:line="276"/>
      </w:pPr>
      <w:r>
        <w:rPr>
          <w:rFonts w:ascii="Calibri" w:cs="Calibri" w:eastAsia="Calibri" w:hAnsi="Calibri"/>
          <w:b/>
          <w:bCs/>
          <w:color w:val="1E2A2E"/>
          <w:sz w:val="21"/>
          <w:szCs w:val="21"/>
        </w:rPr>
        <w:t xml:space="preserve">Les quatre saisons : </w:t>
      </w:r>
      <w:r>
        <w:rPr>
          <w:rFonts w:ascii="Calibri" w:cs="Calibri" w:eastAsia="Calibri" w:hAnsi="Calibri"/>
          <w:color w:val="1E2A2E"/>
          <w:sz w:val="21"/>
          <w:szCs w:val="21"/>
        </w:rPr>
        <w:t xml:space="preserve">spas nordiques, sentiers illuminés et hébergements chauffés ont créé un marché hivernal de proximité dans les Cantons-de-l'Est.</w:t>
      </w:r>
    </w:p>
    <w:p>
      <w:pPr>
        <w:pStyle w:val="Heading2"/>
        <w:keepNext/>
        <w:spacing w:after="120" w:before="300"/>
      </w:pPr>
      <w:r>
        <w:rPr>
          <w:rFonts w:ascii="Calibri" w:cs="Calibri" w:eastAsia="Calibri" w:hAnsi="Calibri"/>
          <w:b/>
          <w:bCs/>
          <w:color w:val="0C4A5E"/>
          <w:sz w:val="27"/>
          <w:szCs w:val="27"/>
        </w:rPr>
        <w:t xml:space="preserve">4.3 La preuve de l'hiver par le produit</w:t>
      </w:r>
    </w:p>
    <w:p>
      <w:pPr>
        <w:spacing w:after="120" w:before="0" w:line="276"/>
        <w:jc w:val="left"/>
      </w:pPr>
      <w:r>
        <w:rPr>
          <w:rFonts w:ascii="Calibri" w:cs="Calibri" w:eastAsia="Calibri" w:hAnsi="Calibri"/>
        </w:rPr>
        <w:t xml:space="preserve">L'occupation hivernale projetée ne repose pas sur une hypothèse générale mais sur un produit qui existe : les unités Coolbox sont exploitées l'hiver sur d'autres destinations du réseau (fiches de ventes par site, annexe J). À Havana, elles n'ont été exploitées qu'en été jusqu'en 2026. Le plan retient pour les unités du site une occupation hivernale de 20 % en An 1 à 35 % en An 5 (chalets : 12 % à 25 %), sous les taux observés dans le réseau.</w:t>
      </w:r>
    </w:p>
    <w:p>
      <w:pPr>
        <w:pStyle w:val="Heading2"/>
        <w:keepNext/>
        <w:spacing w:after="120" w:before="300"/>
      </w:pPr>
      <w:r>
        <w:rPr>
          <w:rFonts w:ascii="Calibri" w:cs="Calibri" w:eastAsia="Calibri" w:hAnsi="Calibri"/>
          <w:b/>
          <w:bCs/>
          <w:color w:val="0C4A5E"/>
          <w:sz w:val="27"/>
          <w:szCs w:val="27"/>
        </w:rPr>
        <w:t xml:space="preserve">4.4 Clientèle cible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2800"/>
        <w:gridCol w:w="3100"/>
        <w:gridCol w:w="17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Segment</w:t>
            </w:r>
          </w:p>
        </w:tc>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Profil</w:t>
            </w:r>
          </w:p>
        </w:tc>
        <w:tc>
          <w:tcPr>
            <w:tcW w:type="dxa" w:w="31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Offre principale</w:t>
            </w:r>
          </w:p>
        </w:tc>
        <w:tc>
          <w:tcPr>
            <w:tcW w:type="dxa" w:w="1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Ménages avec enfants, rayon de 2 heures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cabanas, chalets, Coolbox,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Été</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Couples et groupes d'amis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25 à 55 ans, séjours courts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Villas, hôtel, Coolbox, restaurant, spectacles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Saisonniers</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Retraités et familles fidèles</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Terrains saisonniers (jusqu'à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Mai à octobre</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et groupes</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Réunions, retraites, mariages</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de conférence, restaurant</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Communauté cubaine et latino-américaine</w:t>
            </w:r>
          </w:p>
        </w:tc>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 137 850 personnes d'origine latino-américaine dans la RMR de Montréal</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de jour</w:t>
            </w:r>
          </w:p>
        </w:tc>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Résidents de la région</w:t>
            </w:r>
          </w:p>
        </w:tc>
        <w:tc>
          <w:tcPr>
            <w:tcW w:type="dxa" w:w="31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Restaurant, événements</w:t>
            </w:r>
          </w:p>
        </w:tc>
        <w:tc>
          <w:tcPr>
            <w:tcW w:type="dxa" w:w="1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saisons</w:t>
            </w:r>
          </w:p>
        </w:tc>
      </w:tr>
    </w:tbl>
    <w:p>
      <w:pPr>
        <w:pStyle w:val="Heading2"/>
        <w:keepNext/>
        <w:spacing w:after="120" w:before="300"/>
      </w:pPr>
      <w:r>
        <w:rPr>
          <w:rFonts w:ascii="Calibri" w:cs="Calibri" w:eastAsia="Calibri" w:hAnsi="Calibri"/>
          <w:b/>
          <w:bCs/>
          <w:color w:val="0C4A5E"/>
          <w:sz w:val="27"/>
          <w:szCs w:val="27"/>
        </w:rPr>
        <w:t xml:space="preserve">4.5 Concurrence</w:t>
      </w:r>
    </w:p>
    <w:p>
      <w:pPr>
        <w:spacing w:after="120" w:before="0" w:line="276"/>
        <w:jc w:val="left"/>
      </w:pPr>
      <w:r>
        <w:rPr>
          <w:rFonts w:ascii="Calibri" w:cs="Calibri" w:eastAsia="Calibri" w:hAnsi="Calibri"/>
        </w:rPr>
        <w:t xml:space="preserve">Aucun établissement québécois n'offre une thématique cubaine intégrée ; la concurrence est indirecte. Les établissements ci-dessous situent les tarifs et les capacités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400"/>
        <w:gridCol w:w="2200"/>
        <w:gridCol w:w="25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Établissement</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Offre</w:t>
            </w:r>
          </w:p>
        </w:tc>
        <w:tc>
          <w:tcPr>
            <w:tcW w:type="dxa" w:w="2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Ce qu'on retient</w:t>
            </w:r>
          </w:p>
        </w:tc>
        <w:tc>
          <w:tcPr>
            <w:tcW w:type="dxa" w:w="25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Notre différenciation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Vacances Bromont (Bromont)</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543 emplacements, glissades d'eau, chalets 4 saisons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Référence régionale de prix et de volume</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Thématique, piscine centrale avec bar, animation, tarifs sous le haut de gamme</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 la Vallée Bleue (Lac-Brome)</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213 sites, forte part de saisonniers</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Modèle saisonnier de l'Estrie</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Programme d'animation et d'événements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Camping des Baies (Windsor)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 170 sites, majorité de saisonniers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Proximité de Maricourt</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Hébergement locatif diversifié, produit hiver</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Spas nordiques régionaux (Eastman, Bromont, Magog)</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Accès à la journée 65 $ à 80 $</w:t>
            </w:r>
          </w:p>
        </w:tc>
        <w:tc>
          <w:tcPr>
            <w:tcW w:type="dxa" w:w="2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régional</w:t>
            </w:r>
          </w:p>
        </w:tc>
        <w:tc>
          <w:tcPr>
            <w:tcW w:type="dxa" w:w="25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Spa intégré à un séjour, prix inférieur</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Hôtels et auberges de l'Estrie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Chambres 3 étoiles</w:t>
            </w:r>
          </w:p>
        </w:tc>
        <w:tc>
          <w:tcPr>
            <w:tcW w:type="dxa" w:w="2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Repère tarifaire de l'hôtel (190 $)</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Expérience immersive et activités sur place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05</w:t>
      </w:r>
    </w:p>
    <w:p>
      <w:pPr>
        <w:pStyle w:val="Heading1"/>
        <w:spacing w:after="0" w:before="0"/>
      </w:pPr>
      <w:r>
        <w:rPr>
          <w:rFonts w:ascii="Calibri" w:cs="Calibri" w:eastAsia="Calibri" w:hAnsi="Calibri"/>
          <w:b/>
          <w:bCs/>
          <w:color w:val="FFFFFF"/>
          <w:sz w:val="46"/>
          <w:szCs w:val="46"/>
        </w:rPr>
        <w:t xml:space="preserve">Stratégie de commercialisation</w:t>
      </w:r>
    </w:p>
    <w:p>
      <w:pPr>
        <w:spacing w:after="0" w:before="0" w:line="1250" w:lineRule="exact"/>
      </w:pPr>
    </w:p>
    <w:p>
      <w:pPr>
        <w:spacing w:after="240" w:before="0" w:line="300"/>
      </w:pPr>
      <w:r>
        <w:rPr>
          <w:rFonts w:ascii="Georgia" w:cs="Georgia" w:eastAsia="Georgia" w:hAnsi="Georgia"/>
          <w:i/>
          <w:iCs/>
          <w:color w:val="2BB5BF"/>
          <w:sz w:val="25"/>
          <w:szCs w:val="25"/>
        </w:rPr>
        <w:t xml:space="preserve">Vendre d'abord la nouvelle capacité à la clientèle existante, encaisser les saisonniers avant la saison, et nommer ce qui se vend l'hiver.</w:t>
      </w:r>
    </w:p>
    <w:p>
      <w:pPr>
        <w:pStyle w:val="Heading2"/>
        <w:keepNext/>
        <w:spacing w:after="120" w:before="300"/>
      </w:pPr>
      <w:r>
        <w:rPr>
          <w:rFonts w:ascii="Calibri" w:cs="Calibri" w:eastAsia="Calibri" w:hAnsi="Calibri"/>
          <w:b/>
          <w:bCs/>
          <w:color w:val="0C4A5E"/>
          <w:sz w:val="27"/>
          <w:szCs w:val="27"/>
        </w:rPr>
        <w:t xml:space="preserve">5.1 Positionnement et tarification</w:t>
      </w:r>
    </w:p>
    <w:p>
      <w:pPr>
        <w:spacing w:after="120" w:before="0" w:line="276"/>
        <w:jc w:val="left"/>
      </w:pPr>
      <w:r>
        <w:rPr>
          <w:rFonts w:ascii="Calibri" w:cs="Calibri" w:eastAsia="Calibri" w:hAnsi="Calibri"/>
        </w:rPr>
        <w:t xml:space="preserve">« Cuba à 90 minutes de Montréal, douze mois par année. » Une destination d'évasion accessible, festive et familiale, à un prix inférieur aux centres de villégiature haut de gamme de la région.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500"/>
        <w:gridCol w:w="2700"/>
        <w:gridCol w:w="1700"/>
        <w:gridCol w:w="2748"/>
      </w:tblGrid>
      <w:tr>
        <w:trPr>
          <w:tblHeader/>
        </w:trPr>
        <w:tc>
          <w:tcPr>
            <w:tcW w:type="dxa" w:w="2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Produit</w:t>
            </w:r>
          </w:p>
        </w:tc>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Tarif de référence An 1</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Indexation</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Base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de camping</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Selon grille 2026 (65 $ à 90 $)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Grille affichée, annexe G</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Terrain saisonnier</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3 650 $ / saison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Contrats 2026</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Chalet 4 saisons</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Villa</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275 $ été, 245 $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Chambre d'hôtel</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r>
        <w:trPr>
          <w:cantSplit/>
        </w:trPr>
        <w:tc>
          <w:tcPr>
            <w:tcW w:type="dxa" w:w="2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 Coolbox</w:t>
            </w:r>
          </w:p>
        </w:tc>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225 $ été, 199 $ hiver</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affiché 2023</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Cabana prêt-à-camper</w:t>
            </w:r>
          </w:p>
        </w:tc>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200 $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3 % par année</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Tarif 2026</w:t>
            </w:r>
          </w:p>
        </w:tc>
      </w:tr>
    </w:tbl>
    <w:p>
      <w:pPr>
        <w:pStyle w:val="Heading2"/>
        <w:keepNext/>
        <w:spacing w:after="120" w:before="300"/>
      </w:pPr>
      <w:r>
        <w:rPr>
          <w:rFonts w:ascii="Calibri" w:cs="Calibri" w:eastAsia="Calibri" w:hAnsi="Calibri"/>
          <w:b/>
          <w:bCs/>
          <w:color w:val="0C4A5E"/>
          <w:sz w:val="27"/>
          <w:szCs w:val="27"/>
        </w:rPr>
        <w:t xml:space="preserve">5.2 Plan de vente des terrains saisonniers</w:t>
      </w:r>
    </w:p>
    <w:p>
      <w:pPr>
        <w:spacing w:after="120" w:before="0" w:line="276"/>
        <w:jc w:val="left"/>
      </w:pPr>
      <w:r>
        <w:rPr>
          <w:rFonts w:ascii="Calibri" w:cs="Calibri" w:eastAsia="Calibri" w:hAnsi="Calibri"/>
        </w:rPr>
        <w:t xml:space="preserve">Point de départ réel : environ 12 contrats payés en 2026 (43 209 $). Les ventes de contrats 2027 ouvrent en septembre-octobre 2026 auprès des campeurs réguliers, avec dépôt à la signature et solde en mars. Trajectoire retenue : 12 → 30 → 45 → 58 → 66 → 70 contrats, sur des terrains existants convertis.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Ventes nettes à réaliser dans l'année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Revenus saisonniers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43 209 $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109 500 $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169 178 $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224 593 $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263 238 $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287 568 $</w:t>
            </w:r>
          </w:p>
        </w:tc>
      </w:tr>
    </w:tbl>
    <w:p>
      <w:pPr>
        <w:pStyle w:val="Heading2"/>
        <w:keepNext/>
        <w:spacing w:after="120" w:before="300"/>
      </w:pPr>
      <w:r>
        <w:rPr>
          <w:rFonts w:ascii="Calibri" w:cs="Calibri" w:eastAsia="Calibri" w:hAnsi="Calibri"/>
          <w:b/>
          <w:bCs/>
          <w:color w:val="0C4A5E"/>
          <w:sz w:val="27"/>
          <w:szCs w:val="27"/>
        </w:rPr>
        <w:t xml:space="preserve">5.3 Ce qui se vend l'hiver 2027-2028</w:t>
      </w:r>
    </w:p>
    <w:p>
      <w:pPr>
        <w:spacing w:after="120" w:before="0" w:line="276"/>
        <w:jc w:val="left"/>
      </w:pPr>
      <w:r>
        <w:rPr>
          <w:rFonts w:ascii="Calibri" w:cs="Calibri" w:eastAsia="Calibri" w:hAnsi="Calibri"/>
        </w:rPr>
        <w:t xml:space="preserve">Le premier hiver repose sur des produits nommés : l'hôtel (17 chambres) et la salle de conférence livrés en juillet 2027, les 16 chalets hivernisés à l'automne 2027 et les 9 nouvelles unités Coolbox.</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700"/>
        <w:gridCol w:w="2300"/>
        <w:gridCol w:w="27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Produit d'hiver</w:t>
            </w:r>
          </w:p>
        </w:tc>
        <w:tc>
          <w:tcPr>
            <w:tcW w:type="dxa" w:w="1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Période</w:t>
            </w:r>
          </w:p>
        </w:tc>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Unités mobilisées</w:t>
            </w:r>
          </w:p>
        </w:tc>
        <w:tc>
          <w:tcPr>
            <w:tcW w:type="dxa" w:w="2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Source de la demande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Retraites et réunions d'entreprise en semaine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Novembre à avril</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salle, restaurant</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Entreprises de Sherbrooke, Drummondville, Granby ; ventes directes</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Fêtes et jour de l'An cubain</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20 déc. – 3 janv.</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Hôtel, chalets, Coolbox</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Clientèle estivale, communauté latino-américaine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Grand Prix Ski-Doo de Valcourt (février)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 de semaine de février</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Toutes les unités chauffées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Forfaits hébergement + navette</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Relâche scolaire</w:t>
            </w:r>
          </w:p>
        </w:tc>
        <w:tc>
          <w:tcPr>
            <w:tcW w:type="dxa" w:w="1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Début mars</w:t>
            </w:r>
          </w:p>
        </w:tc>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Chalets, Coolbox, hôtel</w:t>
            </w:r>
          </w:p>
        </w:tc>
        <w:tc>
          <w:tcPr>
            <w:tcW w:type="dxa" w:w="2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Familles du Grand Montréal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Fins de semaine motoneige et plein air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Janvier à mars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Coolbox, chalets</w:t>
            </w:r>
          </w:p>
        </w:tc>
        <w:tc>
          <w:tcPr>
            <w:tcW w:type="dxa" w:w="2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Sentiers régionaux</w:t>
            </w:r>
          </w:p>
        </w:tc>
      </w:tr>
    </w:tbl>
    <w:p>
      <w:pPr>
        <w:pStyle w:val="Heading2"/>
        <w:keepNext/>
        <w:spacing w:after="120" w:before="300"/>
      </w:pPr>
      <w:r>
        <w:rPr>
          <w:rFonts w:ascii="Calibri" w:cs="Calibri" w:eastAsia="Calibri" w:hAnsi="Calibri"/>
          <w:b/>
          <w:bCs/>
          <w:color w:val="0C4A5E"/>
          <w:sz w:val="27"/>
          <w:szCs w:val="27"/>
        </w:rPr>
        <w:t xml:space="preserve">5.4 Distribution et réservation</w:t>
      </w:r>
    </w:p>
    <w:p>
      <w:pPr>
        <w:pStyle w:val="ListParagraph"/>
        <w:numPr>
          <w:ilvl w:val="0"/>
          <w:numId w:val="2"/>
        </w:numPr>
        <w:spacing w:after="80" w:line="276"/>
      </w:pPr>
      <w:r>
        <w:rPr>
          <w:rFonts w:ascii="Calibri" w:cs="Calibri" w:eastAsia="Calibri" w:hAnsi="Calibri"/>
          <w:color w:val="1E2A2E"/>
          <w:sz w:val="21"/>
          <w:szCs w:val="21"/>
        </w:rPr>
        <w:t xml:space="preserve">Terrains, cabanas, chalets et chambres actuelles : reservationcamping.ca (Solutions Web Pixum), 9 670 transactions en 2026.</w:t>
      </w:r>
    </w:p>
    <w:p>
      <w:pPr>
        <w:pStyle w:val="ListParagraph"/>
        <w:numPr>
          <w:ilvl w:val="0"/>
          <w:numId w:val="2"/>
        </w:numPr>
        <w:spacing w:after="80" w:line="276"/>
      </w:pPr>
      <w:r>
        <w:rPr>
          <w:rFonts w:ascii="Calibri" w:cs="Calibri" w:eastAsia="Calibri" w:hAnsi="Calibri"/>
          <w:color w:val="1E2A2E"/>
          <w:sz w:val="21"/>
          <w:szCs w:val="21"/>
        </w:rPr>
        <w:t xml:space="preserve">Unités Coolbox : plateforme reservationcoolbox.ca déjà active (contrat de partenariat), 180 334 $ de ventes en 2026 ; canal étendu aux 9 nouvelles unités.</w:t>
      </w:r>
    </w:p>
    <w:p>
      <w:pPr>
        <w:pStyle w:val="ListParagraph"/>
        <w:numPr>
          <w:ilvl w:val="0"/>
          <w:numId w:val="2"/>
        </w:numPr>
        <w:spacing w:after="80" w:line="276"/>
      </w:pPr>
      <w:r>
        <w:rPr>
          <w:rFonts w:ascii="Calibri" w:cs="Calibri" w:eastAsia="Calibri" w:hAnsi="Calibri"/>
          <w:color w:val="1E2A2E"/>
          <w:sz w:val="21"/>
          <w:szCs w:val="21"/>
        </w:rPr>
        <w:t xml:space="preserve">Hôtel et villas : système de gestion hôtelière et gestionnaire de canaux (Booking, Expedia, Airbnb) ; commissions de plateformes inscrites aux charges (section 8).</w:t>
      </w:r>
    </w:p>
    <w:p>
      <w:pPr>
        <w:pStyle w:val="ListParagraph"/>
        <w:numPr>
          <w:ilvl w:val="0"/>
          <w:numId w:val="2"/>
        </w:numPr>
        <w:spacing w:after="80" w:line="276"/>
      </w:pPr>
      <w:r>
        <w:rPr>
          <w:rFonts w:ascii="Calibri" w:cs="Calibri" w:eastAsia="Calibri" w:hAnsi="Calibri"/>
          <w:color w:val="1E2A2E"/>
          <w:sz w:val="21"/>
          <w:szCs w:val="21"/>
        </w:rPr>
        <w:t xml:space="preserve">Groupes et entreprises : ressource de vente dédiée dès l'automne 2026 ; forfaits hiver, mariages, retraites.</w:t>
      </w:r>
    </w:p>
    <w:p>
      <w:pPr>
        <w:pStyle w:val="Heading2"/>
        <w:keepNext/>
        <w:spacing w:after="120" w:before="300"/>
      </w:pPr>
      <w:r>
        <w:rPr>
          <w:rFonts w:ascii="Calibri" w:cs="Calibri" w:eastAsia="Calibri" w:hAnsi="Calibri"/>
          <w:b/>
          <w:bCs/>
          <w:color w:val="0C4A5E"/>
          <w:sz w:val="27"/>
          <w:szCs w:val="27"/>
        </w:rPr>
        <w:t xml:space="preserve">5.5 Promotion et budget par canal</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1300"/>
        <w:gridCol w:w="34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Canal</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w:t>
            </w:r>
          </w:p>
        </w:tc>
        <w:tc>
          <w:tcPr>
            <w:tcW w:type="dxa" w:w="34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Contenu</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Publicité numérique géociblée (Meta, Google), infolettre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41 956 $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59 847 $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Rayon de 2 heures, clientèle passée, communauté latino-américaine</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Tourisme Cantons-de-l'Est, Camping Québec, guides et campagnes régionales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Adhésions, participation aux campagnes hiver et 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Relations médias, créateurs de contenu, lancement de l'hôtel</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Ouverture juillet 2027, hiver 2027-2028</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Événements signature et programmation</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13 985 $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19 949 $</w:t>
            </w:r>
          </w:p>
        </w:tc>
        <w:tc>
          <w:tcPr>
            <w:tcW w:type="dxa" w:w="34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Festival cubain, soirées, Fêtes</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Réputation en ligne et service client</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9 323 $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13 299 $</w:t>
            </w:r>
          </w:p>
        </w:tc>
        <w:tc>
          <w:tcPr>
            <w:tcW w:type="dxa" w:w="3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Réponse à 100 % des avis, sondage de séjour, suivi mensuel</w:t>
            </w:r>
          </w:p>
        </w:tc>
      </w:tr>
      <w:tr>
        <w:trPr>
          <w:cantSplit/>
        </w:trPr>
        <w:tc>
          <w:tcPr>
            <w:tcW w:type="dxa" w:w="3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marketing (3,5 % puis 3 % des revenus)</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93 235 $</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132 993 $</w:t>
            </w:r>
          </w:p>
        </w:tc>
        <w:tc>
          <w:tcPr>
            <w:tcW w:type="dxa" w:w="34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Commissions de plateformes comptées à part</w:t>
            </w:r>
          </w:p>
        </w:tc>
      </w:tr>
    </w:tbl>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133475"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60"/>
              <w:jc w:val="left"/>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143000" cy="2028825"/>
                          </a:xfrm>
                          <a:prstGeom prst="rect">
                            <a:avLst/>
                          </a:prstGeom>
                        </pic:spPr>
                      </pic:pic>
                    </a:graphicData>
                  </a:graphic>
                </wp:inline>
              </w:drawing>
            </w:r>
          </w:p>
          <w:p>
            <w:pPr>
              <w:pBdr>
                <w:top w:val="single" w:color="2BB5BF" w:sz="6" w:space="3"/>
              </w:pBdr>
              <w:spacing w:after="0" w:line="240"/>
              <w:jc w:val="left"/>
            </w:pPr>
            <w:r>
              <w:rPr>
                <w:rFonts w:ascii="Calibri" w:cs="Calibri" w:eastAsia="Calibri" w:hAnsi="Calibri"/>
                <w:color w:val="6F8A90"/>
                <w:sz w:val="16"/>
                <w:szCs w:val="16"/>
              </w:rPr>
              <w:t xml:space="preserve">Contenu vidéo des réseaux sociaux : le train du resort</w:t>
            </w:r>
          </w:p>
        </w:tc>
      </w:tr>
    </w:tbl>
    <w:p>
      <w:pPr>
        <w:pStyle w:val="Heading2"/>
        <w:keepNext/>
        <w:spacing w:after="120" w:before="300"/>
      </w:pPr>
      <w:r>
        <w:rPr>
          <w:rFonts w:ascii="Calibri" w:cs="Calibri" w:eastAsia="Calibri" w:hAnsi="Calibri"/>
          <w:b/>
          <w:bCs/>
          <w:color w:val="0C4A5E"/>
          <w:sz w:val="27"/>
          <w:szCs w:val="27"/>
        </w:rPr>
        <w:t xml:space="preserve">5.6 Tableau de bord pour le prêteur</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000"/>
        <w:gridCol w:w="1100"/>
        <w:gridCol w:w="1110"/>
        <w:gridCol w:w="1110"/>
        <w:gridCol w:w="1110"/>
        <w:gridCol w:w="1110"/>
        <w:gridCol w:w="1108"/>
      </w:tblGrid>
      <w:tr>
        <w:trPr>
          <w:tblHeader/>
        </w:trPr>
        <w:tc>
          <w:tcPr>
            <w:tcW w:type="dxa" w:w="3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Indicateur (trimestriel)</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Départ 2026</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11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10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Contrats saisonniers signés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30</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45</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70</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chalets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55 %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61 %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66 %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hivernale des chalets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annuelle de l'hôtel</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Occupation estivale des unités Coolbox</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55 %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63 %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r>
      <w:tr>
        <w:trPr>
          <w:cantSplit/>
        </w:trPr>
        <w:tc>
          <w:tcPr>
            <w:tcW w:type="dxa" w:w="3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 revenus d'hébergement</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6,5 %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18 %</w:t>
            </w:r>
          </w:p>
        </w:tc>
        <w:tc>
          <w:tcPr>
            <w:tcW w:type="dxa" w:w="111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19 %</w:t>
            </w:r>
          </w:p>
        </w:tc>
        <w:tc>
          <w:tcPr>
            <w:tcW w:type="dxa" w:w="110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Panier moyen par transaction</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158 $</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c>
          <w:tcPr>
            <w:tcW w:type="dxa" w:w="11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06</w:t>
      </w:r>
    </w:p>
    <w:p>
      <w:pPr>
        <w:pStyle w:val="Heading1"/>
        <w:spacing w:after="0" w:before="0"/>
      </w:pPr>
      <w:r>
        <w:rPr>
          <w:rFonts w:ascii="Calibri" w:cs="Calibri" w:eastAsia="Calibri" w:hAnsi="Calibri"/>
          <w:b/>
          <w:bCs/>
          <w:color w:val="FFFFFF"/>
          <w:sz w:val="46"/>
          <w:szCs w:val="46"/>
        </w:rPr>
        <w:t xml:space="preserve">Plan d'exploitation</w:t>
      </w:r>
    </w:p>
    <w:p>
      <w:pPr>
        <w:spacing w:after="0" w:before="0" w:line="1250" w:lineRule="exact"/>
      </w:pPr>
    </w:p>
    <w:p>
      <w:pPr>
        <w:spacing w:after="240" w:before="0" w:line="300"/>
      </w:pPr>
      <w:r>
        <w:rPr>
          <w:rFonts w:ascii="Georgia" w:cs="Georgia" w:eastAsia="Georgia" w:hAnsi="Georgia"/>
          <w:i/>
          <w:iCs/>
          <w:color w:val="2BB5BF"/>
          <w:sz w:val="25"/>
          <w:szCs w:val="25"/>
        </w:rPr>
        <w:t xml:space="preserve">Passer de six à douze mois d'activité : effectifs construits poste par poste, infrastructures suivies par des ingénieurs, entretien au niveau réel.</w:t>
      </w:r>
    </w:p>
    <w:p>
      <w:pPr>
        <w:pStyle w:val="Heading2"/>
        <w:keepNext/>
        <w:spacing w:after="120" w:before="300"/>
      </w:pPr>
      <w:r>
        <w:rPr>
          <w:rFonts w:ascii="Calibri" w:cs="Calibri" w:eastAsia="Calibri" w:hAnsi="Calibri"/>
          <w:b/>
          <w:bCs/>
          <w:color w:val="0C4A5E"/>
          <w:sz w:val="27"/>
          <w:szCs w:val="27"/>
        </w:rPr>
        <w:t xml:space="preserve">6.1 Organisation</w:t>
      </w:r>
    </w:p>
    <w:p>
      <w:pPr>
        <w:spacing w:after="120" w:before="0" w:line="276"/>
        <w:jc w:val="left"/>
      </w:pPr>
      <w:r>
        <w:rPr>
          <w:rFonts w:ascii="Calibri" w:cs="Calibri" w:eastAsia="Calibri" w:hAnsi="Calibri"/>
        </w:rPr>
        <w:t xml:space="preserve">Cinq services : hébergement et réservations, restauration, animation et événements, entretien et infrastructures, administration. Chaque service relève d'un responsable qui rend compte à la direction générale.</w:t>
      </w:r>
    </w:p>
    <w:p>
      <w:pPr>
        <w:pStyle w:val="Heading2"/>
        <w:keepNext/>
        <w:spacing w:after="120" w:before="300"/>
      </w:pPr>
      <w:r>
        <w:rPr>
          <w:rFonts w:ascii="Calibri" w:cs="Calibri" w:eastAsia="Calibri" w:hAnsi="Calibri"/>
          <w:b/>
          <w:bCs/>
          <w:color w:val="0C4A5E"/>
          <w:sz w:val="27"/>
          <w:szCs w:val="27"/>
        </w:rPr>
        <w:t xml:space="preserve">6.2 Effectifs</w:t>
      </w:r>
    </w:p>
    <w:p>
      <w:pPr>
        <w:spacing w:after="120" w:before="0" w:line="276"/>
        <w:jc w:val="left"/>
      </w:pPr>
      <w:r>
        <w:rPr>
          <w:rFonts w:ascii="Calibri" w:cs="Calibri" w:eastAsia="Calibri" w:hAnsi="Calibri"/>
        </w:rPr>
        <w:t xml:space="preserve">La masse salariale est le résultat d'un tableau d'effectifs (postes, mois, heures, taux horaire chargé) présenté dans le classeur financier, et non un pourcentage cible. Elle représente 36 % des revenus en An 1 et 30 % en An 5, en ligne avec la normalisation de l'évaluation par les revenus de 2021 (30 %). Recrutement : logement des employés sur le site, postes à l'année, partenariats avec les écoles hôtelières.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200"/>
        <w:gridCol w:w="1300"/>
        <w:gridCol w:w="1300"/>
        <w:gridCol w:w="2848"/>
      </w:tblGrid>
      <w:tr>
        <w:trPr>
          <w:tblHeader/>
        </w:trPr>
        <w:tc>
          <w:tcPr>
            <w:tcW w:type="dxa" w:w="4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Poste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Été (ETP)</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Hiver (ETP)</w:t>
            </w:r>
          </w:p>
        </w:tc>
        <w:tc>
          <w:tcPr>
            <w:tcW w:type="dxa" w:w="28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Base</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Direction générale et finances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Salariés à l'année</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Accueil et réservations (hôtel 24/7 dès juillet 2027)</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 4,2 ETP pour une réception 24/7</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ménager et buanderie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 ETP par 8 à 10 unités louées</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Restauration (cuisine et service)</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Restaurant ouvert 12 mois, service réduit l'hiver</w:t>
            </w:r>
          </w:p>
        </w:tc>
      </w:tr>
      <w:tr>
        <w:trPr>
          <w:cantSplit/>
        </w:trPr>
        <w:tc>
          <w:tcPr>
            <w:tcW w:type="dxa" w:w="4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Animation, événements, sécurité</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w:t>
            </w:r>
          </w:p>
        </w:tc>
        <w:tc>
          <w:tcPr>
            <w:tcW w:type="dxa" w:w="2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Programmation d'été</w:t>
            </w:r>
          </w:p>
        </w:tc>
      </w:tr>
      <w:tr>
        <w:trPr>
          <w:cantSplit/>
        </w:trPr>
        <w:tc>
          <w:tcPr>
            <w:tcW w:type="dxa" w:w="4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Entretien des terrains, bâtiments, infrastructures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w:t>
            </w:r>
          </w:p>
        </w:tc>
        <w:tc>
          <w:tcPr>
            <w:tcW w:type="dxa" w:w="28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Usine d'épuration, chauffage, déneigement</w:t>
            </w:r>
          </w:p>
        </w:tc>
      </w:tr>
      <w:tr>
        <w:trPr>
          <w:cantSplit/>
        </w:trPr>
        <w:tc>
          <w:tcPr>
            <w:tcW w:type="dxa" w:w="4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approximatif</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34</w:t>
            </w:r>
          </w:p>
        </w:tc>
        <w:tc>
          <w:tcPr>
            <w:tcW w:type="dxa" w:w="13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15</w:t>
            </w:r>
          </w:p>
        </w:tc>
        <w:tc>
          <w:tcPr>
            <w:tcW w:type="dxa" w:w="28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Détail mensuel dans le classeur (annexe H)</w:t>
            </w:r>
          </w:p>
        </w:tc>
      </w:tr>
    </w:tbl>
    <w:p>
      <w:pPr>
        <w:pStyle w:val="Heading2"/>
        <w:keepNext/>
        <w:spacing w:after="120" w:before="300"/>
      </w:pPr>
      <w:r>
        <w:rPr>
          <w:rFonts w:ascii="Calibri" w:cs="Calibri" w:eastAsia="Calibri" w:hAnsi="Calibri"/>
          <w:b/>
          <w:bCs/>
          <w:color w:val="0C4A5E"/>
          <w:sz w:val="27"/>
          <w:szCs w:val="27"/>
        </w:rPr>
        <w:t xml:space="preserve">6.3 Eau, énergie et infrastructures</w:t>
      </w:r>
    </w:p>
    <w:p>
      <w:pPr>
        <w:pStyle w:val="ListParagraph"/>
        <w:numPr>
          <w:ilvl w:val="0"/>
          <w:numId w:val="2"/>
        </w:numPr>
        <w:spacing w:after="80" w:line="276"/>
      </w:pPr>
      <w:r>
        <w:rPr>
          <w:rFonts w:ascii="Calibri" w:cs="Calibri" w:eastAsia="Calibri" w:hAnsi="Calibri"/>
          <w:color w:val="1E2A2E"/>
          <w:sz w:val="21"/>
          <w:szCs w:val="21"/>
        </w:rPr>
        <w:t xml:space="preserve">Usine d'épuration privée (2019, 1,0 M$), conçue dans l'optique d'une expansion ; suivi par ingénieur pour l'exploitation douze mois.</w:t>
      </w:r>
    </w:p>
    <w:p>
      <w:pPr>
        <w:pStyle w:val="ListParagraph"/>
        <w:numPr>
          <w:ilvl w:val="0"/>
          <w:numId w:val="2"/>
        </w:numPr>
        <w:spacing w:after="80" w:line="276"/>
      </w:pPr>
      <w:r>
        <w:rPr>
          <w:rFonts w:ascii="Calibri" w:cs="Calibri" w:eastAsia="Calibri" w:hAnsi="Calibri"/>
          <w:color w:val="1E2A2E"/>
          <w:sz w:val="21"/>
          <w:szCs w:val="21"/>
        </w:rPr>
        <w:t xml:space="preserve">Puits et eau potable : suivi réglementaire en continu.</w:t>
      </w:r>
    </w:p>
    <w:p>
      <w:pPr>
        <w:pStyle w:val="ListParagraph"/>
        <w:numPr>
          <w:ilvl w:val="0"/>
          <w:numId w:val="2"/>
        </w:numPr>
        <w:spacing w:after="80" w:line="276"/>
      </w:pPr>
      <w:r>
        <w:rPr>
          <w:rFonts w:ascii="Calibri" w:cs="Calibri" w:eastAsia="Calibri" w:hAnsi="Calibri"/>
          <w:color w:val="1E2A2E"/>
          <w:sz w:val="21"/>
          <w:szCs w:val="21"/>
        </w:rPr>
        <w:t xml:space="preserve">Énergie : le poste passe de 242 500 $ (2026) à 450 000 $ en An 5 ; étude d'efficacité énergétique (thermopompes, enveloppe de l'hôtel) et programmes Hydro-Québec affaires, non comptés dans les projections.</w:t>
      </w:r>
    </w:p>
    <w:p>
      <w:pPr>
        <w:pStyle w:val="ListParagraph"/>
        <w:numPr>
          <w:ilvl w:val="0"/>
          <w:numId w:val="2"/>
        </w:numPr>
        <w:spacing w:after="80" w:line="276"/>
      </w:pPr>
      <w:r>
        <w:rPr>
          <w:rFonts w:ascii="Calibri" w:cs="Calibri" w:eastAsia="Calibri" w:hAnsi="Calibri"/>
          <w:color w:val="1E2A2E"/>
          <w:sz w:val="21"/>
          <w:szCs w:val="21"/>
        </w:rPr>
        <w:t xml:space="preserve">Entretien : 8 % des revenus (norme de l'évaluation 2021) plus 2 % d'immobilisations de maintien ; véhicules et essence inscrits séparément.</w:t>
      </w:r>
    </w:p>
    <w:p>
      <w:pPr>
        <w:pStyle w:val="Heading2"/>
        <w:keepNext/>
        <w:spacing w:after="120" w:before="300"/>
      </w:pPr>
      <w:r>
        <w:rPr>
          <w:rFonts w:ascii="Calibri" w:cs="Calibri" w:eastAsia="Calibri" w:hAnsi="Calibri"/>
          <w:b/>
          <w:bCs/>
          <w:color w:val="0C4A5E"/>
          <w:sz w:val="27"/>
          <w:szCs w:val="27"/>
        </w:rPr>
        <w:t xml:space="preserve">6.4 Systèmes et rapports au prêteur</w:t>
      </w:r>
    </w:p>
    <w:p>
      <w:pPr>
        <w:pStyle w:val="ListParagraph"/>
        <w:numPr>
          <w:ilvl w:val="0"/>
          <w:numId w:val="2"/>
        </w:numPr>
        <w:spacing w:after="80" w:line="276"/>
      </w:pPr>
      <w:r>
        <w:rPr>
          <w:rFonts w:ascii="Calibri" w:cs="Calibri" w:eastAsia="Calibri" w:hAnsi="Calibri"/>
          <w:color w:val="1E2A2E"/>
          <w:sz w:val="21"/>
          <w:szCs w:val="21"/>
        </w:rPr>
        <w:t xml:space="preserve">Réservations : Pixum (camping) et plateforme Coolbox (unités) ; système hôtelier avec gestionnaire de canaux pour l'hôtel et les villas.</w:t>
      </w:r>
    </w:p>
    <w:p>
      <w:pPr>
        <w:pStyle w:val="ListParagraph"/>
        <w:numPr>
          <w:ilvl w:val="0"/>
          <w:numId w:val="2"/>
        </w:numPr>
        <w:spacing w:after="80" w:line="276"/>
      </w:pPr>
      <w:r>
        <w:rPr>
          <w:rFonts w:ascii="Calibri" w:cs="Calibri" w:eastAsia="Calibri" w:hAnsi="Calibri"/>
          <w:color w:val="1E2A2E"/>
          <w:sz w:val="21"/>
          <w:szCs w:val="21"/>
        </w:rPr>
        <w:t xml:space="preserve">Point de vente restauration intégré à la comptabilité ; comptabilité et paie par une firme comptable externe ; états financiers audités à compter de l'exercice 2028.</w:t>
      </w:r>
    </w:p>
    <w:p>
      <w:pPr>
        <w:pStyle w:val="ListParagraph"/>
        <w:numPr>
          <w:ilvl w:val="0"/>
          <w:numId w:val="2"/>
        </w:numPr>
        <w:spacing w:after="80" w:line="276"/>
      </w:pPr>
      <w:r>
        <w:rPr>
          <w:rFonts w:ascii="Calibri" w:cs="Calibri" w:eastAsia="Calibri" w:hAnsi="Calibri"/>
          <w:color w:val="1E2A2E"/>
          <w:sz w:val="21"/>
          <w:szCs w:val="21"/>
        </w:rPr>
        <w:t xml:space="preserve">Rapports trimestriels : tableau de bord (5.6), ventes par catégorie, encaisse, avancement des travaux.</w:t>
      </w:r>
    </w:p>
    <w:p>
      <w:pPr>
        <w:pStyle w:val="Heading2"/>
        <w:keepNext/>
        <w:spacing w:after="120" w:before="300"/>
      </w:pPr>
      <w:r>
        <w:rPr>
          <w:rFonts w:ascii="Calibri" w:cs="Calibri" w:eastAsia="Calibri" w:hAnsi="Calibri"/>
          <w:b/>
          <w:bCs/>
          <w:color w:val="0C4A5E"/>
          <w:sz w:val="27"/>
          <w:szCs w:val="27"/>
        </w:rPr>
        <w:t xml:space="preserve">6.5 Partenariat Coolbox : partage contractuel</w:t>
      </w:r>
    </w:p>
    <w:p>
      <w:pPr>
        <w:spacing w:after="120" w:before="0" w:line="276"/>
        <w:jc w:val="left"/>
      </w:pPr>
      <w:r>
        <w:rPr>
          <w:rFonts w:ascii="Calibri" w:cs="Calibri" w:eastAsia="Calibri" w:hAnsi="Calibri"/>
        </w:rPr>
        <w:t xml:space="preserve">Pour les 9 unités propriété de Coolbox HPA, le contrat de partenariat prévoit que les unités demeurent la propriété exclusive du fabricant (exclues des garanties offertes), que l'assurance responsabilité de 2 M$ est portée par Coolbox et que les ventes transitent par sa plateforme ; Havana reçoit 50 % des ventes moins le transport. Les 9 nouvelles unités appartiennent à l'emprunteur et entrent dans l'hypothèque mobilière.</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07</w:t>
      </w:r>
    </w:p>
    <w:p>
      <w:pPr>
        <w:pStyle w:val="Heading1"/>
        <w:spacing w:after="0" w:before="0"/>
      </w:pPr>
      <w:r>
        <w:rPr>
          <w:rFonts w:ascii="Calibri" w:cs="Calibri" w:eastAsia="Calibri" w:hAnsi="Calibri"/>
          <w:b/>
          <w:bCs/>
          <w:color w:val="FFFFFF"/>
          <w:sz w:val="46"/>
          <w:szCs w:val="46"/>
        </w:rPr>
        <w:t xml:space="preserve">Équipe de direction et partenaires</w:t>
      </w:r>
    </w:p>
    <w:p>
      <w:pPr>
        <w:spacing w:after="0" w:before="0" w:line="1250" w:lineRule="exact"/>
      </w:pPr>
    </w:p>
    <w:p>
      <w:pPr>
        <w:spacing w:after="240" w:before="0" w:line="300"/>
      </w:pPr>
      <w:r>
        <w:rPr>
          <w:rFonts w:ascii="Georgia" w:cs="Georgia" w:eastAsia="Georgia" w:hAnsi="Georgia"/>
          <w:i/>
          <w:iCs/>
          <w:color w:val="2BB5BF"/>
          <w:sz w:val="25"/>
          <w:szCs w:val="25"/>
        </w:rPr>
        <w:t xml:space="preserve">Une direction renouvelée, la famille fondatrice, et deux partenaires industriels qui construisent et exploitent déjà sur le site.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00"/>
        <w:gridCol w:w="2400"/>
        <w:gridCol w:w="4848"/>
      </w:tblGrid>
      <w:tr>
        <w:trPr>
          <w:tblHeader/>
        </w:trPr>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Nom</w:t>
            </w:r>
          </w:p>
        </w:tc>
        <w:tc>
          <w:tcPr>
            <w:tcW w:type="dxa" w:w="2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Rôle</w:t>
            </w:r>
          </w:p>
        </w:tc>
        <w:tc>
          <w:tcPr>
            <w:tcW w:type="dxa" w:w="4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Responsabilités dans le projet</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Dominic Perrier</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générale, fondateur</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Concept, opérations, animation et relations avec la clientèle depuis 2015</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Famille Perrier</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Actionnaires</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Continuité de la vision, relations avec la clientèle</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Direction des opérations, restauration et administration</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Responsables de service</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Hébergement, entretien, saisonniers ; restaurant Madera et événements ; comptabilité, trésorerie et rapports au prêteur</w:t>
            </w:r>
          </w:p>
        </w:tc>
      </w:tr>
      <w:tr>
        <w:trPr>
          <w:cantSplit/>
        </w:trPr>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Francis Tremblay – Coolbox HPA</w:t>
            </w:r>
          </w:p>
        </w:tc>
        <w:tc>
          <w:tcPr>
            <w:tcW w:type="dxa" w:w="2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Partenaire industriel</w:t>
            </w:r>
          </w:p>
        </w:tc>
        <w:tc>
          <w:tcPr>
            <w:tcW w:type="dxa" w:w="4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Unités quatre saisons, plateforme de vente, exploitation des 9 unités existantes</w:t>
            </w:r>
          </w:p>
        </w:tc>
      </w:tr>
      <w:tr>
        <w:trPr>
          <w:cantSplit/>
        </w:trPr>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Jean-Sébastien Tremblay – Construction Prospère</w:t>
            </w:r>
          </w:p>
        </w:tc>
        <w:tc>
          <w:tcPr>
            <w:tcW w:type="dxa" w:w="2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Entrepreneur général</w:t>
            </w:r>
          </w:p>
        </w:tc>
        <w:tc>
          <w:tcPr>
            <w:tcW w:type="dxa" w:w="4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Contrat à forfait, cautionnements, calendrier de chantier</w:t>
            </w:r>
          </w:p>
        </w:tc>
      </w:tr>
    </w:tbl>
    <w:p>
      <w:pPr>
        <w:spacing w:after="120"/>
      </w:pPr>
    </w:p>
    <w:p>
      <w:pPr>
        <w:pStyle w:val="Heading2"/>
        <w:keepNext/>
        <w:spacing w:after="120" w:before="300"/>
      </w:pPr>
      <w:r>
        <w:rPr>
          <w:rFonts w:ascii="Calibri" w:cs="Calibri" w:eastAsia="Calibri" w:hAnsi="Calibri"/>
          <w:b/>
          <w:bCs/>
          <w:color w:val="0C4A5E"/>
          <w:sz w:val="27"/>
          <w:szCs w:val="27"/>
        </w:rPr>
        <w:t xml:space="preserve">Conseillers externes</w:t>
      </w:r>
    </w:p>
    <w:p>
      <w:pPr>
        <w:pStyle w:val="ListParagraph"/>
        <w:numPr>
          <w:ilvl w:val="0"/>
          <w:numId w:val="2"/>
        </w:numPr>
        <w:spacing w:after="80" w:line="276"/>
      </w:pPr>
      <w:r>
        <w:rPr>
          <w:rFonts w:ascii="Calibri" w:cs="Calibri" w:eastAsia="Calibri" w:hAnsi="Calibri"/>
          <w:color w:val="1E2A2E"/>
          <w:sz w:val="21"/>
          <w:szCs w:val="21"/>
        </w:rPr>
        <w:t xml:space="preserve">Firme comptable : états financiers, audit dès 2028, classeur financier.</w:t>
      </w:r>
    </w:p>
    <w:p>
      <w:pPr>
        <w:pStyle w:val="ListParagraph"/>
        <w:numPr>
          <w:ilvl w:val="0"/>
          <w:numId w:val="2"/>
        </w:numPr>
        <w:spacing w:after="80" w:line="276"/>
      </w:pPr>
      <w:r>
        <w:rPr>
          <w:rFonts w:ascii="Calibri" w:cs="Calibri" w:eastAsia="Calibri" w:hAnsi="Calibri"/>
          <w:color w:val="1E2A2E"/>
          <w:sz w:val="21"/>
          <w:szCs w:val="21"/>
        </w:rPr>
        <w:t xml:space="preserve">Conseiller juridique : contrats des partenaires et du financement.</w:t>
      </w:r>
    </w:p>
    <w:p>
      <w:pPr>
        <w:pStyle w:val="ListParagraph"/>
        <w:numPr>
          <w:ilvl w:val="0"/>
          <w:numId w:val="2"/>
        </w:numPr>
        <w:spacing w:after="80" w:line="276"/>
      </w:pPr>
      <w:r>
        <w:rPr>
          <w:rFonts w:ascii="Calibri" w:cs="Calibri" w:eastAsia="Calibri" w:hAnsi="Calibri"/>
          <w:color w:val="1E2A2E"/>
          <w:sz w:val="21"/>
          <w:szCs w:val="21"/>
        </w:rPr>
        <w:t xml:space="preserve">Architecte et ingénieur : hôtel, restaurant, infrastructures.</w:t>
      </w:r>
    </w:p>
    <w:p>
      <w:pPr>
        <w:pStyle w:val="ListParagraph"/>
        <w:numPr>
          <w:ilvl w:val="0"/>
          <w:numId w:val="2"/>
        </w:numPr>
        <w:spacing w:after="80" w:line="276"/>
      </w:pPr>
      <w:r>
        <w:rPr>
          <w:rFonts w:ascii="Calibri" w:cs="Calibri" w:eastAsia="Calibri" w:hAnsi="Calibri"/>
          <w:color w:val="1E2A2E"/>
          <w:sz w:val="21"/>
          <w:szCs w:val="21"/>
        </w:rPr>
        <w:t xml:space="preserve">Évaluateur agréé mandaté par l'institution.</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08</w:t>
      </w:r>
    </w:p>
    <w:p>
      <w:pPr>
        <w:pStyle w:val="Heading1"/>
        <w:spacing w:after="0" w:before="0"/>
      </w:pPr>
      <w:r>
        <w:rPr>
          <w:rFonts w:ascii="Calibri" w:cs="Calibri" w:eastAsia="Calibri" w:hAnsi="Calibri"/>
          <w:b/>
          <w:bCs/>
          <w:color w:val="FFFFFF"/>
          <w:sz w:val="46"/>
          <w:szCs w:val="46"/>
        </w:rPr>
        <w:t xml:space="preserve">Plan financier</w:t>
      </w:r>
    </w:p>
    <w:p>
      <w:pPr>
        <w:spacing w:after="0" w:before="0" w:line="1250" w:lineRule="exact"/>
      </w:pPr>
    </w:p>
    <w:p>
      <w:pPr>
        <w:spacing w:after="240" w:before="0" w:line="300"/>
      </w:pPr>
      <w:r>
        <w:rPr>
          <w:rFonts w:ascii="Georgia" w:cs="Georgia" w:eastAsia="Georgia" w:hAnsi="Georgia"/>
          <w:i/>
          <w:iCs/>
          <w:color w:val="2BB5BF"/>
          <w:sz w:val="25"/>
          <w:szCs w:val="25"/>
        </w:rPr>
        <w:t xml:space="preserve">Des projections qui partent de 2026 tel qu'il est, un montage en couches, et des ratios calculés comme la banque les calcule.</w:t>
      </w:r>
    </w:p>
    <w:p>
      <w:pPr>
        <w:pStyle w:val="Heading2"/>
        <w:keepNext/>
        <w:spacing w:after="120" w:before="300"/>
      </w:pPr>
      <w:r>
        <w:rPr>
          <w:rFonts w:ascii="Calibri" w:cs="Calibri" w:eastAsia="Calibri" w:hAnsi="Calibri"/>
          <w:b/>
          <w:bCs/>
          <w:color w:val="0C4A5E"/>
          <w:sz w:val="27"/>
          <w:szCs w:val="27"/>
        </w:rPr>
        <w:t xml:space="preserve">8.1 Hypothèses clés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300"/>
        <w:gridCol w:w="3900"/>
        <w:gridCol w:w="3448"/>
      </w:tblGrid>
      <w:tr>
        <w:trPr>
          <w:tblHeader/>
        </w:trPr>
        <w:tc>
          <w:tcPr>
            <w:tcW w:type="dxa" w:w="23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Hypothèse</w:t>
            </w:r>
          </w:p>
        </w:tc>
        <w:tc>
          <w:tcPr>
            <w:tcW w:type="dxa" w:w="3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Valeur</w:t>
            </w:r>
          </w:p>
        </w:tc>
        <w:tc>
          <w:tcPr>
            <w:tcW w:type="dxa" w:w="3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 ou statut</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Point de départ</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Ventes Pixum 2026 1 531 842 $ ; restauration et activités 196 700 $ ; part Coolbox 76 667 $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Rapports Pixum (annexe G), budget de la direction, avis de redevance 2026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Indexation des tarifs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3 % par année</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Pratique de l'industrie</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de camping</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Base 2026 indexée, gain d'occupation 0 % à 4 %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Pixum 2026 ; aucune capacité nouvelle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Terrains saisonniers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 30 → 45 → 58 → 66 → 70 contrats à 3 650 $ indexés</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 contrats réels en 2026 ; conversion de terrains existants</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Chalets (16)</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58 % → 66 % à 235 $ ; hiver 12 % → 25 % à 210 $ ; An 1 : nov.-déc. seulement</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chalets et chambres 497 723 $ ; hivernisation à l'automne 2027</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Villas (13)</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50 % → 65 % à 275 $ ; hiver 10 % → 22 % ; An 1 : demi-saison</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Livraison en juillet 2027</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Hôtel</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 chambres jan.-juin 2027 puis 17 ; occupation 35 % → 55 % à 190 $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Sous l'occupation hôtelière régionale ; montée graduelle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Nouvelles unités Coolbox (9)</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Été 55 % → 65 % à 225 $ ; hiver 20 % → 35 % à 199 $ ; An 1 : 80 % de l'été</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 unités existantes : 20 037 $ par unité en un été 2026 ; données d'hiver du réseau (annexe J)</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Part Havana des unités Coolbox HPA</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90 167 $ indexé (50 % des ventes 2026)</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de partenariat Coolbox (annexe J)</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20 % des revenus d'hébergement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Réel 2026 : 6,5 % ; bar non compté</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Spectacles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60 000 $ → 160 000 $ de billetterie brute ; cachets et technique 55 %</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Scène et chapiteau existants ; budget de la direction 200 000 $ / 33 000 $</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Salaires et charges sociales</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39 % (2026) → 36 % An 1 → 30 %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Tableau d'effectifs ; normalisation Grenier 2021 (30 %)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Entretien ; immobilisations de maintien</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8 % ; 2 % des revenus</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Grenier 2021 (8 %) ; pratique bancaire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Énergie</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275 000 $ An 1 → 450 000 $ An 5</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Budget de la direction (210 000 $ → 480 000 $)</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Commissions de plateformes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15 % sur 40 % des nuitées hôtel, villas et Coolbox</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Conditions usuelles des plateformes</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 ; DPA</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Linéaire par catégorie ; DPA cat. 1, 6, 8, 17 avec demi-année (annexe K)</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Classement par catégorie fiscale (annexe K)</w:t>
            </w:r>
          </w:p>
        </w:tc>
      </w:tr>
      <w:tr>
        <w:trPr>
          <w:cantSplit/>
        </w:trPr>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w:t>
            </w:r>
          </w:p>
        </w:tc>
        <w:tc>
          <w:tcPr>
            <w:tcW w:type="dxa" w:w="3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12,2 % jusqu'à 500 k$ de bénéfice, 26,5 % au-delà</w:t>
            </w:r>
          </w:p>
        </w:tc>
        <w:tc>
          <w:tcPr>
            <w:tcW w:type="dxa" w:w="3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combinés PME</w:t>
            </w:r>
          </w:p>
        </w:tc>
      </w:tr>
      <w:tr>
        <w:trPr>
          <w:cantSplit/>
        </w:trPr>
        <w:tc>
          <w:tcPr>
            <w:tcW w:type="dxa" w:w="23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Dette existante (2026)</w:t>
            </w:r>
          </w:p>
        </w:tc>
        <w:tc>
          <w:tcPr>
            <w:tcW w:type="dxa" w:w="3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4 000 000 $ à 7,5 % (intérêts seulement)</w:t>
            </w:r>
          </w:p>
        </w:tc>
        <w:tc>
          <w:tcPr>
            <w:tcW w:type="dxa" w:w="3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Refinancée à la clôture</w:t>
            </w:r>
          </w:p>
        </w:tc>
      </w:tr>
    </w:tbl>
    <w:p>
      <w:pPr>
        <w:pStyle w:val="Heading2"/>
        <w:keepNext/>
        <w:spacing w:after="120" w:before="300"/>
      </w:pPr>
      <w:r>
        <w:rPr>
          <w:rFonts w:ascii="Calibri" w:cs="Calibri" w:eastAsia="Calibri" w:hAnsi="Calibri"/>
          <w:b/>
          <w:bCs/>
          <w:color w:val="0C4A5E"/>
          <w:sz w:val="27"/>
          <w:szCs w:val="27"/>
        </w:rPr>
        <w:t xml:space="preserve">8.2 Coût du projet et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6200"/>
        <w:gridCol w:w="1900"/>
        <w:gridCol w:w="1548"/>
      </w:tblGrid>
      <w:tr>
        <w:trPr>
          <w:tblHeader/>
        </w:trPr>
        <w:tc>
          <w:tcPr>
            <w:tcW w:type="dxa" w:w="62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Emplois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Montant</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Part</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Projets de développement (hôtel, restaurant, villas, chalets, unités Coolbox, saisonniers)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2 859 800 $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35,0 %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Contingence (5 % forfaits d'usine, 10 % travaux de chantier)</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235 490 $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Honoraires professionnels (plans, ingénierie, permis)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2,1 %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démarrage, permis et mise à niveau des installations</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Intérêts capitalisés pendant la construction</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52 500 $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0,6 %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 (6 mois, déposée à la clôture)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233 237 $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2,9 %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Frais de financement et juridiques (montage multi-bailleurs)</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125 000 $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1,5 %</w:t>
            </w:r>
          </w:p>
        </w:tc>
      </w:tr>
      <w:tr>
        <w:trPr>
          <w:cantSplit/>
        </w:trPr>
        <w:tc>
          <w:tcPr>
            <w:tcW w:type="dxa" w:w="62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Fonds de roulement de démarrage</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250 000 $</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3,1 %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Refinancement de la dette existante</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4 000 000 $</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48,9 %</w:t>
            </w:r>
          </w:p>
        </w:tc>
      </w:tr>
      <w:tr>
        <w:trPr>
          <w:cantSplit/>
        </w:trPr>
        <w:tc>
          <w:tcPr>
            <w:tcW w:type="dxa" w:w="62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Total des emplois</w:t>
            </w:r>
          </w:p>
        </w:tc>
        <w:tc>
          <w:tcPr>
            <w:tcW w:type="dxa" w:w="1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8 181 027 $</w:t>
            </w:r>
          </w:p>
        </w:tc>
        <w:tc>
          <w:tcPr>
            <w:tcW w:type="dxa" w:w="1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100 %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4700"/>
        <w:gridCol w:w="1500"/>
        <w:gridCol w:w="900"/>
        <w:gridCol w:w="2548"/>
      </w:tblGrid>
      <w:tr>
        <w:trPr>
          <w:tblHeader/>
        </w:trPr>
        <w:tc>
          <w:tcPr>
            <w:tcW w:type="dxa" w:w="4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Sources</w:t>
            </w:r>
          </w:p>
        </w:tc>
        <w:tc>
          <w:tcPr>
            <w:tcW w:type="dxa" w:w="15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Part</w:t>
            </w:r>
          </w:p>
        </w:tc>
        <w:tc>
          <w:tcPr>
            <w:tcW w:type="dxa" w:w="2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Statut</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Demandé</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9,2 %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À solliciter</w:t>
            </w:r>
          </w:p>
        </w:tc>
      </w:tr>
      <w:tr>
        <w:trPr>
          <w:cantSplit/>
        </w:trPr>
        <w:tc>
          <w:tcPr>
            <w:tcW w:type="dxa" w:w="4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5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2,3 %</w:t>
            </w:r>
          </w:p>
        </w:tc>
        <w:tc>
          <w:tcPr>
            <w:tcW w:type="dxa" w:w="2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 (à signer)</w:t>
            </w:r>
          </w:p>
        </w:tc>
      </w:tr>
      <w:tr>
        <w:trPr>
          <w:cantSplit/>
        </w:trPr>
        <w:tc>
          <w:tcPr>
            <w:tcW w:type="dxa" w:w="4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Fonds propres : actionnaires, Coolbox HPA (apport en nature) et investisseur privé</w:t>
            </w:r>
          </w:p>
        </w:tc>
        <w:tc>
          <w:tcPr>
            <w:tcW w:type="dxa" w:w="15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1 096 027 $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13,4 %</w:t>
            </w:r>
          </w:p>
        </w:tc>
        <w:tc>
          <w:tcPr>
            <w:tcW w:type="dxa" w:w="2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Engagé</w:t>
            </w:r>
          </w:p>
        </w:tc>
      </w:tr>
      <w:tr>
        <w:trPr>
          <w:cantSplit/>
        </w:trPr>
        <w:tc>
          <w:tcPr>
            <w:tcW w:type="dxa" w:w="4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Total des sources</w:t>
            </w:r>
          </w:p>
        </w:tc>
        <w:tc>
          <w:tcPr>
            <w:tcW w:type="dxa" w:w="15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8 181 027 $</w:t>
            </w:r>
          </w:p>
        </w:tc>
        <w:tc>
          <w:tcPr>
            <w:tcW w:type="dxa" w:w="9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100 %</w:t>
            </w:r>
          </w:p>
        </w:tc>
        <w:tc>
          <w:tcPr>
            <w:tcW w:type="dxa" w:w="25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
            </w:r>
          </w:p>
        </w:tc>
      </w:tr>
    </w:tbl>
    <w:p>
      <w:pPr>
        <w:spacing w:after="120" w:before="0" w:line="276"/>
        <w:jc w:val="left"/>
      </w:pPr>
      <w:r>
        <w:rPr>
          <w:rFonts w:ascii="Calibri" w:cs="Calibri" w:eastAsia="Calibri" w:hAnsi="Calibri"/>
          <w:i/>
          <w:iCs/>
          <w:color w:val="6F8A90"/>
          <w:sz w:val="18"/>
          <w:szCs w:val="18"/>
        </w:rPr>
        <w:t xml:space="preserve">Argent neuf (emplois hors refinancement) : 4 181 027 $ ; fonds propres : 1 096 027 $, soit 26 %. Les couches marquées « à solliciter » sont déposées en parallèle de la présente demande.</w:t>
      </w:r>
    </w:p>
    <w:p>
      <w:pPr>
        <w:spacing w:after="40" w:before="120"/>
        <w:jc w:val="center"/>
      </w:pPr>
      <w:r>
        <w:drawing>
          <wp:inline distT="0" distB="0" distL="0" distR="0">
            <wp:extent cx="584835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48350" cy="30861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2 – Emplois et sources de financement</w:t>
      </w:r>
    </w:p>
    <w:p>
      <w:pPr>
        <w:pStyle w:val="Heading3"/>
        <w:keepNext/>
        <w:spacing w:after="80" w:before="200"/>
      </w:pPr>
      <w:r>
        <w:rPr>
          <w:rFonts w:ascii="Calibri" w:cs="Calibri" w:eastAsia="Calibri" w:hAnsi="Calibri"/>
          <w:b/>
          <w:bCs/>
          <w:color w:val="2BB5BF"/>
          <w:sz w:val="22"/>
          <w:szCs w:val="22"/>
        </w:rPr>
        <w:t xml:space="preserve">Capacité d'endettement senior (An 3)</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7000"/>
        <w:gridCol w:w="2648"/>
      </w:tblGrid>
      <w:tr>
        <w:trPr>
          <w:tblHeader/>
        </w:trPr>
        <w:tc>
          <w:tcPr>
            <w:tcW w:type="dxa" w:w="7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Méthode</w:t>
            </w:r>
          </w:p>
        </w:tc>
        <w:tc>
          <w:tcPr>
            <w:tcW w:type="dxa" w:w="26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Montant</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Service de la dette couvert 1,25 fois par le BAIIA moins maintien (7 %, 25 ans)</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7 880 694 $</w:t>
            </w:r>
          </w:p>
        </w:tc>
      </w:tr>
      <w:tr>
        <w:trPr>
          <w:cantSplit/>
        </w:trPr>
        <w:tc>
          <w:tcPr>
            <w:tcW w:type="dxa" w:w="7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5 fois le BAIIA de l'An 3</w:t>
            </w:r>
          </w:p>
        </w:tc>
        <w:tc>
          <w:tcPr>
            <w:tcW w:type="dxa" w:w="26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4 620 377 $</w:t>
            </w:r>
          </w:p>
        </w:tc>
      </w:tr>
      <w:tr>
        <w:trPr>
          <w:cantSplit/>
        </w:trPr>
        <w:tc>
          <w:tcPr>
            <w:tcW w:type="dxa" w:w="7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8"/>
                <w:szCs w:val="18"/>
              </w:rPr>
              <w:t xml:space="preserve">65 % d'une valeur par le revenu (BAIIA moins maintien × 0,8 ÷ 9,5 %)</w:t>
            </w:r>
          </w:p>
        </w:tc>
        <w:tc>
          <w:tcPr>
            <w:tcW w:type="dxa" w:w="26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8"/>
                <w:szCs w:val="18"/>
              </w:rPr>
              <w:t xml:space="preserve">4 573 190 $</w:t>
            </w:r>
          </w:p>
        </w:tc>
      </w:tr>
      <w:tr>
        <w:trPr>
          <w:cantSplit/>
        </w:trPr>
        <w:tc>
          <w:tcPr>
            <w:tcW w:type="dxa" w:w="70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8"/>
                <w:szCs w:val="18"/>
              </w:rPr>
              <w:t xml:space="preserve">Prêt senior demandé</w:t>
            </w:r>
          </w:p>
        </w:tc>
        <w:tc>
          <w:tcPr>
            <w:tcW w:type="dxa" w:w="26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8"/>
                <w:szCs w:val="18"/>
              </w:rPr>
              <w:t xml:space="preserve">5 500 000 $</w:t>
            </w:r>
          </w:p>
        </w:tc>
      </w:tr>
    </w:tbl>
    <w:p>
      <w:pPr>
        <w:spacing w:after="120" w:before="0" w:line="276"/>
        <w:jc w:val="left"/>
      </w:pPr>
      <w:r>
        <w:rPr>
          <w:rFonts w:ascii="Calibri" w:cs="Calibri" w:eastAsia="Calibri" w:hAnsi="Calibri"/>
          <w:i/>
          <w:iCs/>
          <w:color w:val="6F8A90"/>
          <w:sz w:val="18"/>
          <w:szCs w:val="18"/>
        </w:rPr>
        <w:t xml:space="preserve">Le prêt senior demandé se situe à l'intérieur de la fourchette des trois méthodes.</w:t>
      </w:r>
    </w:p>
    <w:p>
      <w:pPr>
        <w:pStyle w:val="Heading3"/>
        <w:keepNext/>
        <w:spacing w:after="80" w:before="200"/>
      </w:pPr>
      <w:r>
        <w:rPr>
          <w:rFonts w:ascii="Calibri" w:cs="Calibri" w:eastAsia="Calibri" w:hAnsi="Calibri"/>
          <w:b/>
          <w:bCs/>
          <w:color w:val="2BB5BF"/>
          <w:sz w:val="22"/>
          <w:szCs w:val="22"/>
        </w:rPr>
        <w:t xml:space="preserve">Structure du prêt senior et conditions de déboursement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800"/>
        <w:gridCol w:w="6848"/>
      </w:tblGrid>
      <w:tr>
        <w:trPr>
          <w:tblHeader/>
        </w:trPr>
        <w:tc>
          <w:tcPr>
            <w:tcW w:type="dxa" w:w="28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Modalité</w:t>
            </w:r>
          </w:p>
        </w:tc>
        <w:tc>
          <w:tcPr>
            <w:tcW w:type="dxa" w:w="68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Proposition</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A</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4 000 000 $ à la clôture : refinancement de la dette existante</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Tranche B</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1 500 000 $ en prêt de construction, déboursé par avancement des travaux sur certificats de l'architecte, converti en prêt à terme à la réception des travaux</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Taux et amortissement</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7,0 %, 25 ans ; paiement mensuel 38 873 $ ; sensibilités à 8 %, 9 % et 20 ans en 8.7</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Moratoire de capital</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12 mois (construction) ; intérêts de construction capitalisés aux emplois</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Réserve de service de la dette</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233 237 $ (6 mois de paiements) déposée à la clôture, financée par les fonds propres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Conditions préalables au premier déboursement</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Permis municipaux ; contrat à forfait et cautionnements de l'entrepreneur ; fonds propres déposés ; assurance chantier</w:t>
            </w:r>
          </w:p>
        </w:tc>
      </w:tr>
      <w:tr>
        <w:trPr>
          <w:cantSplit/>
        </w:trPr>
        <w:tc>
          <w:tcPr>
            <w:tcW w:type="dxa" w:w="2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Garanties</w:t>
            </w:r>
          </w:p>
        </w:tc>
        <w:tc>
          <w:tcPr>
            <w:tcW w:type="dxa" w:w="68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Hypothèque de premier rang sur les trois lots ; hypothèque mobilière sur les équipements (rapport 2023, 2,05 M$) et sur les 9 nouvelles unités Coolbox ; cession d'assurances ; cautionnements des actionnaires.</w:t>
            </w:r>
          </w:p>
        </w:tc>
      </w:tr>
      <w:tr>
        <w:trPr>
          <w:cantSplit/>
        </w:trPr>
        <w:tc>
          <w:tcPr>
            <w:tcW w:type="dxa" w:w="28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Engagements financiers</w:t>
            </w:r>
          </w:p>
        </w:tc>
        <w:tc>
          <w:tcPr>
            <w:tcW w:type="dxa" w:w="68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Aucun test avant l'exercice 2029 ; ensuite couverture bancaire ≥ 1,25 sur douze mois glissants ; dette / avoir ≤ 3,0 ; blocage des dividendes et des frais de gestion aux parties liées tant que la couverture est &lt; 1,35 ; états financiers audités ; rapports trimestriels</w:t>
            </w:r>
          </w:p>
        </w:tc>
      </w:tr>
    </w:tbl>
    <w:p>
      <w:pPr>
        <w:pStyle w:val="Heading2"/>
        <w:keepNext/>
        <w:spacing w:after="120" w:before="300"/>
      </w:pPr>
      <w:r>
        <w:rPr>
          <w:rFonts w:ascii="Calibri" w:cs="Calibri" w:eastAsia="Calibri" w:hAnsi="Calibri"/>
          <w:b/>
          <w:bCs/>
          <w:color w:val="0C4A5E"/>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3 – Revenus par source, 2026 et An 1 à An 5</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Revenus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de camping</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791 894 $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815 651 $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856 923 $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891 284 $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926 935 $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954 743 $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Terrains saisonniers (12 → 70)</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109 500 $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169 178 $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224 593 $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263 238 $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287 568 $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Chalets 4 saisons (16)</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497 723 $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423 161 $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547 436 $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604 346 $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650 888 $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685 046 $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Villas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222 099 $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467 648 $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541 035 $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585 129 $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623 978 $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Hôtel (6 → 17 chambres)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279 134 $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510 014 $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600 359 $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669 901 $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729 805 $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Cabanas prêt-à-camper (13)</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199 016 $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204 986 $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215 358 $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226 169 $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235 194 $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242 249 $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Unités Coolbox 4 saisons (9 nouvelles)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228 778 $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320 419 $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359 086 $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385 086 $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400 287 $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Partenariat Coolbox HPA (9 unités existantes)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76 667 $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92 872 $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95 658 $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98 528 $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101 484 $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104 528 $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Restauration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182 665 $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432 177 $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620 437 $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706 110 $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784 735 $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Spectacles et festivals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123 600 $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159 135 $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174 836 $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Activités et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155 000 $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revenus</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1 805 209 $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2 663 845 $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3 799 811 $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4 429 436 $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4 831 099 $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5 142 777 $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Charges d'exploitation</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Coût des ventes (restauration, concessions)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52 340 $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81 279 $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167 618 $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232 744 $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262 616 $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289 963 $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Cachets, technique et sécurité des spectacles (55 % de la billetterie)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67 980 $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87 524 $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96 160 $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Commissions des plateformes de distribution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43 801 $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77 885 $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90 029 $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98 407 $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105 244 $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Salaires et charges sociales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704 031 $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958 984 $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1 291 936 $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1 417 419 $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1 497 641 $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1 542 833 $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Électricité, chauffage et propane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400 000 $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435 000 $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450 000 $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Entretien et réparations (8 %)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144 417 $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213 108 $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303 985 $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354 355 $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386 488 $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411 422 $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Véhicules, essence et entretien des véhicules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91 155 $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93 890 $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96 706 $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99 608 $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102 596 $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Marketing et commercialisation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54 156 $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93 235 $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132 993 $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132 883 $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144 933 $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154 283 $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Assurances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134 000 $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138 000 $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142 000 $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Taxes municipales et scolaires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54 500 $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133 000 $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136 000 $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139 000 $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Honoraires comptables et audit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25 750 $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26 523 $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27 318 $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28 138 $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28 982 $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Administration, TI et télécoms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bancaires et de cartes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27 078 $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39 958 $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56 997 $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66 442 $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72 466 $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77 142 $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Fournitures d'exploitation</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45 130 $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66 596 $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94 995 $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110 736 $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120 777 $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128 569 $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Loyers et locations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42 840 $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43 697 $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44 571 $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45 462 $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46 371 $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Divers et imprévus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36 104 $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des charges d'exploitation</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1 611 861 $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2 208 259 $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3 135 511 $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3 505 360 $</w:t>
            </w:r>
          </w:p>
        </w:tc>
        <w:tc>
          <w:tcPr>
            <w:tcW w:type="dxa" w:w="11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3 746 305 $</w:t>
            </w:r>
          </w:p>
        </w:tc>
        <w:tc>
          <w:tcPr>
            <w:tcW w:type="dxa" w:w="11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3 920 277 $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Résultats</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BAIIA</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193 348 $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455 586 $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664 300 $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924 075 $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1 084 795 $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1 222 500 $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Marge BAIIA</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23,8 %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comptable</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221 465 $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292 931 $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Intérêts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300 000 $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423 500 $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467 601 $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459 663 $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446 998 $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429 414 $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Bénéfice avant impôts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171 481 $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344 866 $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500 156 $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Impôts (12,2 % jusqu'à 500 k$, 26,5 % au-delà)</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20 921 $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42 074 $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61 041 $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439 114 $</w:t>
            </w:r>
          </w:p>
        </w:tc>
      </w:tr>
    </w:tbl>
    <w:p>
      <w:pPr>
        <w:spacing w:after="120" w:before="0" w:line="276"/>
        <w:jc w:val="left"/>
      </w:pPr>
      <w:r>
        <w:rPr>
          <w:rFonts w:ascii="Calibri" w:cs="Calibri" w:eastAsia="Calibri" w:hAnsi="Calibri"/>
          <w:i/>
          <w:iCs/>
          <w:color w:val="6F8A90"/>
          <w:sz w:val="18"/>
          <w:szCs w:val="18"/>
        </w:rPr>
        <w:t xml:space="preserve">2026 : exercice de transition, charges du budget de la direction et dette existante en intérêts seulement.</w:t>
      </w: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4 – Répartition des revenus : 2026 et An 5</w:t>
      </w:r>
    </w:p>
    <w:p>
      <w:pPr>
        <w:pStyle w:val="Heading2"/>
        <w:keepNext/>
        <w:spacing w:after="120" w:before="300"/>
      </w:pPr>
      <w:r>
        <w:rPr>
          <w:rFonts w:ascii="Calibri" w:cs="Calibri" w:eastAsia="Calibri" w:hAnsi="Calibri"/>
          <w:b/>
          <w:bCs/>
          <w:color w:val="0C4A5E"/>
          <w:sz w:val="27"/>
          <w:szCs w:val="27"/>
        </w:rPr>
        <w:t xml:space="preserve">8.4 Flux de trésorerie et service de la dette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160"/>
        <w:gridCol w:w="1160"/>
        <w:gridCol w:w="1160"/>
        <w:gridCol w:w="1160"/>
        <w:gridCol w:w="1160"/>
        <w:gridCol w:w="11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Flux de trésorerie (méthode indirecte)</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2026 (réel)</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1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1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 net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(189 379)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(96 232)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150 561 $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302 792 $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439 114 $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Plus : amortissement</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150 000 $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221 465 $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292 931 $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d'exploitation</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32 086 $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196 699 $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443 491 $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595 723 $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732 045 $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remboursement de capital (toutes couches)</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Moins : immobilisations de maintien (2 % des revenus)</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(53 277)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(75 996)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(88 589)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(96 622)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(102 856) $</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Flux de trésorerie disponible</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(106 652)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18 784 $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140 974 $</w:t>
            </w:r>
          </w:p>
        </w:tc>
        <w:tc>
          <w:tcPr>
            <w:tcW w:type="dxa" w:w="11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195 205 $</w:t>
            </w:r>
          </w:p>
        </w:tc>
        <w:tc>
          <w:tcPr>
            <w:tcW w:type="dxa" w:w="11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307 709 $</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Trésorerie cumulée depuis la clôture (hors réserve et fonds de roulement)</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0 $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(21 191)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(2 407)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138 567 $</w:t>
            </w:r>
          </w:p>
        </w:tc>
        <w:tc>
          <w:tcPr>
            <w:tcW w:type="dxa" w:w="11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333 772 $</w:t>
            </w:r>
          </w:p>
        </w:tc>
        <w:tc>
          <w:tcPr>
            <w:tcW w:type="dxa" w:w="11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641 481 $</w:t>
            </w:r>
          </w:p>
        </w:tc>
      </w:tr>
    </w:tbl>
    <w:p>
      <w:pPr>
        <w:spacing w:after="120"/>
      </w:pPr>
    </w:p>
    <w:p>
      <w:pPr>
        <w:spacing w:after="120" w:before="0" w:line="276"/>
        <w:jc w:val="left"/>
      </w:pPr>
      <w:r>
        <w:rPr>
          <w:rFonts w:ascii="Calibri" w:cs="Calibri" w:eastAsia="Calibri" w:hAnsi="Calibri"/>
        </w:rPr>
        <w:t xml:space="preserve">Trésorerie mensuelle : le budget de la direction montre un creux cumulé d'environ 300 000 $ de novembre à avril hors service de dette. Le plan y répond par la réserve de service de la dette, le fonds de roulement de 250 000 $, les contrats saisonniers encaissés de janvier à mars et une marge d'exploitation renouvelable saisonnière (facilité distincte, dimensionnée sur le tableau mensuel du classeur).</w:t>
      </w:r>
    </w:p>
    <w:p>
      <w:pPr>
        <w:pStyle w:val="Heading3"/>
        <w:keepNext/>
        <w:spacing w:after="80" w:before="200"/>
      </w:pPr>
      <w:r>
        <w:rPr>
          <w:rFonts w:ascii="Calibri" w:cs="Calibri" w:eastAsia="Calibri" w:hAnsi="Calibri"/>
          <w:b/>
          <w:bCs/>
          <w:color w:val="2BB5BF"/>
          <w:sz w:val="22"/>
          <w:szCs w:val="22"/>
        </w:rPr>
        <w:t xml:space="preserve">Couches de financement</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600"/>
        <w:gridCol w:w="1300"/>
        <w:gridCol w:w="900"/>
        <w:gridCol w:w="1200"/>
        <w:gridCol w:w="1100"/>
        <w:gridCol w:w="1548"/>
      </w:tblGrid>
      <w:tr>
        <w:trPr>
          <w:tblHeader/>
        </w:trPr>
        <w:tc>
          <w:tcPr>
            <w:tcW w:type="dxa" w:w="3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Couche</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Montant</w:t>
            </w:r>
          </w:p>
        </w:tc>
        <w:tc>
          <w:tcPr>
            <w:tcW w:type="dxa" w:w="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Taux</w:t>
            </w:r>
          </w:p>
        </w:tc>
        <w:tc>
          <w:tcPr>
            <w:tcW w:type="dxa" w:w="12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Amortissement</w:t>
            </w:r>
          </w:p>
        </w:tc>
        <w:tc>
          <w:tcPr>
            <w:tcW w:type="dxa" w:w="11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Moratoire</w:t>
            </w:r>
          </w:p>
        </w:tc>
        <w:tc>
          <w:tcPr>
            <w:tcW w:type="dxa" w:w="15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Paiement mensuel</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 (tranche A refinancement, tranche B construction)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5 500 000 $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38 873 $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 – contribution remboursable sans intérêt</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5 952 $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 : Fonds régional de solidarité FTQ Estrie ou Fondaction</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750 000 $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36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12 067 $</w:t>
            </w:r>
          </w:p>
        </w:tc>
      </w:tr>
      <w:tr>
        <w:trPr>
          <w:cantSplit/>
        </w:trPr>
        <w:tc>
          <w:tcPr>
            <w:tcW w:type="dxa" w:w="3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 – FLI / FLS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150 000 $</w:t>
            </w:r>
          </w:p>
        </w:tc>
        <w:tc>
          <w:tcPr>
            <w:tcW w:type="dxa" w:w="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6,0 %</w:t>
            </w:r>
          </w:p>
        </w:tc>
        <w:tc>
          <w:tcPr>
            <w:tcW w:type="dxa" w:w="12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 ans</w:t>
            </w:r>
          </w:p>
        </w:tc>
        <w:tc>
          <w:tcPr>
            <w:tcW w:type="dxa" w:w="11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 mois</w:t>
            </w:r>
          </w:p>
        </w:tc>
        <w:tc>
          <w:tcPr>
            <w:tcW w:type="dxa" w:w="15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2 191 $</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 – retenue contractuelle subordonnée (10 % des travaux de chantier)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185 000 $</w:t>
            </w:r>
          </w:p>
        </w:tc>
        <w:tc>
          <w:tcPr>
            <w:tcW w:type="dxa" w:w="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5,0 %</w:t>
            </w:r>
          </w:p>
        </w:tc>
        <w:tc>
          <w:tcPr>
            <w:tcW w:type="dxa" w:w="1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5 ans</w:t>
            </w:r>
          </w:p>
        </w:tc>
        <w:tc>
          <w:tcPr>
            <w:tcW w:type="dxa" w:w="11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24 mois</w:t>
            </w:r>
          </w:p>
        </w:tc>
        <w:tc>
          <w:tcPr>
            <w:tcW w:type="dxa" w:w="15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3 491 $</w:t>
            </w:r>
          </w:p>
        </w:tc>
      </w:tr>
    </w:tbl>
    <w:p>
      <w:pPr>
        <w:spacing w:after="120"/>
      </w:pP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Service annuel par couche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Prêt hypothécaire de premier rang</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337 750 $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466 474 $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DEC</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71 429 $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Quasi-équité</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67 500 $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144 802 $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MRC du Val-Saint-François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9 000 $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26 295 $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Construction Prospère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9 250 $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41 894 $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Service total</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423 500 $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569 520 $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673 592 $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750 894 $</w:t>
            </w:r>
          </w:p>
        </w:tc>
      </w:tr>
    </w:tbl>
    <w:p>
      <w:r>
        <w:br w:type="page"/>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000"/>
        <w:gridCol w:w="1900"/>
        <w:gridCol w:w="1900"/>
        <w:gridCol w:w="1900"/>
        <w:gridCol w:w="1948"/>
      </w:tblGrid>
      <w:tr>
        <w:trPr>
          <w:tblHeader/>
        </w:trPr>
        <w:tc>
          <w:tcPr>
            <w:tcW w:type="dxa" w:w="20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Prêt senior</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Intérêts</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Capital</w:t>
            </w:r>
          </w:p>
        </w:tc>
        <w:tc>
          <w:tcPr>
            <w:tcW w:type="dxa" w:w="19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Service</w:t>
            </w:r>
          </w:p>
        </w:tc>
        <w:tc>
          <w:tcPr>
            <w:tcW w:type="dxa" w:w="19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337 750 $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5 500 000 $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2</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382 335 $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84 140 $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5 415 860 $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376 252 $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90 222 $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5 325 638 $</w:t>
            </w:r>
          </w:p>
        </w:tc>
      </w:tr>
      <w:tr>
        <w:trPr>
          <w:cantSplit/>
        </w:trPr>
        <w:tc>
          <w:tcPr>
            <w:tcW w:type="dxa" w:w="20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4</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369 730 $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96 744 $</w:t>
            </w:r>
          </w:p>
        </w:tc>
        <w:tc>
          <w:tcPr>
            <w:tcW w:type="dxa" w:w="19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5 228 894 $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362 736 $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103 738 $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466 474 $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5 125 156 $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6F8A90"/>
          <w:sz w:val="17"/>
          <w:szCs w:val="17"/>
        </w:rPr>
        <w:t xml:space="preserve">Figure 5 – BAIIA, service de la dette et couverture</w:t>
      </w:r>
    </w:p>
    <w:p>
      <w:r>
        <w:br w:type="page"/>
      </w:r>
    </w:p>
    <w:p>
      <w:pPr>
        <w:pStyle w:val="Heading2"/>
        <w:keepNext/>
        <w:spacing w:after="120" w:before="300"/>
      </w:pPr>
      <w:r>
        <w:rPr>
          <w:rFonts w:ascii="Calibri" w:cs="Calibri" w:eastAsia="Calibri" w:hAnsi="Calibri"/>
          <w:b/>
          <w:bCs/>
          <w:color w:val="0C4A5E"/>
          <w:sz w:val="27"/>
          <w:szCs w:val="27"/>
        </w:rPr>
        <w:t xml:space="preserve">8.5 Bilan prévisionnel (pro forma)</w:t>
      </w:r>
    </w:p>
    <w:p>
      <w:pPr>
        <w:spacing w:after="120" w:before="0" w:line="276"/>
        <w:jc w:val="left"/>
      </w:pPr>
      <w:r>
        <w:rPr>
          <w:rFonts w:ascii="Calibri" w:cs="Calibri" w:eastAsia="Calibri" w:hAnsi="Calibri"/>
        </w:rPr>
        <w:t xml:space="preserve">Le bilan est établi au coût : immobilisations existantes au coût des investissements réalisés (11 915 000 $, annexe A) moins un amortissement cumulé de 3 000 000 $, dette existante refinancée, fonds propres injectés. Il balance chaque 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Bilan au 31 décembre</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An 5
2031</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ACTIF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Encaisse (fonds de roulement, réserve de service de la dette, flux cumulés)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462 046 $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480 830 $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621 804 $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817 009 $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1 124 718 $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Immobilisations existantes au coût déclaré, nettes de l'amortissement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8 765 000 $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8 615 000 $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8 465 000 $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8 315 000 $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8 165 000 $</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Nouvelles immobilisations (projet et maintien), nettes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3 252 102 $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3 185 167 $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3 130 825 $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3 084 516 $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3 044 441 $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Frais reportés (conformité, intérêts capitalisés, frais de financement)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342 000 $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256 500 $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171 000 $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85 500 $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l'actif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PASSIF</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Portion courante de la dette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101 919 $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213 929 $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303 896 $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321 480 $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340 447 $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Dette à long terme (toutes couches)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6 983 081 $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6 769 152 $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6 465 256 $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6 143 776 $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5 803 329 $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7 085 000 $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6 983 081 $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6 769 152 $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6 465 256 $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6 143 776 $</w:t>
            </w:r>
          </w:p>
        </w:tc>
      </w:tr>
      <w:tr>
        <w:trPr>
          <w:cantSplit/>
        </w:trPr>
        <w:tc>
          <w:tcPr>
            <w:tcW w:type="dxa" w:w="2900"/>
            <w:shd w:fill="E3F4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C4A5E"/>
                <w:sz w:val="15"/>
                <w:szCs w:val="15"/>
              </w:rPr>
              <w:t xml:space="preserve">AVOIR</w:t>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50"/>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c>
          <w:tcPr>
            <w:tcW w:type="dxa" w:w="1348"/>
            <w:shd w:fill="E3F4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C4A5E"/>
                <w:sz w:val="15"/>
                <w:szCs w:val="15"/>
              </w:rPr>
              <w:t xml:space="preserve"/>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Avoir pro forma à l'ouverture</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6 011 027 $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Bénéfices non répartis cumulés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(274 879)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(456 611)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(391 550)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(174 258)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179 356 $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5 736 148 $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5 554 416 $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5 619 477 $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5 836 769 $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6 190 383 $</w:t>
            </w:r>
          </w:p>
        </w:tc>
      </w:tr>
      <w:tr>
        <w:trPr>
          <w:cantSplit/>
        </w:trPr>
        <w:tc>
          <w:tcPr>
            <w:tcW w:type="dxa" w:w="29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 du passif et de l'avoir</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12 821 148 $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12 537 497 $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12 388 629 $</w:t>
            </w:r>
          </w:p>
        </w:tc>
        <w:tc>
          <w:tcPr>
            <w:tcW w:type="dxa" w:w="13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12 302 025 $</w:t>
            </w:r>
          </w:p>
        </w:tc>
        <w:tc>
          <w:tcPr>
            <w:tcW w:type="dxa" w:w="13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12 334 159 $</w:t>
            </w:r>
          </w:p>
        </w:tc>
      </w:tr>
    </w:tbl>
    <w:p>
      <w:pPr>
        <w:pStyle w:val="Heading2"/>
        <w:keepNext/>
        <w:spacing w:after="120" w:before="300"/>
      </w:pPr>
      <w:r>
        <w:rPr>
          <w:rFonts w:ascii="Calibri" w:cs="Calibri" w:eastAsia="Calibri" w:hAnsi="Calibri"/>
          <w:b/>
          <w:bCs/>
          <w:color w:val="0C4A5E"/>
          <w:sz w:val="27"/>
          <w:szCs w:val="27"/>
        </w:rPr>
        <w:t xml:space="preserve">8.6 Ratios financiers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900"/>
        <w:gridCol w:w="1350"/>
        <w:gridCol w:w="1350"/>
        <w:gridCol w:w="1350"/>
        <w:gridCol w:w="1350"/>
        <w:gridCol w:w="1348"/>
      </w:tblGrid>
      <w:tr>
        <w:trPr>
          <w:tblHeader/>
        </w:trPr>
        <w:tc>
          <w:tcPr>
            <w:tcW w:type="dxa" w:w="2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Ratio</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1
2027</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2
2028</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3
2029</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4
2030</w:t>
            </w:r>
          </w:p>
        </w:tc>
        <w:tc>
          <w:tcPr>
            <w:tcW w:type="dxa" w:w="13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7"/>
                <w:szCs w:val="17"/>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du prêt senior (BAIIA / service senior)</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1,35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1,98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2,33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2,62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toutes couches (BAIIA / service total)</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1,37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1,44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1,63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7"/>
                <w:szCs w:val="17"/>
              </w:rPr>
              <w:t xml:space="preserve">Couverture bancaire ((BAIIA − impôts − maintien) / service total)</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0,95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1,03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1,26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7"/>
                <w:szCs w:val="17"/>
              </w:rPr>
              <w:t xml:space="preserve">1,41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Couverture des intérêts</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1,08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1,42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2,43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2,85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senior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8,2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5,8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4,2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totale /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15,6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10,5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7,3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6,0 x</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5,0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Dette / avoir (bilan pro forma)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1,20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1,11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0,99 x</w:t>
            </w:r>
          </w:p>
        </w:tc>
      </w:tr>
      <w:tr>
        <w:trPr>
          <w:cantSplit/>
        </w:trPr>
        <w:tc>
          <w:tcPr>
            <w:tcW w:type="dxa" w:w="2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Marge BAIIA</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17,1 %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17,5 %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20,9 %</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22,5 %</w:t>
            </w:r>
          </w:p>
        </w:tc>
        <w:tc>
          <w:tcPr>
            <w:tcW w:type="dxa" w:w="13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7"/>
                <w:szCs w:val="17"/>
              </w:rPr>
              <w:t xml:space="preserve">23,8 %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Lecture des ratios</w:t>
            </w:r>
          </w:p>
          <w:p>
            <w:pPr>
              <w:spacing w:after="60" w:line="264"/>
            </w:pPr>
            <w:r>
              <w:rPr>
                <w:rFonts w:ascii="Calibri" w:cs="Calibri" w:eastAsia="Calibri" w:hAnsi="Calibri"/>
                <w:color w:val="1E2A2E"/>
                <w:sz w:val="20"/>
                <w:szCs w:val="20"/>
              </w:rPr>
              <w:t xml:space="preserve">Le prêt senior est couvert 1,42 x en An 2 et 1,98 x en An 3. En ajoutant toutes les couches, la couverture atteint 1,37 x en An 3 et 1,63 x en An 5 ; en définition bancaire (après impôts et immobilisations de maintien), 1,21 x et 1,41 x. L'An 1 est une année de construction et l'An 2 la première année d'exploitation douze mois : le plan ne propose aucun test de covenant avant l'exercice 2029.</w:t>
            </w:r>
          </w:p>
        </w:tc>
      </w:tr>
    </w:tbl>
    <w:p>
      <w:pPr>
        <w:pStyle w:val="Heading2"/>
        <w:keepNext/>
        <w:spacing w:after="120" w:before="300"/>
      </w:pPr>
      <w:r>
        <w:rPr>
          <w:rFonts w:ascii="Calibri" w:cs="Calibri" w:eastAsia="Calibri" w:hAnsi="Calibri"/>
          <w:b/>
          <w:bCs/>
          <w:color w:val="0C4A5E"/>
          <w:sz w:val="27"/>
          <w:szCs w:val="27"/>
        </w:rPr>
        <w:t xml:space="preserve">8.7 Analyse de sensibilité</w:t>
      </w:r>
    </w:p>
    <w:p>
      <w:pPr>
        <w:spacing w:after="120" w:before="0" w:line="276"/>
        <w:jc w:val="left"/>
      </w:pPr>
      <w:r>
        <w:rPr>
          <w:rFonts w:ascii="Calibri" w:cs="Calibri" w:eastAsia="Calibri" w:hAnsi="Calibri"/>
        </w:rPr>
        <w:t xml:space="preserve">Part variable des charges calculée à partir de la structure du modèle (50 %), et non forfaitaire. Les scénarios portent sur le service de toutes les couches.</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3400"/>
        <w:gridCol w:w="1300"/>
        <w:gridCol w:w="1150"/>
        <w:gridCol w:w="1150"/>
        <w:gridCol w:w="1350"/>
        <w:gridCol w:w="1298"/>
      </w:tblGrid>
      <w:tr>
        <w:trPr>
          <w:tblHeader/>
        </w:trPr>
        <w:tc>
          <w:tcPr>
            <w:tcW w:type="dxa" w:w="34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Scénario</w:t>
            </w:r>
          </w:p>
        </w:tc>
        <w:tc>
          <w:tcPr>
            <w:tcW w:type="dxa" w:w="13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Toutes couches An 2</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3</w:t>
            </w:r>
          </w:p>
        </w:tc>
        <w:tc>
          <w:tcPr>
            <w:tcW w:type="dxa" w:w="11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An 5</w:t>
            </w:r>
          </w:p>
        </w:tc>
        <w:tc>
          <w:tcPr>
            <w:tcW w:type="dxa" w:w="13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3</w:t>
            </w:r>
          </w:p>
        </w:tc>
        <w:tc>
          <w:tcPr>
            <w:tcW w:type="dxa" w:w="129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6"/>
                <w:szCs w:val="16"/>
              </w:rPr>
              <w:t xml:space="preserve">Bancaire An 5</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6"/>
                <w:szCs w:val="16"/>
              </w:rPr>
              <w:t xml:space="preserve">Scénario de base</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1,17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1,37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1,63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1,21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6"/>
                <w:szCs w:val="16"/>
              </w:rPr>
              <w:t xml:space="preserve">1,41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0,85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−15 %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0,56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0,77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0,66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0,88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−20 %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0,36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0,57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0,79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0,47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0,68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Revenus d'hiver −50 %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0,93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1,12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1,36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1,00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1,18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Restauration −50 %</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0,94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1,09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1,31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0,97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8 % (25 ans)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1,15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1,14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r>
        <w:trPr>
          <w:cantSplit/>
        </w:trPr>
        <w:tc>
          <w:tcPr>
            <w:tcW w:type="dxa" w:w="34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senior 9 % (25 ans)</w:t>
            </w:r>
          </w:p>
        </w:tc>
        <w:tc>
          <w:tcPr>
            <w:tcW w:type="dxa" w:w="13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1,06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1,21 x</w:t>
            </w:r>
          </w:p>
        </w:tc>
        <w:tc>
          <w:tcPr>
            <w:tcW w:type="dxa" w:w="11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1,46 x</w:t>
            </w:r>
          </w:p>
        </w:tc>
        <w:tc>
          <w:tcPr>
            <w:tcW w:type="dxa" w:w="13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1,07 x</w:t>
            </w:r>
          </w:p>
        </w:tc>
        <w:tc>
          <w:tcPr>
            <w:tcW w:type="dxa" w:w="129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1,26 x</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Amortissement senior 20 ans (7 %)</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1,20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1,29 x</w:t>
            </w:r>
          </w:p>
        </w:tc>
        <w:tc>
          <w:tcPr>
            <w:tcW w:type="dxa" w:w="11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1,54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1,13 x</w:t>
            </w:r>
          </w:p>
        </w:tc>
        <w:tc>
          <w:tcPr>
            <w:tcW w:type="dxa" w:w="12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6"/>
                <w:szCs w:val="16"/>
              </w:rPr>
              <w:t xml:space="preserve">1,33 x</w:t>
            </w:r>
          </w:p>
        </w:tc>
      </w:tr>
    </w:tbl>
    <w:p>
      <w:pPr>
        <w:spacing w:after="120" w:before="0" w:line="276"/>
        <w:jc w:val="left"/>
      </w:pPr>
      <w:r>
        <w:rPr>
          <w:rFonts w:ascii="Calibri" w:cs="Calibri" w:eastAsia="Calibri" w:hAnsi="Calibri"/>
        </w:rPr>
        <w:t xml:space="preserve">Le prêt senior demeure couvert dans tous les scénarios dès l'An 3. Les baisses de revenus de 10 % et plus ramènent la couverture de l'ensemble des couches sous 1,25 : la réserve de service de la dette, les saisonniers encaissés d'avance et le blocage des distributions couvrent cette transition. Le bar et le spa, non comptés, constituent un potentiel additionnel.</w:t>
      </w:r>
    </w:p>
    <w:p>
      <w:pPr>
        <w:pStyle w:val="Heading2"/>
        <w:keepNext/>
        <w:spacing w:after="120" w:before="300"/>
      </w:pPr>
      <w:r>
        <w:rPr>
          <w:rFonts w:ascii="Calibri" w:cs="Calibri" w:eastAsia="Calibri" w:hAnsi="Calibri"/>
          <w:b/>
          <w:bCs/>
          <w:color w:val="0C4A5E"/>
          <w:sz w:val="27"/>
          <w:szCs w:val="27"/>
        </w:rPr>
        <w:t xml:space="preserve">8.8 Seuil de rentabilité</w:t>
      </w:r>
    </w:p>
    <w:p>
      <w:pPr>
        <w:spacing w:after="120" w:before="0" w:line="276"/>
        <w:jc w:val="left"/>
      </w:pPr>
      <w:r>
        <w:rPr>
          <w:rFonts w:ascii="Calibri" w:cs="Calibri" w:eastAsia="Calibri" w:hAnsi="Calibri"/>
        </w:rPr>
        <w:t xml:space="preserve">À l'An 3, les charges fixes (50 % des charges) et le service de la dette totalisent environ 2,43 M$ ; avec une marge sur charges variables de 61 %, le seuil de rentabilité en trésorerie se situe autour de 4,0 M$ de revenus, soit 91 % des revenus projetés.</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09</w:t>
      </w:r>
    </w:p>
    <w:p>
      <w:pPr>
        <w:pStyle w:val="Heading1"/>
        <w:spacing w:after="0" w:before="0"/>
      </w:pPr>
      <w:r>
        <w:rPr>
          <w:rFonts w:ascii="Calibri" w:cs="Calibri" w:eastAsia="Calibri" w:hAnsi="Calibri"/>
          <w:b/>
          <w:bCs/>
          <w:color w:val="FFFFFF"/>
          <w:sz w:val="46"/>
          <w:szCs w:val="46"/>
        </w:rPr>
        <w:t xml:space="preserve">Risques et mesures d'atténuation</w:t>
      </w:r>
    </w:p>
    <w:p>
      <w:pPr>
        <w:spacing w:after="0" w:before="0" w:line="1250" w:lineRule="exact"/>
      </w:pPr>
    </w:p>
    <w:p>
      <w:pPr>
        <w:spacing w:after="240" w:before="0" w:line="300"/>
      </w:pPr>
      <w:r>
        <w:rPr>
          <w:rFonts w:ascii="Georgia" w:cs="Georgia" w:eastAsia="Georgia" w:hAnsi="Georgia"/>
          <w:i/>
          <w:iCs/>
          <w:color w:val="2BB5BF"/>
          <w:sz w:val="25"/>
          <w:szCs w:val="25"/>
        </w:rPr>
        <w:t xml:space="preserve">Chaque risque a un responsable et une mesure.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700"/>
        <w:gridCol w:w="1500"/>
        <w:gridCol w:w="5448"/>
      </w:tblGrid>
      <w:tr>
        <w:trPr>
          <w:tblHeader/>
        </w:trPr>
        <w:tc>
          <w:tcPr>
            <w:tcW w:type="dxa" w:w="27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Risque</w:t>
            </w:r>
          </w:p>
        </w:tc>
        <w:tc>
          <w:tcPr>
            <w:tcW w:type="dxa" w:w="15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Probabilité / impact</w:t>
            </w:r>
          </w:p>
        </w:tc>
        <w:tc>
          <w:tcPr>
            <w:tcW w:type="dxa" w:w="5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6"/>
                <w:szCs w:val="16"/>
              </w:rPr>
              <w:t xml:space="preserve">Mesures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Dépassement des coûts ou retard de chantier</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Contrat à forfait Construction Prospère, cautionnements, contingence 5 % / 10 %, décaissements par avancement sur certificats, unités Coolbox à prix fixe d'usine</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Montée en régime plus lente de l'hiver</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Produit hiver éprouvé (Coolbox), programme d'hiver nommé (5.3), réserve de service de la dette, aucun test de covenant avant 2029, blocage des distributions</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Voisinage et bruit</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Faible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Protocole de bruit (heures, orientation de la scène, nombre d'événements), communication avec la municipalité et les voisins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Météo et saison estivale défavorable</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Saisonniers encaissés d'avance, hôtel et unités chauffées, restauration, assurance pertes d'exploitation</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Main-d'œuvre</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Élevé / moyen</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Logement sur le site, postes à l'année, partenariats avec les écoles hôtelières</w:t>
            </w:r>
          </w:p>
        </w:tc>
      </w:tr>
      <w:tr>
        <w:trPr>
          <w:cantSplit/>
        </w:trPr>
        <w:tc>
          <w:tcPr>
            <w:tcW w:type="dxa" w:w="27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Hausse des taux d'intérêt</w:t>
            </w:r>
          </w:p>
        </w:tc>
        <w:tc>
          <w:tcPr>
            <w:tcW w:type="dxa" w:w="15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moyen</w:t>
            </w:r>
          </w:p>
        </w:tc>
        <w:tc>
          <w:tcPr>
            <w:tcW w:type="dxa" w:w="5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Taux fixe 5 ans sur le senior ; sensibilités à 8 % et 9 % en 8.7</w:t>
            </w:r>
          </w:p>
        </w:tc>
      </w:tr>
      <w:tr>
        <w:trPr>
          <w:cantSplit/>
        </w:trPr>
        <w:tc>
          <w:tcPr>
            <w:tcW w:type="dxa" w:w="2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Dépendance à la direction</w:t>
            </w:r>
          </w:p>
        </w:tc>
        <w:tc>
          <w:tcPr>
            <w:tcW w:type="dxa" w:w="1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Moyen / élevé</w:t>
            </w:r>
          </w:p>
        </w:tc>
        <w:tc>
          <w:tcPr>
            <w:tcW w:type="dxa" w:w="5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6"/>
                <w:szCs w:val="16"/>
              </w:rPr>
              <w:t xml:space="preserve">Responsables de service, assurance personne clé, rapports trimestriels au prêteur</w:t>
            </w:r>
          </w:p>
        </w:tc>
      </w:tr>
    </w:tbl>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10</w:t>
      </w:r>
    </w:p>
    <w:p>
      <w:pPr>
        <w:pStyle w:val="Heading1"/>
        <w:spacing w:after="0" w:before="0"/>
      </w:pPr>
      <w:r>
        <w:rPr>
          <w:rFonts w:ascii="Calibri" w:cs="Calibri" w:eastAsia="Calibri" w:hAnsi="Calibri"/>
          <w:b/>
          <w:bCs/>
          <w:color w:val="FFFFFF"/>
          <w:sz w:val="46"/>
          <w:szCs w:val="46"/>
        </w:rPr>
        <w:t xml:space="preserve">Conclusion et demande</w:t>
      </w:r>
    </w:p>
    <w:p>
      <w:pPr>
        <w:spacing w:after="0" w:before="0" w:line="1250" w:lineRule="exact"/>
      </w:pPr>
    </w:p>
    <w:p>
      <w:pPr>
        <w:spacing w:after="240" w:before="0" w:line="300"/>
      </w:pPr>
      <w:r>
        <w:rPr>
          <w:rFonts w:ascii="Georgia" w:cs="Georgia" w:eastAsia="Georgia" w:hAnsi="Georgia"/>
          <w:i/>
          <w:iCs/>
          <w:color w:val="2BB5BF"/>
          <w:sz w:val="25"/>
          <w:szCs w:val="25"/>
        </w:rPr>
        <w:t xml:space="preserve">Un site qui vend déjà 1,5 M$ par année, 11,9 M$ investis, un produit quatre saisons en place : le Complexe Havana demande un prêt senior de 5,5 M$ dans un montage de 8,2 M$ pour ouvrir douze mois par année.</w:t>
      </w:r>
    </w:p>
    <w:p>
      <w:pPr>
        <w:spacing w:after="120" w:before="0" w:line="276"/>
        <w:jc w:val="left"/>
      </w:pPr>
      <w:r>
        <w:rPr>
          <w:rFonts w:ascii="Calibri" w:cs="Calibri" w:eastAsia="Calibri" w:hAnsi="Calibri"/>
        </w:rPr>
        <w:t xml:space="preserve">Le projet demande à la banque de financer des travaux ciblés, construits par un entrepreneur licencié à prix forfaitaire sur des actifs existants, avec des fonds propres de 26 % de l'argent neuf et un prêt senior couvert 1,98 x en An 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2BB5BF" w:sz="24"/>
              <w:bottom w:val="none" w:color="FFFFFF" w:sz="0"/>
              <w:right w:val="none" w:color="FFFFFF" w:sz="0"/>
            </w:tcBorders>
            <w:shd w:fill="F5F2EA" w:color="auto" w:val="clear"/>
            <w:tcMar>
              <w:top w:type="dxa" w:w="120"/>
              <w:left w:type="dxa" w:w="200"/>
              <w:bottom w:type="dxa" w:w="120"/>
              <w:right w:type="dxa" w:w="160"/>
            </w:tcMar>
          </w:tcPr>
          <w:p>
            <w:pPr>
              <w:spacing w:after="80"/>
            </w:pPr>
            <w:r>
              <w:rPr>
                <w:rFonts w:ascii="Calibri" w:cs="Calibri" w:eastAsia="Calibri" w:hAnsi="Calibri"/>
                <w:b/>
                <w:bCs/>
                <w:color w:val="0C4A5E"/>
                <w:sz w:val="21"/>
                <w:szCs w:val="21"/>
              </w:rPr>
              <w:t xml:space="preserve">Demande</w:t>
            </w:r>
          </w:p>
          <w:p>
            <w:pPr>
              <w:spacing w:after="60" w:line="264"/>
            </w:pPr>
            <w:r>
              <w:rPr>
                <w:rFonts w:ascii="Calibri" w:cs="Calibri" w:eastAsia="Calibri" w:hAnsi="Calibri"/>
                <w:b/>
                <w:bCs/>
                <w:color w:val="1E2A2E"/>
                <w:sz w:val="20"/>
                <w:szCs w:val="20"/>
              </w:rPr>
              <w:t xml:space="preserve">Prêt hypothécaire de premier rang de 5 500 000 $</w:t>
            </w:r>
          </w:p>
          <w:p>
            <w:pPr>
              <w:spacing w:after="60" w:line="264"/>
            </w:pPr>
            <w:r>
              <w:rPr>
                <w:rFonts w:ascii="Calibri" w:cs="Calibri" w:eastAsia="Calibri" w:hAnsi="Calibri"/>
                <w:color w:val="1E2A2E"/>
                <w:sz w:val="20"/>
                <w:szCs w:val="20"/>
              </w:rPr>
              <w:t xml:space="preserve">Tranche A de 4 000 000 $ à la clôture (refinancement) ; tranche B de 1 500 000 $ en prêt de construction convertible à la réception des travaux.</w:t>
            </w:r>
          </w:p>
          <w:p>
            <w:pPr>
              <w:spacing w:after="60" w:line="264"/>
            </w:pPr>
            <w:r>
              <w:rPr>
                <w:rFonts w:ascii="Calibri" w:cs="Calibri" w:eastAsia="Calibri" w:hAnsi="Calibri"/>
                <w:color w:val="1E2A2E"/>
                <w:sz w:val="20"/>
                <w:szCs w:val="20"/>
              </w:rPr>
              <w:t xml:space="preserve">Amortissement de 25 ans, moratoire de capital de 12 mois, réserve de service de la dette de 6 mois déposée à la clôture.</w:t>
            </w:r>
          </w:p>
          <w:p>
            <w:pPr>
              <w:spacing w:after="60" w:line="264"/>
            </w:pPr>
            <w:r>
              <w:rPr>
                <w:rFonts w:ascii="Calibri" w:cs="Calibri" w:eastAsia="Calibri" w:hAnsi="Calibri"/>
                <w:color w:val="1E2A2E"/>
                <w:sz w:val="20"/>
                <w:szCs w:val="20"/>
              </w:rPr>
              <w:t xml:space="preserve">Couches complémentaires sollicitées : 1 585 000 $ ; fonds propres : 1 096 027 $.</w:t>
            </w:r>
          </w:p>
          <w:p>
            <w:pPr>
              <w:spacing w:after="60" w:line="264"/>
            </w:pPr>
            <w:r>
              <w:rPr>
                <w:rFonts w:ascii="Calibri" w:cs="Calibri" w:eastAsia="Calibri" w:hAnsi="Calibri"/>
                <w:color w:val="1E2A2E"/>
                <w:sz w:val="20"/>
                <w:szCs w:val="20"/>
              </w:rPr>
              <w:t xml:space="preserve">Clôture souhaitée en janvier 2027, pour un début des travaux à l'hiver 2027 et une ouverture en juillet 2027.</w:t>
            </w:r>
          </w:p>
        </w:tc>
      </w:tr>
    </w:tbl>
    <w:p>
      <w:pPr>
        <w:spacing w:after="120" w:before="0" w:line="276"/>
        <w:jc w:val="left"/>
      </w:pPr>
      <w:r>
        <w:rPr>
          <w:rFonts w:ascii="Calibri" w:cs="Calibri" w:eastAsia="Calibri" w:hAnsi="Calibri"/>
        </w:rPr>
        <w:t xml:space="preserve">Nous remercions l'institution de l'attention portée à ce dossier et demeurons disponibles pour une visite du site.</w:t>
      </w:r>
    </w:p>
    <w:p>
      <w:pPr>
        <w:spacing w:after="2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Dominic Perrier,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514 774-7979 · havanaresort.ca</w:t>
      </w:r>
    </w:p>
    <w:p>
      <w:pPr>
        <w:pageBreakBefore/>
        <w:spacing w:after="0" w:before="0" w:line="20" w:lineRule="exact"/>
      </w:pPr>
      <w:r>
        <w:drawing>
          <wp:anchor distT="0" distB="0" distL="0" distR="0" simplePos="0" allowOverlap="1" behindDoc="1" locked="1" layoutInCell="0" relativeHeight="3838575">
            <wp:simplePos x="0" y="0"/>
            <wp:positionH relativeFrom="page">
              <wp:posOffset>0</wp:posOffset>
            </wp:positionH>
            <wp:positionV relativeFrom="page">
              <wp:posOffset>566928</wp:posOffset>
            </wp:positionV>
            <wp:extent cx="7772400" cy="3838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772400" cy="3838575"/>
                    </a:xfrm>
                    <a:prstGeom prst="rect">
                      <a:avLst/>
                    </a:prstGeom>
                  </pic:spPr>
                </pic:pic>
              </a:graphicData>
            </a:graphic>
          </wp:anchor>
        </w:drawing>
      </w:r>
    </w:p>
    <w:p>
      <w:pPr>
        <w:spacing w:after="0" w:before="0" w:line="3800" w:lineRule="exact"/>
      </w:pPr>
    </w:p>
    <w:p>
      <w:pPr>
        <w:spacing w:after="60" w:before="0"/>
      </w:pPr>
      <w:r>
        <w:rPr>
          <w:rFonts w:ascii="Calibri" w:cs="Calibri" w:eastAsia="Calibri" w:hAnsi="Calibri"/>
          <w:b/>
          <w:bCs/>
          <w:color w:val="F4B942"/>
          <w:sz w:val="26"/>
          <w:szCs w:val="26"/>
        </w:rPr>
        <w:t xml:space="preserve">A</w:t>
      </w:r>
    </w:p>
    <w:p>
      <w:pPr>
        <w:pStyle w:val="Heading1"/>
        <w:spacing w:after="0" w:before="0"/>
      </w:pPr>
      <w:r>
        <w:rPr>
          <w:rFonts w:ascii="Calibri" w:cs="Calibri" w:eastAsia="Calibri" w:hAnsi="Calibri"/>
          <w:b/>
          <w:bCs/>
          <w:color w:val="FFFFFF"/>
          <w:sz w:val="46"/>
          <w:szCs w:val="46"/>
        </w:rPr>
        <w:t xml:space="preserve">Annexes</w:t>
      </w:r>
    </w:p>
    <w:p>
      <w:pPr>
        <w:spacing w:after="0" w:before="0" w:line="1250" w:lineRule="exact"/>
      </w:pPr>
    </w:p>
    <w:p>
      <w:pPr>
        <w:spacing w:after="120" w:before="0" w:line="276"/>
        <w:jc w:val="left"/>
      </w:pPr>
      <w:r>
        <w:rPr>
          <w:rFonts w:ascii="Calibri" w:cs="Calibri" w:eastAsia="Calibri" w:hAnsi="Calibri"/>
        </w:rPr>
        <w:t xml:space="preserve">Les documents ci-dessous accompagnent le plan d'affaires. Les pièces complémentaires seront fournies et prises en considération aux étapes subséquentes du projet, au fur et à mesure de sa progression.</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900"/>
        <w:gridCol w:w="8748"/>
      </w:tblGrid>
      <w:tr>
        <w:trPr>
          <w:tblHeader/>
        </w:trPr>
        <w:tc>
          <w:tcPr>
            <w:tcW w:type="dxa" w:w="9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Annexe</w:t>
            </w:r>
          </w:p>
        </w:tc>
        <w:tc>
          <w:tcPr>
            <w:tcW w:type="dxa" w:w="87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7"/>
                <w:szCs w:val="17"/>
              </w:rPr>
              <w:t xml:space="preserve">Contenu</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A</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États financiers, état de la dette existante, historique des investissements 2015-2023 (11 915 000 $)</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B</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d'évaluation : Grenier 2021 (méthode du revenu), Leblanc 2024 (hôtel) et 2025 (camping), rapport d'équipements 2023 (2 052 200 $), rôle municipal 2024-2026</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Soumissions à forfait : Construction Prospère par composante, Coolbox HPA (9 unités, validité 12 mois)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D</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Plans, permis municipaux et documents d'infrastructures (usine d'épuration 2019)</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E</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Curriculum vitæ de la direction ; fiches Construction Prospère et Coolbox HPA</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F</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Chronologie visuelle des travaux 2015-2023, cartes du site 2023 et 2026, photos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G</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Rapports du système de réservation 2025 et 2026 ; grille tarifaire</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H</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Classeur financier (hypothèses, investissement, couches de dette, résultats, trésorerie, bilan, ratios, sensibilité, DPA)</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I</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Lettres d'appui et des partenaires</w:t>
            </w:r>
          </w:p>
        </w:tc>
      </w:tr>
      <w:tr>
        <w:trPr>
          <w:cantSplit/>
        </w:trPr>
        <w:tc>
          <w:tcPr>
            <w:tcW w:type="dxa" w:w="9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J</w:t>
            </w:r>
          </w:p>
        </w:tc>
        <w:tc>
          <w:tcPr>
            <w:tcW w:type="dxa" w:w="87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Contrat de partenariat Coolbox, avis et calcul de redevance 2026, ventes d'hiver du réseau, fiche technique des unités</w:t>
            </w:r>
          </w:p>
        </w:tc>
      </w:tr>
      <w:tr>
        <w:trPr>
          <w:cantSplit/>
        </w:trPr>
        <w:tc>
          <w:tcPr>
            <w:tcW w:type="dxa" w:w="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K</w:t>
            </w:r>
          </w:p>
        </w:tc>
        <w:tc>
          <w:tcPr>
            <w:tcW w:type="dxa" w:w="8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7"/>
                <w:szCs w:val="17"/>
              </w:rPr>
              <w:t xml:space="preserve">Cédule de DPA par catégorie fiscale ; tableau d'amortissement complet du prêt senior</w:t>
            </w:r>
          </w:p>
        </w:tc>
      </w:tr>
    </w:tbl>
    <w:p>
      <w:r>
        <w:br w:type="page"/>
      </w:r>
    </w:p>
    <w:p>
      <w:pPr>
        <w:pStyle w:val="Heading2"/>
        <w:keepNext/>
        <w:spacing w:after="120" w:before="300"/>
      </w:pPr>
      <w:r>
        <w:rPr>
          <w:rFonts w:ascii="Calibri" w:cs="Calibri" w:eastAsia="Calibri" w:hAnsi="Calibri"/>
          <w:b/>
          <w:bCs/>
          <w:color w:val="0C4A5E"/>
          <w:sz w:val="27"/>
          <w:szCs w:val="27"/>
        </w:rPr>
        <w:t xml:space="preserve">Annexe K – Tableau d'amortissement complet du prêt senior</w:t>
      </w:r>
    </w:p>
    <w:p>
      <w:pPr>
        <w:spacing w:after="120" w:before="0" w:line="276"/>
        <w:jc w:val="left"/>
      </w:pPr>
      <w:r>
        <w:rPr>
          <w:rFonts w:ascii="Calibri" w:cs="Calibri" w:eastAsia="Calibri" w:hAnsi="Calibri"/>
          <w:i/>
          <w:iCs/>
          <w:color w:val="6F8A90"/>
          <w:sz w:val="18"/>
          <w:szCs w:val="18"/>
        </w:rPr>
        <w:t xml:space="preserve">Prêt de 5 500 000 $ à 7,0 %, 25 ans, paiement mensuel de 38 873 $ après le moratoire de 12 mois ; An 1 : intérêts sur le solde moyen décaissé.</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1600"/>
        <w:gridCol w:w="2000"/>
        <w:gridCol w:w="2000"/>
        <w:gridCol w:w="2000"/>
        <w:gridCol w:w="2048"/>
      </w:tblGrid>
      <w:tr>
        <w:trPr>
          <w:tblHeader/>
        </w:trPr>
        <w:tc>
          <w:tcPr>
            <w:tcW w:type="dxa" w:w="1600"/>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5"/>
                <w:szCs w:val="15"/>
              </w:rPr>
              <w:t xml:space="preserve">Année</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Intérêts</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Capital</w:t>
            </w:r>
          </w:p>
        </w:tc>
        <w:tc>
          <w:tcPr>
            <w:tcW w:type="dxa" w:w="200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Service</w:t>
            </w:r>
          </w:p>
        </w:tc>
        <w:tc>
          <w:tcPr>
            <w:tcW w:type="dxa" w:w="2048"/>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5"/>
                <w:szCs w:val="15"/>
              </w:rPr>
              <w:t xml:space="preserve">Solde en fin d'année</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337 750 $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5 500 000 $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382 335 $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84 140 $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5 415 860 $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376 252 $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90 222 $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5 325 638 $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369 730 $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96 744 $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5 228 894 $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362 736 $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103 738 $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5 125 156 $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355 237 $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111 237 $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5 013 918 $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347 196 $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119 279 $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4 894 640 $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338 573 $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127 901 $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4 766 738 $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329 327 $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137 147 $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4 629 591 $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319 413 $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147 062 $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4 482 530 $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308 782 $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157 693 $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4 324 837 $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297 382 $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169 092 $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4 155 744 $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285 158 $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181 316 $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3 974 428 $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272 051 $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194 423 $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3 780 005 $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257 996 $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208 478 $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3 571 527 $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242 925 $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223 549 $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3 347 977 $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17</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226 765 $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239 710 $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3 108 268 $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18</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209 436 $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257 038 $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2 851 229 $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19</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190 855 $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275 620 $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2 575 610 $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20</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170 930 $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295 544 $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2 280 066 $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21</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149 565 $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316 909 $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1 963 157 $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22</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126 656 $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339 818 $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1 623 338 $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23</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102 090 $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364 384 $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1 258 954 $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24</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75 749 $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390 725 $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868 229 $</w:t>
            </w:r>
          </w:p>
        </w:tc>
      </w:tr>
      <w:tr>
        <w:trPr>
          <w:cantSplit/>
        </w:trPr>
        <w:tc>
          <w:tcPr>
            <w:tcW w:type="dxa" w:w="1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25</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47 503 $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418 971 $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r>
      <w:tr>
        <w:trPr>
          <w:cantSplit/>
        </w:trPr>
        <w:tc>
          <w:tcPr>
            <w:tcW w:type="dxa" w:w="1600"/>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5"/>
                <w:szCs w:val="15"/>
              </w:rPr>
              <w:t xml:space="preserve">An 26</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17 216 $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449 258 $</w:t>
            </w:r>
          </w:p>
        </w:tc>
        <w:tc>
          <w:tcPr>
            <w:tcW w:type="dxa" w:w="200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466 474 $</w:t>
            </w:r>
          </w:p>
        </w:tc>
        <w:tc>
          <w:tcPr>
            <w:tcW w:type="dxa" w:w="2048"/>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5"/>
                <w:szCs w:val="15"/>
              </w:rPr>
              <w:t xml:space="preserve">0 $</w:t>
            </w:r>
          </w:p>
        </w:tc>
      </w:tr>
      <w:tr>
        <w:trPr>
          <w:cantSplit/>
        </w:trPr>
        <w:tc>
          <w:tcPr>
            <w:tcW w:type="dxa" w:w="1600"/>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5"/>
                <w:szCs w:val="15"/>
              </w:rPr>
              <w:t xml:space="preserve">Total</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6 499 607 $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5 500 000 $</w:t>
            </w:r>
          </w:p>
        </w:tc>
        <w:tc>
          <w:tcPr>
            <w:tcW w:type="dxa" w:w="200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11 999 607 $</w:t>
            </w:r>
          </w:p>
        </w:tc>
        <w:tc>
          <w:tcPr>
            <w:tcW w:type="dxa" w:w="2048"/>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5"/>
                <w:szCs w:val="15"/>
              </w:rPr>
              <w:t xml:space="preserve">—</w:t>
            </w:r>
          </w:p>
        </w:tc>
      </w:tr>
    </w:tbl>
    <w:p>
      <w:r>
        <w:br w:type="page"/>
      </w:r>
    </w:p>
    <w:p>
      <w:pPr>
        <w:pStyle w:val="Heading2"/>
        <w:keepNext/>
        <w:spacing w:after="120" w:before="300"/>
      </w:pPr>
      <w:r>
        <w:rPr>
          <w:rFonts w:ascii="Calibri" w:cs="Calibri" w:eastAsia="Calibri" w:hAnsi="Calibri"/>
          <w:b/>
          <w:bCs/>
          <w:color w:val="0C4A5E"/>
          <w:sz w:val="27"/>
          <w:szCs w:val="27"/>
        </w:rPr>
        <w:t xml:space="preserve">Annexe K – Cédule de DPA par catégorie fiscale</w:t>
      </w:r>
    </w:p>
    <w:p>
      <w:pPr>
        <w:spacing w:after="120" w:before="0" w:line="276"/>
        <w:jc w:val="left"/>
      </w:pPr>
      <w:r>
        <w:rPr>
          <w:rFonts w:ascii="Calibri" w:cs="Calibri" w:eastAsia="Calibri" w:hAnsi="Calibri"/>
          <w:i/>
          <w:iCs/>
          <w:color w:val="6F8A90"/>
          <w:sz w:val="18"/>
          <w:szCs w:val="18"/>
        </w:rPr>
        <w:t xml:space="preserve">Investissement capitalisé (travaux, contingence et honoraires au prorata) et frais de financement, solde dégressif avec règle de demi-année.</w:t>
      </w:r>
    </w:p>
    <w:tbl>
      <w:tblPr>
        <w:tblW w:type="dxa" w:w="9648"/>
        <w:tblBorders>
          <w:top w:val="none" w:color="FFFFFF" w:sz="0"/>
          <w:left w:val="none" w:color="FFFFFF" w:sz="0"/>
          <w:bottom w:val="single" w:color="0C4A5E" w:sz="8"/>
          <w:right w:val="none" w:color="FFFFFF" w:sz="0"/>
          <w:insideH w:val="single" w:color="CFE3E6" w:sz="4"/>
          <w:insideV w:val="none" w:color="FFFFFF" w:sz="0"/>
        </w:tblBorders>
      </w:tblPr>
      <w:tblGrid>
        <w:gridCol w:w="2448"/>
        <w:gridCol w:w="650"/>
        <w:gridCol w:w="1250"/>
        <w:gridCol w:w="1060"/>
        <w:gridCol w:w="1060"/>
        <w:gridCol w:w="1060"/>
        <w:gridCol w:w="1060"/>
        <w:gridCol w:w="1060"/>
      </w:tblGrid>
      <w:tr>
        <w:trPr>
          <w:tblHeader/>
        </w:trPr>
        <w:tc>
          <w:tcPr>
            <w:tcW w:type="dxa" w:w="2448"/>
            <w:shd w:fill="0C4A5E"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4"/>
                <w:szCs w:val="14"/>
              </w:rPr>
              <w:t xml:space="preserve">Catégorie</w:t>
            </w:r>
          </w:p>
        </w:tc>
        <w:tc>
          <w:tcPr>
            <w:tcW w:type="dxa" w:w="6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Taux</w:t>
            </w:r>
          </w:p>
        </w:tc>
        <w:tc>
          <w:tcPr>
            <w:tcW w:type="dxa" w:w="125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Base</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2027</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2028</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2029</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2030</w:t>
            </w:r>
          </w:p>
        </w:tc>
        <w:tc>
          <w:tcPr>
            <w:tcW w:type="dxa" w:w="1060"/>
            <w:shd w:fill="0C4A5E"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4"/>
                <w:szCs w:val="14"/>
              </w:rPr>
              <w:t xml:space="preserve">DPA 2031</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 — bâtiments : hôtel, restaurant, villas, chalets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2 058 368 $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41 167 $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80 688 $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77 461 $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74 362 $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71 388 $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8 — équipements : mobilier</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0 $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6 — unités d'hébergement préfabriquées sur structure d'acier (Coolbox)</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1 154 745 $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57 737 $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109 701 $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98 731 $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88 858 $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79 972 $</w:t>
            </w:r>
          </w:p>
        </w:tc>
      </w:tr>
      <w:tr>
        <w:trPr>
          <w:cantSplit/>
        </w:trPr>
        <w:tc>
          <w:tcPr>
            <w:tcW w:type="dxa" w:w="2448"/>
            <w:shd w:fill="F5F2E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Cat. 17 — aménagements de surface : conversion de terrains saisonniers</w:t>
            </w:r>
          </w:p>
        </w:tc>
        <w:tc>
          <w:tcPr>
            <w:tcW w:type="dxa" w:w="6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8 %</w:t>
            </w:r>
          </w:p>
        </w:tc>
        <w:tc>
          <w:tcPr>
            <w:tcW w:type="dxa" w:w="125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57 177 $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2 287 $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4 391 $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4 040 $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3 717 $</w:t>
            </w:r>
          </w:p>
        </w:tc>
        <w:tc>
          <w:tcPr>
            <w:tcW w:type="dxa" w:w="1060"/>
            <w:shd w:fill="F5F2E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3 419 $</w:t>
            </w:r>
          </w:p>
        </w:tc>
      </w:tr>
      <w:tr>
        <w:trPr>
          <w:cantSplit/>
        </w:trPr>
        <w:tc>
          <w:tcPr>
            <w:tcW w:type="dxa" w:w="24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E2A2E"/>
                <w:sz w:val="14"/>
                <w:szCs w:val="14"/>
              </w:rPr>
              <w:t xml:space="preserve">Frais de financement (déductibles sur 5 ans)</w:t>
            </w:r>
          </w:p>
        </w:tc>
        <w:tc>
          <w:tcPr>
            <w:tcW w:type="dxa" w:w="6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125 000 $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c>
          <w:tcPr>
            <w:tcW w:type="dxa" w:w="106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E2A2E"/>
                <w:sz w:val="14"/>
                <w:szCs w:val="14"/>
              </w:rPr>
              <w:t xml:space="preserve">25 000 $</w:t>
            </w:r>
          </w:p>
        </w:tc>
      </w:tr>
      <w:tr>
        <w:trPr>
          <w:cantSplit/>
        </w:trPr>
        <w:tc>
          <w:tcPr>
            <w:tcW w:type="dxa" w:w="2448"/>
            <w:shd w:fill="CFE3E6"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E2A2E"/>
                <w:sz w:val="14"/>
                <w:szCs w:val="14"/>
              </w:rPr>
              <w:t xml:space="preserve">Total de la DPA</w:t>
            </w:r>
          </w:p>
        </w:tc>
        <w:tc>
          <w:tcPr>
            <w:tcW w:type="dxa" w:w="6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
            </w:r>
          </w:p>
        </w:tc>
        <w:tc>
          <w:tcPr>
            <w:tcW w:type="dxa" w:w="125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3 395 290 $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126 192 $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219 780 $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205 231 $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191 936 $</w:t>
            </w:r>
          </w:p>
        </w:tc>
        <w:tc>
          <w:tcPr>
            <w:tcW w:type="dxa" w:w="1060"/>
            <w:shd w:fill="CFE3E6"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E2A2E"/>
                <w:sz w:val="14"/>
                <w:szCs w:val="14"/>
              </w:rPr>
              <w:t xml:space="preserve">179 779 $</w:t>
            </w:r>
          </w:p>
        </w:tc>
      </w:tr>
    </w:tbl>
    <w:p>
      <w:pPr>
        <w:sectPr>
          <w:headerReference w:type="default" r:id="rId7"/>
          <w:headerReference w:type="first" r:id="rId8"/>
          <w:footerReference w:type="default" r:id="rId9"/>
          <w:footerReference w:type="first" r:id="rId10"/>
          <w:pgSz w:w="12240" w:h="15840" w:orient="portrait"/>
          <w:pgMar w:top="1200" w:right="1296" w:bottom="1100" w:left="1296" w:header="560" w:footer="560" w:gutter="0"/>
          <w:pgNumType/>
          <w:titlePg/>
          <w:docGrid w:linePitch="360"/>
        </w:sectPr>
      </w:pPr>
    </w:p>
    <w:p>
      <w:pPr>
        <w:spacing w:after="0" w:before="0" w:line="20" w:lineRule="exact"/>
      </w:pPr>
      <w:r>
        <w:drawing>
          <wp:anchor distT="0" distB="0" distL="0" distR="0" simplePos="0" allowOverlap="1" behindDoc="1" locked="1" layoutInCell="0"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772400" cy="10058400"/>
                    </a:xfrm>
                    <a:prstGeom prst="rect">
                      <a:avLst/>
                    </a:prstGeom>
                  </pic:spPr>
                </pic:pic>
              </a:graphicData>
            </a:graphic>
          </wp:anchor>
        </w:drawing>
      </w:r>
    </w:p>
    <w:p>
      <w:pPr>
        <w:spacing w:after="0" w:before="0" w:line="5200" w:lineRule="exact"/>
      </w:pPr>
    </w:p>
    <w:p>
      <w:pPr>
        <w:spacing w:after="0"/>
        <w:jc w:val="center"/>
      </w:pPr>
      <w:r>
        <w:rPr>
          <w:rFonts w:ascii="Calibri" w:cs="Calibri" w:eastAsia="Calibri" w:hAnsi="Calibri"/>
          <w:b/>
          <w:bCs/>
          <w:color w:val="FFFFFF"/>
          <w:sz w:val="40"/>
          <w:szCs w:val="40"/>
        </w:rPr>
        <w:t xml:space="preserve">COMPLEXE HAVANA</w:t>
      </w:r>
    </w:p>
    <w:p>
      <w:pPr>
        <w:spacing w:after="0" w:before="80"/>
        <w:jc w:val="center"/>
      </w:pPr>
      <w:r>
        <w:rPr>
          <w:rFonts w:ascii="Georgia" w:cs="Georgia" w:eastAsia="Georgia" w:hAnsi="Georgia"/>
          <w:i/>
          <w:iCs/>
          <w:color w:val="F4B942"/>
          <w:sz w:val="24"/>
          <w:szCs w:val="24"/>
        </w:rPr>
        <w:t xml:space="preserve">Un petit bout de Cuba, douze mois par année</w:t>
      </w:r>
    </w:p>
    <w:p>
      <w:pPr>
        <w:spacing w:after="0" w:before="600"/>
        <w:jc w:val="center"/>
      </w:pPr>
      <w:r>
        <w:rPr>
          <w:rFonts w:ascii="Calibri" w:cs="Calibri" w:eastAsia="Calibri" w:hAnsi="Calibri"/>
          <w:color w:val="D9F1F3"/>
          <w:sz w:val="20"/>
          <w:szCs w:val="20"/>
        </w:rPr>
        <w:t xml:space="preserve">631, 7e Rang, Maricourt (Québec)  J0E 2L2</w:t>
      </w:r>
    </w:p>
    <w:p>
      <w:pPr>
        <w:spacing w:after="0" w:before="60"/>
        <w:jc w:val="center"/>
      </w:pPr>
      <w:r>
        <w:rPr>
          <w:rFonts w:ascii="Calibri" w:cs="Calibri" w:eastAsia="Calibri" w:hAnsi="Calibri"/>
          <w:color w:val="D9F1F3"/>
          <w:sz w:val="20"/>
          <w:szCs w:val="20"/>
        </w:rPr>
        <w:t xml:space="preserve">514 774-7979   ·   havanaresort.ca</w:t>
      </w:r>
    </w:p>
    <w:p>
      <w:pPr>
        <w:spacing w:after="0" w:before="600"/>
        <w:jc w:val="center"/>
      </w:pPr>
      <w:r>
        <w:rPr>
          <w:rFonts w:ascii="Calibri" w:cs="Calibri" w:eastAsia="Calibri" w:hAnsi="Calibri"/>
          <w:color w:val="A8D8DC"/>
          <w:sz w:val="17"/>
          <w:szCs w:val="17"/>
        </w:rPr>
        <w:t xml:space="preserve">Plan d'affaires 2027 – 2031, version 2   ·   Document confidentiel</w:t>
      </w:r>
    </w:p>
    <w:sectPr>
      <w:headerReference w:type="default" r:id="rId11"/>
      <w:footerReference w:type="default" r:id="rId12"/>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6F8A90"/>
        <w:sz w:val="16"/>
        <w:szCs w:val="16"/>
      </w:rPr>
      <w:t xml:space="preserve">Confidentiel</w:t>
    </w:r>
    <w:r>
      <w:rPr>
        <w:rFonts w:ascii="Calibri" w:cs="Calibri" w:eastAsia="Calibri" w:hAnsi="Calibri"/>
        <w:color w:val="6F8A90"/>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3E6" w:sz="4" w:space="4"/>
      </w:pBdr>
      <w:tabs>
        <w:tab w:val="right" w:pos="9648"/>
      </w:tabs>
    </w:pPr>
    <w:r>
      <w:rPr>
        <w:rFonts w:ascii="Calibri" w:cs="Calibri" w:eastAsia="Calibri" w:hAnsi="Calibri"/>
        <w:b/>
        <w:bCs/>
        <w:color w:val="0C4A5E"/>
        <w:sz w:val="17"/>
        <w:szCs w:val="17"/>
      </w:rPr>
      <w:t xml:space="preserve">Complexe Havana</w:t>
    </w:r>
    <w:r>
      <w:rPr>
        <w:rFonts w:ascii="Calibri" w:cs="Calibri" w:eastAsia="Calibri" w:hAnsi="Calibri"/>
        <w:color w:val="6F8A90"/>
        <w:sz w:val="17"/>
        <w:szCs w:val="17"/>
      </w:rPr>
      <w:t xml:space="preserve">	Plan d'affaires 2027 – 2031 · v2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2BB5BF"/>
      </w:rPr>
    </w:lvl>
  </w:abstractNum>
  <w:abstractNum w:abstractNumId="3" w15:restartNumberingAfterBreak="0">
    <w:multiLevelType w:val="hybridMultilevel"/>
    <w:lvl w:ilvl="0" w15:tentative="1">
      <w:start w:val="1"/>
      <w:numFmt w:val="decimal"/>
      <w:lvlText w:val="%1."/>
      <w:lvlJc w:val="left"/>
      <w:pPr>
        <w:ind w:left="460" w:hanging="300"/>
      </w:pPr>
      <w:rPr>
        <w:b/>
        <w:bCs/>
        <w:color w:val="0C4A5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C4A5E"/>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C4A5E"/>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2BB5B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ef3e98190745d321cbbf7b942ae9666a86b8db8.jpg"/><Relationship Id="rId14" Type="http://schemas.openxmlformats.org/officeDocument/2006/relationships/image" Target="media/252b1f60f8edb87ed577616c38ba1ab4e46c36f7.jpg"/><Relationship Id="rId15" Type="http://schemas.openxmlformats.org/officeDocument/2006/relationships/image" Target="media/e82bcdeeeed82a44c5b860c965cecbe23b903a23.jpg"/><Relationship Id="rId16" Type="http://schemas.openxmlformats.org/officeDocument/2006/relationships/image" Target="media/d2805219107fb91264ce9212b9c3693f06df5a07.jpg"/><Relationship Id="rId17" Type="http://schemas.openxmlformats.org/officeDocument/2006/relationships/image" Target="media/93881b4177052683d60c852e888cdd4e59a5fb38.jpg"/><Relationship Id="rId18" Type="http://schemas.openxmlformats.org/officeDocument/2006/relationships/image" Target="media/2dfc67123e8f340728502d9379ff5e3a181b41a6.jpg"/><Relationship Id="rId19" Type="http://schemas.openxmlformats.org/officeDocument/2006/relationships/image" Target="media/aab0179ed95ac7d5e30d752da486a611a16e0cd1.jpg"/><Relationship Id="rId20" Type="http://schemas.openxmlformats.org/officeDocument/2006/relationships/image" Target="media/facef0d88eee6bbe224aa5c75ab7b946508e19f1.jpg"/><Relationship Id="rId21" Type="http://schemas.openxmlformats.org/officeDocument/2006/relationships/image" Target="media/ef3034f89c108692ab336428c27723b80d3b0fb6.jpg"/><Relationship Id="rId22" Type="http://schemas.openxmlformats.org/officeDocument/2006/relationships/image" Target="media/3588df7105997156a378c5528ca16e9f97343c66.png"/><Relationship Id="rId23" Type="http://schemas.openxmlformats.org/officeDocument/2006/relationships/image" Target="media/6ec8de9a58714a5ca81039b7f80ddc03fff9c68f.jpg"/><Relationship Id="rId24" Type="http://schemas.openxmlformats.org/officeDocument/2006/relationships/image" Target="media/60369e58449b47ed5d7367d16ab4dc4b939a365b.jpg"/><Relationship Id="rId25" Type="http://schemas.openxmlformats.org/officeDocument/2006/relationships/image" Target="media/7b35804e6c9ef60bb0e9da0a098b76437561ba49.jpg"/><Relationship Id="rId26" Type="http://schemas.openxmlformats.org/officeDocument/2006/relationships/image" Target="media/4f4a4a016764670ebdcc1e2106ca65287ab68a7b.jpg"/><Relationship Id="rId27" Type="http://schemas.openxmlformats.org/officeDocument/2006/relationships/image" Target="media/b4e2ddf0d0ee042d6883abbf8a4029a1c4b96ccf.jpg"/><Relationship Id="rId28" Type="http://schemas.openxmlformats.org/officeDocument/2006/relationships/image" Target="media/92231ce820c10f25bbc190a27cb35ad8d8bfaa94.jpg"/><Relationship Id="rId29" Type="http://schemas.openxmlformats.org/officeDocument/2006/relationships/image" Target="media/5d30e4d2d4c0c44f62db636db76d9049712bcd10.jpg"/><Relationship Id="rId30" Type="http://schemas.openxmlformats.org/officeDocument/2006/relationships/image" Target="media/be65f93757001afc5f3fe9fb81ace30c7edea0f4.jpg"/><Relationship Id="rId31" Type="http://schemas.openxmlformats.org/officeDocument/2006/relationships/image" Target="media/3f2d005a3512d69ac64ad73736d20e71723cbe08.png"/><Relationship Id="rId32" Type="http://schemas.openxmlformats.org/officeDocument/2006/relationships/image" Target="media/21b414843ac142558cc4937e40437d3bacaf8367.png"/><Relationship Id="rId33" Type="http://schemas.openxmlformats.org/officeDocument/2006/relationships/image" Target="media/7616e7e2ee1e1e3b2ef51f2531bb945557f4ae94.png"/><Relationship Id="rId34" Type="http://schemas.openxmlformats.org/officeDocument/2006/relationships/image" Target="media/1c5cb81eff6f015529599ac8634df8d26d5f9b8a.png"/><Relationship Id="rId35" Type="http://schemas.openxmlformats.org/officeDocument/2006/relationships/image" Target="media/3cf37c38673537f48db48bd757075a5dafb86f54.jpg"/><Relationship Id="rId36" Type="http://schemas.openxmlformats.org/officeDocument/2006/relationships/image" Target="media/e9de535a7bc74afad02505747cbefbd708d04bcf.jpg"/><Relationship Id="rId37" Type="http://schemas.openxmlformats.org/officeDocument/2006/relationships/image" Target="media/65c2e47bb21ea8fa0d61bc6ca11b9d0378e285ca.jpg"/><Relationship Id="rId38" Type="http://schemas.openxmlformats.org/officeDocument/2006/relationships/image" Target="media/7d3a82a51ddb3864ebdb17dd985b41e6c456bf80.jp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v2 – Complexe Havana</dc:title>
  <dc:creator>Complexe Havana</dc:creator>
  <dc:description>Demande de financement</dc:description>
  <cp:lastModifiedBy>Un-named</cp:lastModifiedBy>
  <cp:revision>1</cp:revision>
  <dcterms:created xsi:type="dcterms:W3CDTF">2026-09-04T12:31:32.047Z</dcterms:created>
  <dcterms:modified xsi:type="dcterms:W3CDTF">2026-09-04T12:31:32.048Z</dcterms:modified>
</cp:coreProperties>
</file>

<file path=docProps/custom.xml><?xml version="1.0" encoding="utf-8"?>
<Properties xmlns="http://schemas.openxmlformats.org/officeDocument/2006/custom-properties" xmlns:vt="http://schemas.openxmlformats.org/officeDocument/2006/docPropsVTypes"/>
</file>