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20"/>
          <w:szCs w:val="20"/>
        </w:rPr>
        <w:t xml:space="preserve">Demande de financement de 10,3 M$   ·   Maricourt, Cantons-de-l'Est   ·   Septembre 2026</w:t>
      </w:r>
    </w:p>
    <w:p>
      <w:pPr>
        <w:spacing w:after="0" w:before="60"/>
      </w:pPr>
      <w:r>
        <w:rPr>
          <w:rFonts w:ascii="Calibri" w:cs="Calibri" w:eastAsia="Calibri" w:hAnsi="Calibri"/>
          <w:color w:val="A8D8DC"/>
          <w:sz w:val="18"/>
          <w:szCs w:val="18"/>
        </w:rPr>
        <w:t xml:space="preserve">Présenté à [nom de l'institution financière]   ·   Document confidentiel</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1,53 M$</w:t>
            </w:r>
          </w:p>
          <w:p>
            <w:pPr>
              <w:spacing w:after="0"/>
            </w:pPr>
            <w:r>
              <w:rPr>
                <w:rFonts w:ascii="Calibri" w:cs="Calibri" w:eastAsia="Calibri" w:hAnsi="Calibri"/>
                <w:color w:val="6F8A90"/>
                <w:sz w:val="17"/>
                <w:szCs w:val="17"/>
              </w:rPr>
              <w:t xml:space="preserve">Revenus 2026 (réels,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28 M$</w:t>
            </w:r>
          </w:p>
          <w:p>
            <w:pPr>
              <w:spacing w:after="0"/>
            </w:pPr>
            <w:r>
              <w:rPr>
                <w:rFonts w:ascii="Calibri" w:cs="Calibri" w:eastAsia="Calibri" w:hAnsi="Calibri"/>
                <w:color w:val="6F8A90"/>
                <w:sz w:val="17"/>
                <w:szCs w:val="17"/>
              </w:rPr>
              <w:t xml:space="preserve">Valeur estimée du site (2025)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10,3 M$</w:t>
            </w:r>
          </w:p>
          <w:p>
            <w:pPr>
              <w:spacing w:after="0"/>
            </w:pPr>
            <w:r>
              <w:rPr>
                <w:rFonts w:ascii="Calibri" w:cs="Calibri" w:eastAsia="Calibri" w:hAnsi="Calibri"/>
                <w:color w:val="6F8A90"/>
                <w:sz w:val="17"/>
                <w:szCs w:val="17"/>
              </w:rPr>
              <w:t xml:space="preserve">Financement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37 %</w:t>
            </w:r>
          </w:p>
          <w:p>
            <w:pPr>
              <w:spacing w:after="0"/>
            </w:pPr>
            <w:r>
              <w:rPr>
                <w:rFonts w:ascii="Calibri" w:cs="Calibri" w:eastAsia="Calibri" w:hAnsi="Calibri"/>
                <w:color w:val="6F8A90"/>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5,9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2,0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1,79 x</w:t>
            </w:r>
          </w:p>
          <w:p>
            <w:pPr>
              <w:spacing w:after="0"/>
            </w:pPr>
            <w:r>
              <w:rPr>
                <w:rFonts w:ascii="Calibri" w:cs="Calibri" w:eastAsia="Calibri" w:hAnsi="Calibri"/>
                <w:color w:val="6F8A90"/>
                <w:sz w:val="17"/>
                <w:szCs w:val="17"/>
              </w:rPr>
              <w:t xml:space="preserve">Couverture de la dette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6"/>
                <w:szCs w:val="36"/>
              </w:rPr>
              <w:t xml:space="preserve">2,27 x</w:t>
            </w:r>
          </w:p>
          <w:p>
            <w:pPr>
              <w:spacing w:after="0"/>
            </w:pPr>
            <w:r>
              <w:rPr>
                <w:rFonts w:ascii="Calibri" w:cs="Calibri" w:eastAsia="Calibri" w:hAnsi="Calibri"/>
                <w:color w:val="6F8A90"/>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E2A2E"/>
          <w:sz w:val="21"/>
          <w:szCs w:val="21"/>
        </w:rPr>
        <w:t xml:space="preserve">Phase 1 (hiver-printemps 2027, 2,5 M$) : </w:t>
      </w:r>
      <w:r>
        <w:rPr>
          <w:rFonts w:ascii="Calibri" w:cs="Calibri" w:eastAsia="Calibri" w:hAnsi="Calibri"/>
          <w:color w:val="1E2A2E"/>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E2A2E"/>
          <w:sz w:val="21"/>
          <w:szCs w:val="21"/>
        </w:rPr>
        <w:t xml:space="preserve">Phase 2 (automne 2027-printemps 2028, 3,0 M$) : </w:t>
      </w:r>
      <w:r>
        <w:rPr>
          <w:rFonts w:ascii="Calibri" w:cs="Calibri" w:eastAsia="Calibri" w:hAnsi="Calibri"/>
          <w:color w:val="1E2A2E"/>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C4A5E"/>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E2A2E"/>
          <w:sz w:val="21"/>
          <w:szCs w:val="21"/>
        </w:rPr>
        <w:t xml:space="preserve">Une demande démontrée : </w:t>
      </w:r>
      <w:r>
        <w:rPr>
          <w:rFonts w:ascii="Calibri" w:cs="Calibri" w:eastAsia="Calibri" w:hAnsi="Calibri"/>
          <w:color w:val="1E2A2E"/>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E2A2E"/>
          <w:sz w:val="21"/>
          <w:szCs w:val="21"/>
        </w:rPr>
        <w:t xml:space="preserve">Un actif de grande valeur : </w:t>
      </w:r>
      <w:r>
        <w:rPr>
          <w:rFonts w:ascii="Calibri" w:cs="Calibri" w:eastAsia="Calibri" w:hAnsi="Calibri"/>
          <w:color w:val="1E2A2E"/>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E2A2E"/>
          <w:sz w:val="21"/>
          <w:szCs w:val="21"/>
        </w:rPr>
        <w:t xml:space="preserve">Des revenus diversifiés : </w:t>
      </w:r>
      <w:r>
        <w:rPr>
          <w:rFonts w:ascii="Calibri" w:cs="Calibri" w:eastAsia="Calibri" w:hAnsi="Calibri"/>
          <w:color w:val="1E2A2E"/>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E2A2E"/>
          <w:sz w:val="21"/>
          <w:szCs w:val="21"/>
        </w:rPr>
        <w:t xml:space="preserve">Une capacité de remboursement confortable : </w:t>
      </w:r>
      <w:r>
        <w:rPr>
          <w:rFonts w:ascii="Calibri" w:cs="Calibri" w:eastAsia="Calibri" w:hAnsi="Calibri"/>
          <w:color w:val="1E2A2E"/>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E2A2E"/>
          <w:sz w:val="21"/>
          <w:szCs w:val="21"/>
        </w:rPr>
        <w:t xml:space="preserve">Une direction renouvelée : </w:t>
      </w:r>
      <w:r>
        <w:rPr>
          <w:rFonts w:ascii="Calibri" w:cs="Calibri" w:eastAsia="Calibri" w:hAnsi="Calibri"/>
          <w:color w:val="1E2A2E"/>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600"/>
        <w:gridCol w:w="1410"/>
        <w:gridCol w:w="1410"/>
        <w:gridCol w:w="1410"/>
        <w:gridCol w:w="1410"/>
        <w:gridCol w:w="1408"/>
      </w:tblGrid>
      <w:tr>
        <w:trPr>
          <w:tblHeader/>
        </w:trPr>
        <w:tc>
          <w:tcPr>
            <w:tcW w:type="dxa" w:w="2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5 920 995 $</w:t>
            </w:r>
          </w:p>
        </w:tc>
      </w:tr>
      <w:tr>
        <w:trPr>
          <w:cantSplit/>
        </w:trPr>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BAIIA</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685 659 $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1 094 284 $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1 567 082 $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1 816 958 $</w:t>
            </w:r>
          </w:p>
        </w:tc>
        <w:tc>
          <w:tcPr>
            <w:tcW w:type="dxa" w:w="14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33,5 %</w:t>
            </w:r>
          </w:p>
        </w:tc>
      </w:tr>
      <w:tr>
        <w:trPr>
          <w:cantSplit/>
        </w:trPr>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Service de la dette</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523 250 $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797 290 $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873 579 $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873 579 $</w:t>
            </w:r>
          </w:p>
        </w:tc>
        <w:tc>
          <w:tcPr>
            <w:tcW w:type="dxa" w:w="14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2,27 x</w:t>
            </w:r>
          </w:p>
        </w:tc>
      </w:tr>
      <w:tr>
        <w:trPr>
          <w:cantSplit/>
        </w:trPr>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Bénéfice net</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(87 591)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3 524 $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389 335 $</w:t>
            </w:r>
          </w:p>
        </w:tc>
        <w:tc>
          <w:tcPr>
            <w:tcW w:type="dxa" w:w="14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598 673 $</w:t>
            </w:r>
          </w:p>
        </w:tc>
        <w:tc>
          <w:tcPr>
            <w:tcW w:type="dxa" w:w="14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740 347 $</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E2A2E"/>
          <w:sz w:val="21"/>
          <w:szCs w:val="21"/>
        </w:rPr>
        <w:t xml:space="preserve">Durabilité : </w:t>
      </w:r>
      <w:r>
        <w:rPr>
          <w:rFonts w:ascii="Calibri" w:cs="Calibri" w:eastAsia="Calibri" w:hAnsi="Calibri"/>
          <w:color w:val="1E2A2E"/>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C4A5E"/>
          <w:sz w:val="27"/>
          <w:szCs w:val="27"/>
        </w:rPr>
        <w:t xml:space="preserve">2.3 Structure juridique et propriété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6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compléter : nom légal de la société]</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Forme juridique</w:t>
            </w:r>
          </w:p>
        </w:tc>
        <w:tc>
          <w:tcPr>
            <w:tcW w:type="dxa" w:w="6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compléter]</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Date de constitution</w:t>
            </w:r>
          </w:p>
        </w:tc>
        <w:tc>
          <w:tcPr>
            <w:tcW w:type="dxa" w:w="6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[Famille Perrier : à détailler par actionnaire]</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Siège social</w:t>
            </w:r>
          </w:p>
        </w:tc>
        <w:tc>
          <w:tcPr>
            <w:tcW w:type="dxa" w:w="6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confirmer]</w:t>
            </w:r>
          </w:p>
        </w:tc>
      </w:tr>
    </w:tbl>
    <w:p>
      <w:pPr>
        <w:pStyle w:val="Heading2"/>
        <w:keepNext/>
        <w:spacing w:after="120" w:before="300"/>
      </w:pPr>
      <w:r>
        <w:rPr>
          <w:rFonts w:ascii="Calibri" w:cs="Calibri" w:eastAsia="Calibri" w:hAnsi="Calibri"/>
          <w:b/>
          <w:bCs/>
          <w:color w:val="0C4A5E"/>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C4A5E"/>
          <w:sz w:val="27"/>
          <w:szCs w:val="27"/>
        </w:rPr>
        <w:t xml:space="preserve">2.5 Actifs et installations actuelles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2300"/>
        <w:gridCol w:w="2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Mai à octobre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saisonniers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35</w:t>
            </w:r>
          </w:p>
        </w:tc>
        <w:tc>
          <w:tcPr>
            <w:tcW w:type="dxa" w:w="2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3 650 $ / saison</w:t>
            </w:r>
          </w:p>
        </w:tc>
        <w:tc>
          <w:tcPr>
            <w:tcW w:type="dxa" w:w="2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Mai à octobre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Chambres d'hôtel</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w:t>
            </w:r>
          </w:p>
        </w:tc>
        <w:tc>
          <w:tcPr>
            <w:tcW w:type="dxa" w:w="2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190 $ / nuit</w:t>
            </w:r>
          </w:p>
        </w:tc>
        <w:tc>
          <w:tcPr>
            <w:tcW w:type="dxa" w:w="2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Mai à octobre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Villas (en construction)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13</w:t>
            </w:r>
          </w:p>
        </w:tc>
        <w:tc>
          <w:tcPr>
            <w:tcW w:type="dxa" w:w="2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275 $ / nuit</w:t>
            </w:r>
          </w:p>
        </w:tc>
        <w:tc>
          <w:tcPr>
            <w:tcW w:type="dxa" w:w="2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Piscine centrale, Aqua Bar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Été</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Lac, plage de sable et palapas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w:t>
            </w:r>
          </w:p>
        </w:tc>
        <w:tc>
          <w:tcPr>
            <w:tcW w:type="dxa" w:w="2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Inclus</w:t>
            </w:r>
          </w:p>
        </w:tc>
        <w:tc>
          <w:tcPr>
            <w:tcW w:type="dxa" w:w="2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Cantine, jeux gonflables, concessions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Variable</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800"/>
        <w:gridCol w:w="1950"/>
        <w:gridCol w:w="1950"/>
        <w:gridCol w:w="1948"/>
      </w:tblGrid>
      <w:tr>
        <w:trPr>
          <w:tblHeader/>
        </w:trPr>
        <w:tc>
          <w:tcPr>
            <w:tcW w:type="dxa" w:w="3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−5,4 %</w:t>
            </w:r>
          </w:p>
        </w:tc>
      </w:tr>
      <w:tr>
        <w:trPr>
          <w:cantSplit/>
        </w:trPr>
        <w:tc>
          <w:tcPr>
            <w:tcW w:type="dxa" w:w="3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Chalets et chambres</w:t>
            </w:r>
          </w:p>
        </w:tc>
        <w:tc>
          <w:tcPr>
            <w:tcW w:type="dxa" w:w="19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400 868 $</w:t>
            </w:r>
          </w:p>
        </w:tc>
        <w:tc>
          <w:tcPr>
            <w:tcW w:type="dxa" w:w="19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497 723 $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+1,8 %</w:t>
            </w:r>
          </w:p>
        </w:tc>
      </w:tr>
      <w:tr>
        <w:trPr>
          <w:cantSplit/>
        </w:trPr>
        <w:tc>
          <w:tcPr>
            <w:tcW w:type="dxa" w:w="3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saisonniers</w:t>
            </w:r>
          </w:p>
        </w:tc>
        <w:tc>
          <w:tcPr>
            <w:tcW w:type="dxa" w:w="19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19 732 $</w:t>
            </w:r>
          </w:p>
        </w:tc>
        <w:tc>
          <w:tcPr>
            <w:tcW w:type="dxa" w:w="19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43 209 $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w:t>
            </w:r>
          </w:p>
        </w:tc>
      </w:tr>
      <w:tr>
        <w:trPr>
          <w:cantSplit/>
        </w:trPr>
        <w:tc>
          <w:tcPr>
            <w:tcW w:type="dxa" w:w="38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Total des revenus d'hébergement</w:t>
            </w:r>
          </w:p>
        </w:tc>
        <w:tc>
          <w:tcPr>
            <w:tcW w:type="dxa" w:w="19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1 453 605 $</w:t>
            </w:r>
          </w:p>
        </w:tc>
        <w:tc>
          <w:tcPr>
            <w:tcW w:type="dxa" w:w="19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1 531 842 $</w:t>
            </w:r>
          </w:p>
        </w:tc>
        <w:tc>
          <w:tcPr>
            <w:tcW w:type="dxa" w:w="19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−8,7 %</w:t>
            </w:r>
          </w:p>
        </w:tc>
      </w:tr>
      <w:tr>
        <w:trPr>
          <w:cantSplit/>
        </w:trPr>
        <w:tc>
          <w:tcPr>
            <w:tcW w:type="dxa" w:w="3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Revenu moyen par transaction</w:t>
            </w:r>
          </w:p>
        </w:tc>
        <w:tc>
          <w:tcPr>
            <w:tcW w:type="dxa" w:w="19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137,30 $</w:t>
            </w:r>
          </w:p>
        </w:tc>
        <w:tc>
          <w:tcPr>
            <w:tcW w:type="dxa" w:w="19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158,41 $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F4B942"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Note sur les données historiques</w:t>
            </w:r>
          </w:p>
          <w:p>
            <w:pPr>
              <w:spacing w:after="60" w:line="264"/>
            </w:pPr>
            <w:r>
              <w:rPr>
                <w:rFonts w:ascii="Calibri" w:cs="Calibri" w:eastAsia="Calibri" w:hAnsi="Calibri"/>
                <w:color w:val="1E2A2E"/>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400"/>
        <w:gridCol w:w="20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9"/>
                <w:szCs w:val="19"/>
              </w:rPr>
              <w:t xml:space="preserve">Phase 1 — Hiver et printemps 2027 (ouverture saison 2027)</w:t>
            </w:r>
          </w:p>
        </w:tc>
        <w:tc>
          <w:tcPr>
            <w:tcW w:type="dxa" w:w="14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9"/>
                <w:szCs w:val="19"/>
              </w:rPr>
              <w:t xml:space="preserve"/>
            </w:r>
          </w:p>
        </w:tc>
        <w:tc>
          <w:tcPr>
            <w:tcW w:type="dxa" w:w="20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9"/>
                <w:szCs w:val="19"/>
              </w:rPr>
              <w:t xml:space="preserve"/>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Hôtel : de 6 à 17 chambres, exploitation 12 mois</w:t>
            </w:r>
          </w:p>
        </w:tc>
        <w:tc>
          <w:tcPr>
            <w:tcW w:type="dxa" w:w="1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1</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800 000 $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Achèvement des 13 villas</w:t>
            </w:r>
          </w:p>
        </w:tc>
        <w:tc>
          <w:tcPr>
            <w:tcW w:type="dxa" w:w="1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1</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150 000 $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35 terrains saisonniers additionnels</w:t>
            </w:r>
          </w:p>
        </w:tc>
        <w:tc>
          <w:tcPr>
            <w:tcW w:type="dxa" w:w="1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1</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700 000 $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Sous-total phase 1</w:t>
            </w:r>
          </w:p>
        </w:tc>
        <w:tc>
          <w:tcPr>
            <w:tcW w:type="dxa" w:w="14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2 500 000 $</w:t>
            </w:r>
          </w:p>
        </w:tc>
      </w:tr>
      <w:tr>
        <w:trPr>
          <w:cantSplit/>
        </w:trPr>
        <w:tc>
          <w:tcPr>
            <w:tcW w:type="dxa" w:w="62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9"/>
                <w:szCs w:val="19"/>
              </w:rPr>
              <w:t xml:space="preserve">Phase 2 — Automne 2027 et printemps 2028 (ouverture saison 2028)</w:t>
            </w:r>
          </w:p>
        </w:tc>
        <w:tc>
          <w:tcPr>
            <w:tcW w:type="dxa" w:w="14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9"/>
                <w:szCs w:val="19"/>
              </w:rPr>
              <w:t xml:space="preserve"/>
            </w:r>
          </w:p>
        </w:tc>
        <w:tc>
          <w:tcPr>
            <w:tcW w:type="dxa" w:w="20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2 000 000 $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Amphithéâtre</w:t>
            </w:r>
          </w:p>
        </w:tc>
        <w:tc>
          <w:tcPr>
            <w:tcW w:type="dxa" w:w="1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2</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500 000 $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Sous-total phase 2</w:t>
            </w:r>
          </w:p>
        </w:tc>
        <w:tc>
          <w:tcPr>
            <w:tcW w:type="dxa" w:w="14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3 000 000 $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Total des projets de développement</w:t>
            </w:r>
          </w:p>
        </w:tc>
        <w:tc>
          <w:tcPr>
            <w:tcW w:type="dxa" w:w="14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5 500 000 $</w:t>
            </w:r>
          </w:p>
        </w:tc>
      </w:tr>
    </w:tbl>
    <w:p>
      <w:pPr>
        <w:spacing w:after="120"/>
      </w:pPr>
    </w:p>
    <w:p>
      <w:pPr>
        <w:spacing w:after="120" w:before="0" w:line="276"/>
        <w:jc w:val="left"/>
      </w:pPr>
      <w:r>
        <w:rPr>
          <w:rFonts w:ascii="Calibri" w:cs="Calibri" w:eastAsia="Calibri" w:hAnsi="Calibri"/>
          <w:i/>
          <w:iCs/>
          <w:color w:val="6F8A90"/>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2BB5BF"/>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2BB5BF"/>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2BB5BF"/>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C4A5E"/>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E2A2E"/>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E2A2E"/>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E2A2E"/>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E2A2E"/>
          <w:sz w:val="21"/>
          <w:szCs w:val="21"/>
        </w:rPr>
        <w:t xml:space="preserve">Entrepreneur général et professionnels (architecte, ingénieur) : [noms et soumissions à l'annexe C].</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C4A5E"/>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6F8A90"/>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C4A5E"/>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6F8A90" w:sz="8"/>
              <w:left w:val="dashed" w:color="6F8A90" w:sz="8"/>
              <w:bottom w:val="dashed" w:color="6F8A90" w:sz="8"/>
              <w:right w:val="dashed" w:color="6F8A90" w:sz="8"/>
            </w:tcBorders>
            <w:shd w:fill="F7F8FA" w:color="auto" w:val="clear"/>
            <w:vAlign w:val="center"/>
          </w:tcPr>
          <w:p>
            <w:pPr>
              <w:spacing w:after="60"/>
              <w:jc w:val="center"/>
            </w:pPr>
            <w:r>
              <w:rPr>
                <w:rFonts w:ascii="Calibri" w:cs="Calibri" w:eastAsia="Calibri" w:hAnsi="Calibri"/>
                <w:b/>
                <w:bCs/>
                <w:color w:val="6F8A90"/>
                <w:sz w:val="18"/>
                <w:szCs w:val="18"/>
              </w:rPr>
              <w:t xml:space="preserve">IMAGE À INSÉRER</w:t>
            </w:r>
          </w:p>
          <w:p>
            <w:pPr>
              <w:spacing w:after="0"/>
              <w:jc w:val="center"/>
            </w:pPr>
            <w:r>
              <w:rPr>
                <w:rFonts w:ascii="Calibri" w:cs="Calibri" w:eastAsia="Calibri" w:hAnsi="Calibri"/>
                <w:i/>
                <w:iCs/>
                <w:color w:val="6F8A90"/>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C4A5E"/>
          <w:sz w:val="27"/>
          <w:szCs w:val="27"/>
        </w:rPr>
        <w:t xml:space="preserve">4.3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600"/>
        <w:gridCol w:w="33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Couples et groupes d'amis</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25 à 55 ans, séjours courts</w:t>
            </w:r>
          </w:p>
        </w:tc>
        <w:tc>
          <w:tcPr>
            <w:tcW w:type="dxa" w:w="3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Villas, hôtel, spa,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Entreprises et groupes</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Réunions, retraites, mariages</w:t>
            </w:r>
          </w:p>
        </w:tc>
        <w:tc>
          <w:tcPr>
            <w:tcW w:type="dxa" w:w="3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Clientèle de jour</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Résidents de la région</w:t>
            </w:r>
          </w:p>
        </w:tc>
        <w:tc>
          <w:tcPr>
            <w:tcW w:type="dxa" w:w="3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Spa, restaurant, sentier lumineux</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4 saisons</w:t>
            </w:r>
          </w:p>
        </w:tc>
      </w:tr>
    </w:tbl>
    <w:p>
      <w:pPr>
        <w:pStyle w:val="Heading2"/>
        <w:keepNext/>
        <w:spacing w:after="120" w:before="300"/>
      </w:pPr>
      <w:r>
        <w:rPr>
          <w:rFonts w:ascii="Calibri" w:cs="Calibri" w:eastAsia="Calibri" w:hAnsi="Calibri"/>
          <w:b/>
          <w:bCs/>
          <w:color w:val="0C4A5E"/>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300"/>
        <w:gridCol w:w="23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Thématique, animation, piscine centrale, hébergement varié</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Centres de villégiature et spas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 municipalité]</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Notoriété, offre spa</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C4A5E"/>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E2A2E"/>
          <w:sz w:val="21"/>
          <w:szCs w:val="21"/>
        </w:rPr>
        <w:t xml:space="preserve">Un concept protégé par sa singularité : </w:t>
      </w:r>
      <w:r>
        <w:rPr>
          <w:rFonts w:ascii="Calibri" w:cs="Calibri" w:eastAsia="Calibri" w:hAnsi="Calibri"/>
          <w:color w:val="1E2A2E"/>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E2A2E"/>
          <w:sz w:val="21"/>
          <w:szCs w:val="21"/>
        </w:rPr>
        <w:t xml:space="preserve">Un site de 263 acres : </w:t>
      </w:r>
      <w:r>
        <w:rPr>
          <w:rFonts w:ascii="Calibri" w:cs="Calibri" w:eastAsia="Calibri" w:hAnsi="Calibri"/>
          <w:color w:val="1E2A2E"/>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E2A2E"/>
          <w:sz w:val="21"/>
          <w:szCs w:val="21"/>
        </w:rPr>
        <w:t xml:space="preserve">Une demande excédentaire : </w:t>
      </w:r>
      <w:r>
        <w:rPr>
          <w:rFonts w:ascii="Calibri" w:cs="Calibri" w:eastAsia="Calibri" w:hAnsi="Calibri"/>
          <w:color w:val="1E2A2E"/>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E2A2E"/>
          <w:sz w:val="21"/>
          <w:szCs w:val="21"/>
        </w:rPr>
        <w:t xml:space="preserve">Un portefeuille de revenus diversifié après le projet : </w:t>
      </w:r>
      <w:r>
        <w:rPr>
          <w:rFonts w:ascii="Calibri" w:cs="Calibri" w:eastAsia="Calibri" w:hAnsi="Calibri"/>
          <w:color w:val="1E2A2E"/>
          <w:sz w:val="21"/>
          <w:szCs w:val="21"/>
        </w:rPr>
        <w:t xml:space="preserve">hébergement, restauration, spa, événements et saisonniers.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C4A5E"/>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C4A5E"/>
          <w:sz w:val="27"/>
          <w:szCs w:val="27"/>
        </w:rPr>
        <w:t xml:space="preserve">5.2 Offre et tarification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500"/>
        <w:gridCol w:w="1700"/>
        <w:gridCol w:w="29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Campings 3 services de la région</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 saisonnier</w:t>
            </w:r>
          </w:p>
        </w:tc>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Chalets locatifs régionaux</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Villa</w:t>
            </w:r>
          </w:p>
        </w:tc>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Hôtels 3 étoiles de l'Estrie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Cabana prêt-à-camper</w:t>
            </w:r>
          </w:p>
        </w:tc>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200 $ / nuit</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Spas nordiques régionaux (65 $ à 80 $)</w:t>
            </w:r>
          </w:p>
        </w:tc>
      </w:tr>
    </w:tbl>
    <w:p>
      <w:pPr>
        <w:pStyle w:val="Heading2"/>
        <w:keepNext/>
        <w:spacing w:after="120" w:before="300"/>
      </w:pPr>
      <w:r>
        <w:rPr>
          <w:rFonts w:ascii="Calibri" w:cs="Calibri" w:eastAsia="Calibri" w:hAnsi="Calibri"/>
          <w:b/>
          <w:bCs/>
          <w:color w:val="0C4A5E"/>
          <w:sz w:val="27"/>
          <w:szCs w:val="27"/>
        </w:rPr>
        <w:t xml:space="preserve">5.3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E2A2E"/>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E2A2E"/>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E2A2E"/>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C4A5E"/>
          <w:sz w:val="27"/>
          <w:szCs w:val="27"/>
        </w:rPr>
        <w:t xml:space="preserve">5.4 Promotion</w:t>
      </w:r>
    </w:p>
    <w:p>
      <w:pPr>
        <w:pStyle w:val="ListParagraph"/>
        <w:numPr>
          <w:ilvl w:val="0"/>
          <w:numId w:val="2"/>
        </w:numPr>
        <w:spacing w:after="80" w:line="276"/>
      </w:pPr>
      <w:r>
        <w:rPr>
          <w:rFonts w:ascii="Calibri" w:cs="Calibri" w:eastAsia="Calibri" w:hAnsi="Calibri"/>
          <w:b/>
          <w:bCs/>
          <w:color w:val="1E2A2E"/>
          <w:sz w:val="21"/>
          <w:szCs w:val="21"/>
        </w:rPr>
        <w:t xml:space="preserve">Marketing numérique : </w:t>
      </w:r>
      <w:r>
        <w:rPr>
          <w:rFonts w:ascii="Calibri" w:cs="Calibri" w:eastAsia="Calibri" w:hAnsi="Calibri"/>
          <w:color w:val="1E2A2E"/>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E2A2E"/>
          <w:sz w:val="21"/>
          <w:szCs w:val="21"/>
        </w:rPr>
        <w:t xml:space="preserve">Relations médias et influenceurs : </w:t>
      </w:r>
      <w:r>
        <w:rPr>
          <w:rFonts w:ascii="Calibri" w:cs="Calibri" w:eastAsia="Calibri" w:hAnsi="Calibri"/>
          <w:color w:val="1E2A2E"/>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E2A2E"/>
          <w:sz w:val="21"/>
          <w:szCs w:val="21"/>
        </w:rPr>
        <w:t xml:space="preserve">Partenariats : </w:t>
      </w:r>
      <w:r>
        <w:rPr>
          <w:rFonts w:ascii="Calibri" w:cs="Calibri" w:eastAsia="Calibri" w:hAnsi="Calibri"/>
          <w:color w:val="1E2A2E"/>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E2A2E"/>
          <w:sz w:val="21"/>
          <w:szCs w:val="21"/>
        </w:rPr>
        <w:t xml:space="preserve">Événements signature : </w:t>
      </w:r>
      <w:r>
        <w:rPr>
          <w:rFonts w:ascii="Calibri" w:cs="Calibri" w:eastAsia="Calibri" w:hAnsi="Calibri"/>
          <w:color w:val="1E2A2E"/>
          <w:sz w:val="21"/>
          <w:szCs w:val="21"/>
        </w:rPr>
        <w:t xml:space="preserve">festival cubain estival, soirées à l'amphithéâtre, programmation hivernale du sentier lumineux.</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C4A5E"/>
          <w:sz w:val="27"/>
          <w:szCs w:val="27"/>
        </w:rPr>
        <w:t xml:space="preserve">5.5 Objectifs commerciaux</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250"/>
        <w:gridCol w:w="1250"/>
        <w:gridCol w:w="1250"/>
        <w:gridCol w:w="1250"/>
        <w:gridCol w:w="1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68 %</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Occupation hivernale des chalets</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25 %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33 %</w:t>
            </w:r>
          </w:p>
        </w:tc>
        <w:tc>
          <w:tcPr>
            <w:tcW w:type="dxa" w:w="12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57 %</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Terrains saisonniers loués</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30</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52</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64</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70</w:t>
            </w:r>
          </w:p>
        </w:tc>
        <w:tc>
          <w:tcPr>
            <w:tcW w:type="dxa" w:w="12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9 500</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Revenus de restauration / hébergement</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16 %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21 %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24 %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25 %</w:t>
            </w:r>
          </w:p>
        </w:tc>
        <w:tc>
          <w:tcPr>
            <w:tcW w:type="dxa" w:w="12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26 %</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C4A5E"/>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C4A5E"/>
          <w:sz w:val="27"/>
          <w:szCs w:val="27"/>
        </w:rPr>
        <w:t xml:space="preserve">6.2 Ressources humaines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800"/>
        <w:gridCol w:w="1450"/>
        <w:gridCol w:w="1450"/>
        <w:gridCol w:w="1450"/>
        <w:gridCol w:w="1498"/>
      </w:tblGrid>
      <w:tr>
        <w:trPr>
          <w:tblHeader/>
        </w:trPr>
        <w:tc>
          <w:tcPr>
            <w:tcW w:type="dxa" w:w="3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w:t>
            </w:r>
          </w:p>
        </w:tc>
      </w:tr>
      <w:tr>
        <w:trPr>
          <w:cantSplit/>
        </w:trPr>
        <w:tc>
          <w:tcPr>
            <w:tcW w:type="dxa" w:w="3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Employés horaires (accueil, entretien, animation, restauration)</w:t>
            </w:r>
          </w:p>
        </w:tc>
        <w:tc>
          <w:tcPr>
            <w:tcW w:type="dxa" w:w="14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 à 20</w:t>
            </w:r>
          </w:p>
        </w:tc>
        <w:tc>
          <w:tcPr>
            <w:tcW w:type="dxa" w:w="14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w:t>
            </w:r>
          </w:p>
        </w:tc>
        <w:tc>
          <w:tcPr>
            <w:tcW w:type="dxa" w:w="14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25 à 30</w:t>
            </w:r>
          </w:p>
        </w:tc>
        <w:tc>
          <w:tcPr>
            <w:tcW w:type="dxa" w:w="14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w:t>
            </w:r>
          </w:p>
        </w:tc>
      </w:tr>
      <w:tr>
        <w:trPr>
          <w:cantSplit/>
        </w:trPr>
        <w:tc>
          <w:tcPr>
            <w:tcW w:type="dxa" w:w="38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Total approximatif</w:t>
            </w:r>
          </w:p>
        </w:tc>
        <w:tc>
          <w:tcPr>
            <w:tcW w:type="dxa" w:w="14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20 à 27</w:t>
            </w:r>
          </w:p>
        </w:tc>
        <w:tc>
          <w:tcPr>
            <w:tcW w:type="dxa" w:w="14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4</w:t>
            </w:r>
          </w:p>
        </w:tc>
        <w:tc>
          <w:tcPr>
            <w:tcW w:type="dxa" w:w="14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40 à 45</w:t>
            </w:r>
          </w:p>
        </w:tc>
        <w:tc>
          <w:tcPr>
            <w:tcW w:type="dxa" w:w="149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C4A5E"/>
          <w:sz w:val="27"/>
          <w:szCs w:val="27"/>
        </w:rPr>
        <w:t xml:space="preserve">6.3 Systèmes et fournisseurs</w:t>
      </w:r>
    </w:p>
    <w:p>
      <w:pPr>
        <w:pStyle w:val="ListParagraph"/>
        <w:numPr>
          <w:ilvl w:val="0"/>
          <w:numId w:val="2"/>
        </w:numPr>
        <w:spacing w:after="80" w:line="276"/>
      </w:pPr>
      <w:r>
        <w:rPr>
          <w:rFonts w:ascii="Calibri" w:cs="Calibri" w:eastAsia="Calibri" w:hAnsi="Calibri"/>
          <w:color w:val="1E2A2E"/>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E2A2E"/>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E2A2E"/>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E2A2E"/>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C4A5E"/>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E2A2E"/>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E2A2E"/>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E2A2E"/>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E2A2E"/>
          <w:sz w:val="21"/>
          <w:szCs w:val="21"/>
        </w:rPr>
        <w:t xml:space="preserve">Pratiques durables : gestion des déchets, efficacité énergétique des nouveaux bâtiments, protection des milieux naturels du site.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en 2025, appuyée sur la famille fondatrice et sur des conseillers externes.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800"/>
        <w:gridCol w:w="2600"/>
        <w:gridCol w:w="5248"/>
      </w:tblGrid>
      <w:tr>
        <w:trPr>
          <w:tblHeader/>
        </w:trPr>
        <w:tc>
          <w:tcPr>
            <w:tcW w:type="dxa" w:w="1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[Parcours, années d'expérience en hébergement ou en gestion ; responsable du financement et de la réalisation du projet]</w:t>
            </w:r>
          </w:p>
        </w:tc>
      </w:tr>
      <w:tr>
        <w:trPr>
          <w:cantSplit/>
        </w:trPr>
        <w:tc>
          <w:tcPr>
            <w:tcW w:type="dxa" w:w="1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Direction des opérations</w:t>
            </w:r>
          </w:p>
        </w:tc>
        <w:tc>
          <w:tcPr>
            <w:tcW w:type="dxa" w:w="5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[Parcours ; restaurant Madera, bars, amphithéâtre]</w:t>
            </w:r>
          </w:p>
        </w:tc>
      </w:tr>
      <w:tr>
        <w:trPr>
          <w:cantSplit/>
        </w:trPr>
        <w:tc>
          <w:tcPr>
            <w:tcW w:type="dxa" w:w="1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Direction finances et administration</w:t>
            </w:r>
          </w:p>
        </w:tc>
        <w:tc>
          <w:tcPr>
            <w:tcW w:type="dxa" w:w="5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[Parcours ; groupes, corporatif, numérique]</w:t>
            </w:r>
          </w:p>
        </w:tc>
      </w:tr>
      <w:tr>
        <w:trPr>
          <w:cantSplit/>
        </w:trPr>
        <w:tc>
          <w:tcPr>
            <w:tcW w:type="dxa" w:w="1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Famille Perrier</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Fondateurs et actionnaires</w:t>
            </w:r>
          </w:p>
        </w:tc>
        <w:tc>
          <w:tcPr>
            <w:tcW w:type="dxa" w:w="5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667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2667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 famille fondatrice : Dominique, sa conjointe et leurs deux filles, sur la chaise géante « I ♥ Havana Resort »</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2600" w:hRule="atLeast"/>
        </w:trPr>
        <w:tc>
          <w:tcPr>
            <w:tcW w:type="dxa" w:w="9648"/>
            <w:tcBorders>
              <w:top w:val="dashed" w:color="6F8A90" w:sz="8"/>
              <w:left w:val="dashed" w:color="6F8A90" w:sz="8"/>
              <w:bottom w:val="dashed" w:color="6F8A90" w:sz="8"/>
              <w:right w:val="dashed" w:color="6F8A90" w:sz="8"/>
            </w:tcBorders>
            <w:shd w:fill="F7F8FA" w:color="auto" w:val="clear"/>
            <w:vAlign w:val="center"/>
          </w:tcPr>
          <w:p>
            <w:pPr>
              <w:spacing w:after="60"/>
              <w:jc w:val="center"/>
            </w:pPr>
            <w:r>
              <w:rPr>
                <w:rFonts w:ascii="Calibri" w:cs="Calibri" w:eastAsia="Calibri" w:hAnsi="Calibri"/>
                <w:b/>
                <w:bCs/>
                <w:color w:val="6F8A90"/>
                <w:sz w:val="18"/>
                <w:szCs w:val="18"/>
              </w:rPr>
              <w:t xml:space="preserve">IMAGE À INSÉRER</w:t>
            </w:r>
          </w:p>
          <w:p>
            <w:pPr>
              <w:spacing w:after="0"/>
              <w:jc w:val="center"/>
            </w:pPr>
            <w:r>
              <w:rPr>
                <w:rFonts w:ascii="Calibri" w:cs="Calibri" w:eastAsia="Calibri" w:hAnsi="Calibri"/>
                <w:i/>
                <w:iCs/>
                <w:color w:val="6F8A90"/>
                <w:sz w:val="19"/>
                <w:szCs w:val="19"/>
              </w:rPr>
              <w:t xml:space="preserve">Organigramme de l'entreprise (direction générale, cinq services, responsables)</w:t>
            </w:r>
          </w:p>
        </w:tc>
      </w:tr>
    </w:tbl>
    <w:p>
      <w:pPr>
        <w:spacing w:after="120"/>
      </w:pP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Comptable : [firme]</w:t>
      </w:r>
    </w:p>
    <w:p>
      <w:pPr>
        <w:pStyle w:val="ListParagraph"/>
        <w:numPr>
          <w:ilvl w:val="0"/>
          <w:numId w:val="2"/>
        </w:numPr>
        <w:spacing w:after="80" w:line="276"/>
      </w:pPr>
      <w:r>
        <w:rPr>
          <w:rFonts w:ascii="Calibri" w:cs="Calibri" w:eastAsia="Calibri" w:hAnsi="Calibri"/>
          <w:color w:val="1E2A2E"/>
          <w:sz w:val="21"/>
          <w:szCs w:val="21"/>
        </w:rPr>
        <w:t xml:space="preserve">Conseiller juridique : [firme]</w:t>
      </w:r>
    </w:p>
    <w:p>
      <w:pPr>
        <w:pStyle w:val="ListParagraph"/>
        <w:numPr>
          <w:ilvl w:val="0"/>
          <w:numId w:val="2"/>
        </w:numPr>
        <w:spacing w:after="80" w:line="276"/>
      </w:pPr>
      <w:r>
        <w:rPr>
          <w:rFonts w:ascii="Calibri" w:cs="Calibri" w:eastAsia="Calibri" w:hAnsi="Calibri"/>
          <w:color w:val="1E2A2E"/>
          <w:sz w:val="21"/>
          <w:szCs w:val="21"/>
        </w:rPr>
        <w:t xml:space="preserve">Architecte et ingénieur : [firmes]</w:t>
      </w:r>
    </w:p>
    <w:p>
      <w:pPr>
        <w:pStyle w:val="ListParagraph"/>
        <w:numPr>
          <w:ilvl w:val="0"/>
          <w:numId w:val="2"/>
        </w:numPr>
        <w:spacing w:after="80" w:line="276"/>
      </w:pPr>
      <w:r>
        <w:rPr>
          <w:rFonts w:ascii="Calibri" w:cs="Calibri" w:eastAsia="Calibri" w:hAnsi="Calibri"/>
          <w:color w:val="1E2A2E"/>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6F8A90"/>
          <w:sz w:val="19"/>
          <w:szCs w:val="19"/>
        </w:rPr>
        <w:t xml:space="preserve">Les curriculum vitæ des membres de la direction sont présentés à l'annexe 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3100"/>
        <w:gridCol w:w="36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Rapports du système de réservation</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Indexation des tarifs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3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Sous la moyenne des hôtels de l'Estrie ; montée en régime graduelle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Occupation chalets et villas (été)</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50 % à 58 % An 1 → 65 % à 68 % An 5</w:t>
            </w:r>
          </w:p>
        </w:tc>
        <w:tc>
          <w:tcPr>
            <w:tcW w:type="dxa" w:w="3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Nouveau marché ; hypothèse prudente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16 % An 1 → 26 % An 5 des revenus d'hébergement</w:t>
            </w:r>
          </w:p>
        </w:tc>
        <w:tc>
          <w:tcPr>
            <w:tcW w:type="dxa" w:w="3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Norme de l'industrie : 30 % à 35 %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Salaires et charges sociales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36 % An 1 → 32 % An 5 des revenus</w:t>
            </w:r>
          </w:p>
        </w:tc>
        <w:tc>
          <w:tcPr>
            <w:tcW w:type="dxa" w:w="3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Chauffage des bâtiments, piscine et spa</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Entretien et immobilisations de maintien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4 % + 2 % des revenus</w:t>
            </w:r>
          </w:p>
        </w:tc>
        <w:tc>
          <w:tcPr>
            <w:tcW w:type="dxa" w:w="3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Hypothèse ; à aligner sur les états financiers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Impôts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20 % combiné</w:t>
            </w:r>
          </w:p>
        </w:tc>
        <w:tc>
          <w:tcPr>
            <w:tcW w:type="dxa" w:w="3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5600"/>
        <w:gridCol w:w="2200"/>
        <w:gridCol w:w="1848"/>
      </w:tblGrid>
      <w:tr>
        <w:trPr>
          <w:tblHeader/>
        </w:trPr>
        <w:tc>
          <w:tcPr>
            <w:tcW w:type="dxa" w:w="5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49,4 %</w:t>
            </w:r>
          </w:p>
        </w:tc>
      </w:tr>
      <w:tr>
        <w:trPr>
          <w:cantSplit/>
        </w:trPr>
        <w:tc>
          <w:tcPr>
            <w:tcW w:type="dxa" w:w="5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Contingence de construction (5 %)</w:t>
            </w:r>
          </w:p>
        </w:tc>
        <w:tc>
          <w:tcPr>
            <w:tcW w:type="dxa" w:w="2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275 000 $</w:t>
            </w:r>
          </w:p>
        </w:tc>
        <w:tc>
          <w:tcPr>
            <w:tcW w:type="dxa" w:w="1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1,6 %</w:t>
            </w:r>
          </w:p>
        </w:tc>
      </w:tr>
      <w:tr>
        <w:trPr>
          <w:cantSplit/>
        </w:trPr>
        <w:tc>
          <w:tcPr>
            <w:tcW w:type="dxa" w:w="5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Frais de financement et juridiques</w:t>
            </w:r>
          </w:p>
        </w:tc>
        <w:tc>
          <w:tcPr>
            <w:tcW w:type="dxa" w:w="2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75 000 $</w:t>
            </w:r>
          </w:p>
        </w:tc>
        <w:tc>
          <w:tcPr>
            <w:tcW w:type="dxa" w:w="1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44,9 %</w:t>
            </w:r>
          </w:p>
        </w:tc>
      </w:tr>
      <w:tr>
        <w:trPr>
          <w:cantSplit/>
        </w:trPr>
        <w:tc>
          <w:tcPr>
            <w:tcW w:type="dxa" w:w="5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Fonds de roulement de démarrage</w:t>
            </w:r>
          </w:p>
        </w:tc>
        <w:tc>
          <w:tcPr>
            <w:tcW w:type="dxa" w:w="2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100 000 $</w:t>
            </w:r>
          </w:p>
        </w:tc>
        <w:tc>
          <w:tcPr>
            <w:tcW w:type="dxa" w:w="1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0,9 %</w:t>
            </w:r>
          </w:p>
        </w:tc>
      </w:tr>
      <w:tr>
        <w:trPr>
          <w:cantSplit/>
        </w:trPr>
        <w:tc>
          <w:tcPr>
            <w:tcW w:type="dxa" w:w="5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Total des emplois</w:t>
            </w:r>
          </w:p>
        </w:tc>
        <w:tc>
          <w:tcPr>
            <w:tcW w:type="dxa" w:w="22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11 125 000 $</w:t>
            </w:r>
          </w:p>
        </w:tc>
        <w:tc>
          <w:tcPr>
            <w:tcW w:type="dxa" w:w="1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5600"/>
        <w:gridCol w:w="2200"/>
        <w:gridCol w:w="1848"/>
      </w:tblGrid>
      <w:tr>
        <w:trPr>
          <w:tblHeader/>
        </w:trPr>
        <w:tc>
          <w:tcPr>
            <w:tcW w:type="dxa" w:w="5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92,6 %</w:t>
            </w:r>
          </w:p>
        </w:tc>
      </w:tr>
      <w:tr>
        <w:trPr>
          <w:cantSplit/>
        </w:trPr>
        <w:tc>
          <w:tcPr>
            <w:tcW w:type="dxa" w:w="5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Mise de fonds des propriétaires et investisseurs privés</w:t>
            </w:r>
          </w:p>
        </w:tc>
        <w:tc>
          <w:tcPr>
            <w:tcW w:type="dxa" w:w="2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825 000 $</w:t>
            </w:r>
          </w:p>
        </w:tc>
        <w:tc>
          <w:tcPr>
            <w:tcW w:type="dxa" w:w="1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7,4 %</w:t>
            </w:r>
          </w:p>
        </w:tc>
      </w:tr>
      <w:tr>
        <w:trPr>
          <w:cantSplit/>
        </w:trPr>
        <w:tc>
          <w:tcPr>
            <w:tcW w:type="dxa" w:w="5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Total des sources</w:t>
            </w:r>
          </w:p>
        </w:tc>
        <w:tc>
          <w:tcPr>
            <w:tcW w:type="dxa" w:w="22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11 125 000 $</w:t>
            </w:r>
          </w:p>
        </w:tc>
        <w:tc>
          <w:tcPr>
            <w:tcW w:type="dxa" w:w="1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Structure de financement proposée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664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Prêt à terme hypothécaire, premier rang</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Montant</w:t>
            </w:r>
          </w:p>
        </w:tc>
        <w:tc>
          <w:tcPr>
            <w:tcW w:type="dxa" w:w="6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7,0 % fixe ou variable</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Amortissement</w:t>
            </w:r>
          </w:p>
        </w:tc>
        <w:tc>
          <w:tcPr>
            <w:tcW w:type="dxa" w:w="6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18 mois (période de construction, jusqu'à l'ouverture de la phase 2)</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Paiement mensuel après moratoire</w:t>
            </w:r>
          </w:p>
        </w:tc>
        <w:tc>
          <w:tcPr>
            <w:tcW w:type="dxa" w:w="6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Refinancement à la clôture ; projets par avancement des travaux sur présentation des factures</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Garanties</w:t>
            </w:r>
          </w:p>
        </w:tc>
        <w:tc>
          <w:tcPr>
            <w:tcW w:type="dxa" w:w="66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(réel)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963 924 $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 (35 → 70)</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109 500 $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195 494 $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247 826 $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279 192 $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769 068 $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Villas (13)</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290 791 $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503 275 $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589 962 $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641 824 $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756 344 $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 (13)</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204 986 $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217 470 $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228 343 $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235 194 $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964 084 $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Spa et piscine 4 saisons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226 600 $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437 621 $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540 900 $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327 818 $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Sentier lumineux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45 000 $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140 000 $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165 000 $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158 000 $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revenus</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2 738 244 $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4 052 399 $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5 025 224 $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5 562 981 $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5 920 995 $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349 748 $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Salaires et charges sociales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985 768 $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1 377 816 $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1 658 324 $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1 807 969 $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450 000 $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Entretien et réparations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109 530 $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162 096 $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201 009 $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222 519 $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177 630 $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Assurances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95 000 $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130 000 $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134 000 $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138 000 $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139 000 $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Administration, honoraires, TI et télécoms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68 456 $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101 310 $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125 631 $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139 075 $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88 815 $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Fournitures d'exploitation</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68 456 $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101 310 $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125 631 $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139 075 $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46 371 $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Divers et imprévus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54 765 $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81 048 $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100 504 $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111 260 $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118 420 $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charges d'exploitation</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2 052 585 $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2 958 115 $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3 458 143 $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3 746 023 $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3 939 592 $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1 981 403 $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25,0 %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27,0 %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31,2 %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370 000 $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Intérêts sur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523 250 $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719 879 $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710 412 $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698 617 $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925 434 $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Impôts sur le revenu (20 %)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881 $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97 334 $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149 668 $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(réel)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1 981 403 $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Moins : impôts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(881)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(97 334)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(149 668)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(685 969)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Moins : remboursement de capital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(77 411)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(163 167)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(174 962)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(118 420)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Flux de trésorerie disponible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107 644 $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215 066 $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495 664 $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682 451 $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2 305 142 $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10 300 000 $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719 879 $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77 411 $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797 290 $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10 059 422 $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698 617 $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174 962 $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873 579 $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C4A5E"/>
          <w:sz w:val="27"/>
          <w:szCs w:val="27"/>
        </w:rPr>
        <w:t xml:space="preserve">8.5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2,27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Ratio de couverture des intérêts (BAIIA /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1,31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2,21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2,60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4,9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25,0 %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27,0 %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31,2 %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12,5 %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Ratio prêt-valeur (solde / 28 M$)</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C4A5E"/>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2000"/>
        <w:gridCol w:w="2000"/>
        <w:gridCol w:w="20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9"/>
                <w:szCs w:val="19"/>
              </w:rPr>
              <w:t xml:space="preserve">2,27 x</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Revenus -10 %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1,09 x</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1,46 x</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1,66 x</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Revenus -20 %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0,80 x</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1,12 x</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C4A5E"/>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C4A5E"/>
          <w:sz w:val="27"/>
          <w:szCs w:val="27"/>
        </w:rPr>
        <w:t xml:space="preserve">8.8 États financiers historiques</w:t>
      </w:r>
    </w:p>
    <w:p>
      <w:pPr>
        <w:spacing w:after="120" w:before="0" w:line="276"/>
        <w:jc w:val="left"/>
      </w:pPr>
      <w:r>
        <w:rPr>
          <w:rFonts w:ascii="Calibri" w:cs="Calibri" w:eastAsia="Calibri" w:hAnsi="Calibri"/>
          <w:i/>
          <w:iCs/>
          <w:color w:val="6F8A90"/>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2BB5BF"/>
          <w:sz w:val="25"/>
          <w:szCs w:val="25"/>
        </w:rPr>
        <w:t xml:space="preserve">Les principaux risques sont identifiés, mesurés et couverts par des mesures concrètes ou par la structure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50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Contingence de 5 %, soumissions fermes, phasage en basse saison, moratoire de capital de 18 mois, décaissements par avancement</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Montée en régime plus lente de l'hiver (hôtel, chalets, spa)</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Moyen / moyen</w:t>
            </w:r>
          </w:p>
        </w:tc>
        <w:tc>
          <w:tcPr>
            <w:tcW w:type="dxa" w:w="5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Diversification des revenus (saisonniers encaissés d'avance, hôtel, spa, restauration), assurance pertes d'exploitation</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Pénurie de main-d'œuvre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Élevé / moyen</w:t>
            </w:r>
          </w:p>
        </w:tc>
        <w:tc>
          <w:tcPr>
            <w:tcW w:type="dxa" w:w="5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Option de taux fixe sur 5 ans ; une hausse de 1 point réduit le DSCR An 3 d'environ 0,10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Réglementation (zonage, environnement, permis)</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Faible / élevé</w:t>
            </w:r>
          </w:p>
        </w:tc>
        <w:tc>
          <w:tcPr>
            <w:tcW w:type="dxa" w:w="5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Équipe de cinq responsables, structure familiale, assurance personnes clés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Concurrence accrue (spas, glamping)</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Moyen / faible</w:t>
            </w:r>
          </w:p>
        </w:tc>
        <w:tc>
          <w:tcPr>
            <w:tcW w:type="dxa" w:w="5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Concept unique, clientèle fidèle, prix compétitifs, notoriété de dix ans</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à terme hypothécaire de premier rang de 10 300 000 $</w:t>
            </w:r>
          </w:p>
          <w:p>
            <w:pPr>
              <w:spacing w:after="60" w:line="264"/>
            </w:pPr>
            <w:r>
              <w:rPr>
                <w:rFonts w:ascii="Calibri" w:cs="Calibri" w:eastAsia="Calibri" w:hAnsi="Calibri"/>
                <w:color w:val="1E2A2E"/>
                <w:sz w:val="20"/>
                <w:szCs w:val="20"/>
              </w:rPr>
              <w:t xml:space="preserve">Amortissement de 25 ans, moratoire de capital de 18 mois, décaissements par avancement des travaux.</w:t>
            </w:r>
          </w:p>
          <w:p>
            <w:pPr>
              <w:spacing w:after="60" w:line="264"/>
            </w:pPr>
            <w:r>
              <w:rPr>
                <w:rFonts w:ascii="Calibri" w:cs="Calibri" w:eastAsia="Calibri" w:hAnsi="Calibri"/>
                <w:color w:val="1E2A2E"/>
                <w:sz w:val="20"/>
                <w:szCs w:val="20"/>
              </w:rPr>
              <w:t xml:space="preserve">Mise de fonds des propriétaires et investisseurs privés : 825 000 $.</w:t>
            </w:r>
          </w:p>
          <w:p>
            <w:pPr>
              <w:spacing w:after="60" w:line="264"/>
            </w:pPr>
            <w:r>
              <w:rPr>
                <w:rFonts w:ascii="Calibri" w:cs="Calibri" w:eastAsia="Calibri" w:hAnsi="Calibri"/>
                <w:color w:val="1E2A2E"/>
                <w:sz w:val="20"/>
                <w:szCs w:val="20"/>
              </w:rPr>
              <w:t xml:space="preserve">Clôture souhaitée : [mois et année], pour un début des travaux de la phase 1 à l'automne 2026 ou à l'hiver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000"/>
        <w:gridCol w:w="6600"/>
        <w:gridCol w:w="2048"/>
      </w:tblGrid>
      <w:tr>
        <w:trPr>
          <w:tblHeader/>
        </w:trPr>
        <w:tc>
          <w:tcPr>
            <w:tcW w:type="dxa" w:w="1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insérer]</w:t>
            </w:r>
          </w:p>
        </w:tc>
      </w:tr>
      <w:tr>
        <w:trPr>
          <w:cantSplit/>
        </w:trPr>
        <w:tc>
          <w:tcPr>
            <w:tcW w:type="dxa" w:w="1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B</w:t>
            </w:r>
          </w:p>
        </w:tc>
        <w:tc>
          <w:tcPr>
            <w:tcW w:type="dxa" w:w="6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Rapport d'évaluation du site (28 M$, 2025)</w:t>
            </w:r>
          </w:p>
        </w:tc>
        <w:tc>
          <w:tcPr>
            <w:tcW w:type="dxa" w:w="2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insérer]</w:t>
            </w:r>
          </w:p>
        </w:tc>
      </w:tr>
      <w:tr>
        <w:trPr>
          <w:cantSplit/>
        </w:trPr>
        <w:tc>
          <w:tcPr>
            <w:tcW w:type="dxa" w:w="1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w:t>
            </w:r>
          </w:p>
        </w:tc>
        <w:tc>
          <w:tcPr>
            <w:tcW w:type="dxa" w:w="6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Plans, permis, confirmations de zonage et autorisations</w:t>
            </w:r>
          </w:p>
        </w:tc>
        <w:tc>
          <w:tcPr>
            <w:tcW w:type="dxa" w:w="2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insérer]</w:t>
            </w:r>
          </w:p>
        </w:tc>
      </w:tr>
      <w:tr>
        <w:trPr>
          <w:cantSplit/>
        </w:trPr>
        <w:tc>
          <w:tcPr>
            <w:tcW w:type="dxa" w:w="1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F</w:t>
            </w:r>
          </w:p>
        </w:tc>
        <w:tc>
          <w:tcPr>
            <w:tcW w:type="dxa" w:w="6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Photos du site, rendus et plan d'aménagement</w:t>
            </w:r>
          </w:p>
        </w:tc>
        <w:tc>
          <w:tcPr>
            <w:tcW w:type="dxa" w:w="2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Disponibles</w:t>
            </w:r>
          </w:p>
        </w:tc>
      </w:tr>
      <w:tr>
        <w:trPr>
          <w:cantSplit/>
        </w:trPr>
        <w:tc>
          <w:tcPr>
            <w:tcW w:type="dxa" w:w="1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H</w:t>
            </w:r>
          </w:p>
        </w:tc>
        <w:tc>
          <w:tcPr>
            <w:tcW w:type="dxa" w:w="6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Modèle financier détaillé (hypothèses et calculs mensuels)</w:t>
            </w:r>
          </w:p>
        </w:tc>
        <w:tc>
          <w:tcPr>
            <w:tcW w:type="dxa" w:w="20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9"/>
                <w:szCs w:val="19"/>
              </w:rPr>
              <w:t xml:space="preserve">[À obtenir]</w:t>
            </w:r>
          </w:p>
        </w:tc>
      </w:tr>
    </w:tbl>
    <w:p>
      <w:pPr>
        <w:spacing w:after="120"/>
      </w:pPr>
    </w:p>
    <w:p>
      <w:pPr>
        <w:spacing w:after="120" w:before="0" w:line="276"/>
        <w:jc w:val="left"/>
      </w:pPr>
      <w:r>
        <w:rPr>
          <w:rFonts w:ascii="Calibri" w:cs="Calibri" w:eastAsia="Calibri" w:hAnsi="Calibri"/>
          <w:b/>
          <w:bCs/>
          <w:color w:val="0C4A5E"/>
        </w:rPr>
        <w:t xml:space="preserve">Annexe F – Autres photos du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dans la piscine centrale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8e1895bece1081181d529b91adc7b4d2929e3721.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a6126dbad222756558051b32f8492ec6fdecc752.jpg"/><Relationship Id="rId17" Type="http://schemas.openxmlformats.org/officeDocument/2006/relationships/image" Target="media/5ca249a566e66cf0e78b86285caf877e9b7c70ae.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e7180e8c1e9ce37043e8c21a4865887294382cdc.jpg"/><Relationship Id="rId23" Type="http://schemas.openxmlformats.org/officeDocument/2006/relationships/image" Target="media/0489df309ee42d07a5348a0c79e1d9f585f0c146.pn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4c561b501bd1442733bbc4fff7de84b189512121.jpg"/><Relationship Id="rId31" Type="http://schemas.openxmlformats.org/officeDocument/2006/relationships/image" Target="media/87773d82c37b28224450e836986540cd76a19651.jpg"/><Relationship Id="rId32" Type="http://schemas.openxmlformats.org/officeDocument/2006/relationships/image" Target="media/0efcaa4c3dea5cfc15143286c7e3783c3c0f966c.png"/><Relationship Id="rId33" Type="http://schemas.openxmlformats.org/officeDocument/2006/relationships/image" Target="media/209fd6e3b3828c70ca78cb10f00872c46bb51093.png"/><Relationship Id="rId34" Type="http://schemas.openxmlformats.org/officeDocument/2006/relationships/image" Target="media/40697a87850bccf3cbee7436c48c8cc02bb9fc15.png"/><Relationship Id="rId35" Type="http://schemas.openxmlformats.org/officeDocument/2006/relationships/image" Target="media/2dc8332416546d6edbe1eac5649f7ea12b539223.png"/><Relationship Id="rId36" Type="http://schemas.openxmlformats.org/officeDocument/2006/relationships/image" Target="media/3cf37c38673537f48db48bd757075a5dafb86f54.jpg"/><Relationship Id="rId37" Type="http://schemas.openxmlformats.org/officeDocument/2006/relationships/image" Target="media/3ad816ac2a589bda9d72653e2cd9103e60a56d58.jpg"/><Relationship Id="rId38" Type="http://schemas.openxmlformats.org/officeDocument/2006/relationships/image" Target="media/65c2e47bb21ea8fa0d61bc6ca11b9d0378e285ca.jpg"/><Relationship Id="rId39" Type="http://schemas.openxmlformats.org/officeDocument/2006/relationships/image" Target="media/774bc79f50e507ec0ffcea3ec22bca47b094dd6e.jpg"/><Relationship Id="rId40" Type="http://schemas.openxmlformats.org/officeDocument/2006/relationships/image" Target="media/68ce1b81a960fb27695f20939c8cab20f24edfaa.jpg"/><Relationship Id="rId41" Type="http://schemas.openxmlformats.org/officeDocument/2006/relationships/image" Target="media/7d3a82a51ddb3864ebdb17dd985b41e6c456bf80.jp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2026-09-03T13:15:51.586Z</dcterms:created>
  <dcterms:modified xsi:type="dcterms:W3CDTF">2026-09-03T13:15:51.586Z</dcterms:modified>
</cp:coreProperties>
</file>

<file path=docProps/custom.xml><?xml version="1.0" encoding="utf-8"?>
<Properties xmlns="http://schemas.openxmlformats.org/officeDocument/2006/custom-properties" xmlns:vt="http://schemas.openxmlformats.org/officeDocument/2006/docPropsVTypes"/>
</file>