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o-técnico-parcial-comedoruni"/>
    <w:p>
      <w:pPr>
        <w:pStyle w:val="Heading1"/>
      </w:pPr>
      <w:r>
        <w:t xml:space="preserve">Documento técnico parcial — ComedorUNI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Construcción de Software II (SW707)</w:t>
      </w:r>
      <w:r>
        <w:t xml:space="preserve"> </w:t>
      </w:r>
      <w:r>
        <w:rPr>
          <w:b/>
          <w:bCs/>
        </w:rPr>
        <w:t xml:space="preserve">Integrantes:</w:t>
      </w:r>
      <w:r>
        <w:t xml:space="preserve"> </w:t>
      </w:r>
      <w:r>
        <w:t xml:space="preserve">Franz Joe Inga Champi y Yazid Elio Fernandez Dueñas</w:t>
      </w:r>
      <w:r>
        <w:t xml:space="preserve"> </w:t>
      </w:r>
      <w:r>
        <w:rPr>
          <w:b/>
          <w:bCs/>
        </w:rPr>
        <w:t xml:space="preserve">Versión de referencia:</w:t>
      </w:r>
      <w:r>
        <w:t xml:space="preserve"> </w:t>
      </w:r>
      <w:r>
        <w:t xml:space="preserve">prototipo existente del repositorio, previo a la línea base v1.0 de SW707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diagnóstico inicial para orientar el trabajo; las pruebas y mejoras propuestas no se consideran implementadas hasta registrar su evidencia.</w:t>
      </w:r>
    </w:p>
    <w:bookmarkStart w:id="9" w:name="descripción-del-problema-y-usuarios"/>
    <w:p>
      <w:pPr>
        <w:pStyle w:val="Heading2"/>
      </w:pPr>
      <w:r>
        <w:t xml:space="preserve">1. Descripción del problema y usuarios</w:t>
      </w:r>
    </w:p>
    <w:p>
      <w:pPr>
        <w:pStyle w:val="FirstParagraph"/>
      </w:pPr>
      <w:r>
        <w:t xml:space="preserve">ComedorUNI organiza solicitudes de turnos del comedor universitario mediante colas virtuales. El problema de construcción relevante es mantener capacidad, orden, unicidad y estado correcto cuando hay solicitudes simultáneas, abandono, expiración y dependencias externas que pueden fallar. No se dispone aquí de mediciones oficiales de filas o demanda; esas necesidades se presentan como el problema que el prototipo busca atender, no como estadísticas verificadas.</w:t>
      </w:r>
    </w:p>
    <w:p>
      <w:pPr>
        <w:pStyle w:val="BodyText"/>
      </w:pPr>
      <w:r>
        <w:t xml:space="preserve">Los usuarios del prototipo son el estudiante y el administrador del comedor. El estudiante inicia sesión desde la aplicación móvil, solicita/consulta/abandona su turno y responde al llamado. El administrador gestiona opciones operativas disponibles. El Portal Alumnos UNI forma parte del flujo de autenticación descrito por C4, y Expo Push Notification Service entrega avisos push. PostgreSQL, Redis y RabbitMQ son dependencias de infraestructura, no actores humanos.</w:t>
      </w:r>
    </w:p>
    <w:bookmarkEnd w:id="9"/>
    <w:bookmarkStart w:id="10" w:name="alcance-y-requisitos-principales"/>
    <w:p>
      <w:pPr>
        <w:pStyle w:val="Heading2"/>
      </w:pPr>
      <w:r>
        <w:t xml:space="preserve">2. Alcance y requisitos principales</w:t>
      </w:r>
    </w:p>
    <w:p>
      <w:pPr>
        <w:pStyle w:val="FirstParagraph"/>
      </w:pPr>
      <w:r>
        <w:t xml:space="preserve">El alcance actual incluye una aplicación React Native/Expo, una API FastAPI, configuración y menú, gestión de cola/turnos, sesiones Redis, persistencia PostgreSQL, eventos RabbitMQ, WebSocket y tareas consumidoras/worker iniciadas por el backend.</w:t>
      </w:r>
    </w:p>
    <w:p>
      <w:pPr>
        <w:pStyle w:val="BodyText"/>
      </w:pPr>
      <w:r>
        <w:t xml:space="preserve">Requisitos que la versión SW707 debe verificar:</w:t>
      </w:r>
    </w:p>
    <w:p>
      <w:pPr>
        <w:pStyle w:val="Compact"/>
        <w:numPr>
          <w:ilvl w:val="0"/>
          <w:numId w:val="1001"/>
        </w:numPr>
      </w:pPr>
      <w:r>
        <w:t xml:space="preserve">Solicitud autorizada de un turno y respuesta controlada ante sesión ausente o inválida.</w:t>
      </w:r>
    </w:p>
    <w:p>
      <w:pPr>
        <w:pStyle w:val="Compact"/>
        <w:numPr>
          <w:ilvl w:val="0"/>
          <w:numId w:val="1001"/>
        </w:numPr>
      </w:pPr>
      <w:r>
        <w:t xml:space="preserve">Un turno activo por estudiante y turno diario, con FIFO y numeración única.</w:t>
      </w:r>
    </w:p>
    <w:p>
      <w:pPr>
        <w:pStyle w:val="Compact"/>
        <w:numPr>
          <w:ilvl w:val="0"/>
          <w:numId w:val="1001"/>
        </w:numPr>
      </w:pPr>
      <w:r>
        <w:t xml:space="preserve">Capacidad nunca superior al límite configurado bajo concurrencia.</w:t>
      </w:r>
    </w:p>
    <w:p>
      <w:pPr>
        <w:pStyle w:val="Compact"/>
        <w:numPr>
          <w:ilvl w:val="0"/>
          <w:numId w:val="1001"/>
        </w:numPr>
      </w:pPr>
      <w:r>
        <w:t xml:space="preserve">Transiciones válidas entre</w:t>
      </w:r>
      <w:r>
        <w:t xml:space="preserve"> </w:t>
      </w:r>
      <w:r>
        <w:rPr>
          <w:rStyle w:val="VerbatimChar"/>
        </w:rPr>
        <w:t xml:space="preserve">ESPERANDO</w:t>
      </w:r>
      <w:r>
        <w:t xml:space="preserve">,</w:t>
      </w:r>
      <w:r>
        <w:t xml:space="preserve"> </w:t>
      </w:r>
      <w:r>
        <w:rPr>
          <w:rStyle w:val="VerbatimChar"/>
        </w:rPr>
        <w:t xml:space="preserve">LLAMADO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ATENDIDO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Expiración y reasignación repetibles sin llamadas duplicadas ni eventos de negocio perdidos.</w:t>
      </w:r>
    </w:p>
    <w:p>
      <w:pPr>
        <w:pStyle w:val="Compact"/>
        <w:numPr>
          <w:ilvl w:val="0"/>
          <w:numId w:val="1001"/>
        </w:numPr>
      </w:pPr>
      <w:r>
        <w:t xml:space="preserve">Validación de configuración, entradas y límites antes de persistir.</w:t>
      </w:r>
    </w:p>
    <w:p>
      <w:pPr>
        <w:pStyle w:val="Compact"/>
        <w:numPr>
          <w:ilvl w:val="0"/>
          <w:numId w:val="1001"/>
        </w:numPr>
      </w:pPr>
      <w:r>
        <w:t xml:space="preserve">Pruebas reproducibles de reglas y fallos con resultados trazables.</w:t>
      </w:r>
    </w:p>
    <w:p>
      <w:pPr>
        <w:pStyle w:val="FirstParagraph"/>
      </w:pPr>
      <w:r>
        <w:t xml:space="preserve">Fuera del alcance parcial: control físico de acceso, inventario de alimentos, reemplazo de los sistemas académicos, despliegue multi-región y conversión del monolito en microservicios.</w:t>
      </w:r>
    </w:p>
    <w:bookmarkEnd w:id="10"/>
    <w:bookmarkStart w:id="13" w:name="arquitectura-y-decisiones-técnicas"/>
    <w:p>
      <w:pPr>
        <w:pStyle w:val="Heading2"/>
      </w:pPr>
      <w:r>
        <w:t xml:space="preserve">3. Arquitectura y decisiones técnicas</w:t>
      </w:r>
    </w:p>
    <w:p>
      <w:pPr>
        <w:pStyle w:val="FirstParagraph"/>
      </w:pPr>
      <w:r>
        <w:t xml:space="preserve">La arquitectura observada es un monolito modular.</w:t>
      </w:r>
      <w:r>
        <w:t xml:space="preserve"> </w:t>
      </w:r>
      <w:r>
        <w:rPr>
          <w:rStyle w:val="VerbatimChar"/>
        </w:rPr>
        <w:t xml:space="preserve">backend/src/main.py</w:t>
      </w:r>
      <w:r>
        <w:t xml:space="preserve"> </w:t>
      </w:r>
      <w:r>
        <w:t xml:space="preserve">registra routers de autenticación, menú, colas y configuración. En el ciclo de vida de FastAPI inicia como tareas del mismo proceso el worker de inactividad y los consumers M4/M5. PostgreSQL almacena los datos transaccionales, Redis sesiones temporales por</w:t>
      </w:r>
      <w:r>
        <w:t xml:space="preserve"> </w:t>
      </w:r>
      <w:r>
        <w:rPr>
          <w:rStyle w:val="VerbatimChar"/>
        </w:rPr>
        <w:t xml:space="preserve">sid</w:t>
      </w:r>
      <w:r>
        <w:t xml:space="preserve">, y RabbitMQ intercambia eventos asíncronos. La app móvil consume HTTP y WebSocket. La autenticación institucional se realiza desde el flujo móvil con WebView hacia el Portal Alumnos UNI y posterior parsing de datos; el backend no implementa un cliente OAuth directo con Google.</w:t>
      </w:r>
    </w:p>
    <w:p>
      <w:pPr>
        <w:pStyle w:val="BodyText"/>
      </w:pPr>
      <w:r>
        <w:t xml:space="preserve">Decisiones para la línea base parcial:</w:t>
      </w:r>
    </w:p>
    <w:p>
      <w:pPr>
        <w:pStyle w:val="Compact"/>
        <w:numPr>
          <w:ilvl w:val="0"/>
          <w:numId w:val="1002"/>
        </w:numPr>
      </w:pPr>
      <w:r>
        <w:t xml:space="preserve">Conservar PostgreSQL como fuente de verdad de la cola y usar sus restricciones como defensa final de integridad.</w:t>
      </w:r>
    </w:p>
    <w:p>
      <w:pPr>
        <w:pStyle w:val="Compact"/>
        <w:numPr>
          <w:ilvl w:val="0"/>
          <w:numId w:val="1002"/>
        </w:numPr>
      </w:pPr>
      <w:r>
        <w:t xml:space="preserve">Conservar el monolito modular mientras no haya mediciones que justifiquen servicios separados.</w:t>
      </w:r>
    </w:p>
    <w:p>
      <w:pPr>
        <w:pStyle w:val="Compact"/>
        <w:numPr>
          <w:ilvl w:val="0"/>
          <w:numId w:val="1002"/>
        </w:numPr>
      </w:pPr>
      <w:r>
        <w:t xml:space="preserve">Mantener configuración externa para las URL de cliente ya resueltas por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EXPO_PUBLIC_WS_URL</w:t>
      </w:r>
      <w:r>
        <w:t xml:space="preserve"> </w:t>
      </w:r>
      <w:r>
        <w:t xml:space="preserve">(ADR-001); externalizar y validar también la configuración del backend.</w:t>
      </w:r>
    </w:p>
    <w:p>
      <w:pPr>
        <w:pStyle w:val="Compact"/>
        <w:numPr>
          <w:ilvl w:val="0"/>
          <w:numId w:val="1002"/>
        </w:numPr>
      </w:pPr>
      <w:r>
        <w:t xml:space="preserve">Tratar Redis como almacenamiento temporal de sesiones, no como sustituto de transacciones de turnos.</w:t>
      </w:r>
    </w:p>
    <w:p>
      <w:pPr>
        <w:pStyle w:val="Compact"/>
        <w:numPr>
          <w:ilvl w:val="0"/>
          <w:numId w:val="1002"/>
        </w:numPr>
      </w:pPr>
      <w:r>
        <w:t xml:space="preserve">Registrar explícitamente límites del prototipo: conexiones WebSocket y tareas de fondo son locales al proceso; no se afirma escalamiento horizontal.</w:t>
      </w:r>
    </w:p>
    <w:p>
      <w:pPr>
        <w:pStyle w:val="FirstParagraph"/>
      </w:pPr>
      <w:r>
        <w:t xml:space="preserve">Diagramas y precisiones arquitectónicas:</w:t>
      </w:r>
      <w:r>
        <w:t xml:space="preserve"> </w:t>
      </w:r>
      <w:hyperlink r:id="rId11">
        <w:r>
          <w:rPr>
            <w:rStyle w:val="VerbatimChar"/>
          </w:rPr>
          <w:t xml:space="preserve">docs/c4/</w:t>
        </w:r>
      </w:hyperlink>
      <w:r>
        <w:t xml:space="preserve">. Decisión sobre URL del backend:</w:t>
      </w:r>
      <w:r>
        <w:t xml:space="preserve"> </w:t>
      </w:r>
      <w:hyperlink r:id="rId12">
        <w:r>
          <w:rPr>
            <w:rStyle w:val="VerbatimChar"/>
          </w:rPr>
          <w:t xml:space="preserve">docs/adr/ADR-001-backend-url-configuration.md</w:t>
        </w:r>
      </w:hyperlink>
      <w:r>
        <w:t xml:space="preserve">.</w:t>
      </w:r>
    </w:p>
    <w:bookmarkEnd w:id="13"/>
    <w:bookmarkStart w:id="14" w:name="dependencias-y-reúso"/>
    <w:p>
      <w:pPr>
        <w:pStyle w:val="Heading2"/>
      </w:pPr>
      <w:r>
        <w:t xml:space="preserve">4. Dependencias y reúso</w:t>
      </w:r>
    </w:p>
    <w:p>
      <w:pPr>
        <w:pStyle w:val="FirstParagraph"/>
      </w:pPr>
      <w:r>
        <w:t xml:space="preserve">El backend declara FastAPI/Uvicorn,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aio-pika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BeautifulSoup, DeepFace, OpenCV, Pillow y</w:t>
      </w:r>
      <w:r>
        <w:t xml:space="preserve"> </w:t>
      </w:r>
      <w:r>
        <w:rPr>
          <w:rStyle w:val="VerbatimChar"/>
        </w:rPr>
        <w:t xml:space="preserve">tf-keras</w:t>
      </w:r>
      <w:r>
        <w:t xml:space="preserve">. Sus responsabilidades abarcan API/WebSocket, PostgreSQL, sesiones, mensajería, scraping HTML y análisis biométrico. El cliente usa Expo/React Native, Expo Router, WebView, Secure Store, cámara y notificaciones push.</w:t>
      </w:r>
    </w:p>
    <w:p>
      <w:pPr>
        <w:pStyle w:val="BodyText"/>
      </w:pPr>
      <w:r>
        <w:t xml:space="preserve">El reúso de estas bibliotecas evita implementar protocolos, acceso a datos y capacidades de plataforma desde cero. Antes de fijar la versión parcial se debe documentar para cada dependencia directa su uso, versión instalada/resuelta, licencia y alternativa; el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actual no fija versiones exactas.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usa rangos semver para varias dependencias. Los resultados de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/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deben adjuntarse cuando se ejecuten, no anticiparse.</w:t>
      </w:r>
    </w:p>
    <w:bookmarkEnd w:id="14"/>
    <w:bookmarkStart w:id="15" w:name="X1b5572f1ab64a09ad262539b9140f0f44f2a825"/>
    <w:p>
      <w:pPr>
        <w:pStyle w:val="Heading2"/>
      </w:pPr>
      <w:r>
        <w:t xml:space="preserve">5. Problemas de runtime observados o por reproducir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Puerto de PostgreSQL:</w:t>
      </w:r>
      <w:r>
        <w:t xml:space="preserve"> </w:t>
      </w:r>
      <w:r>
        <w:t xml:space="preserve">Compose publica el puerto del host</w:t>
      </w:r>
      <w:r>
        <w:t xml:space="preserve"> </w:t>
      </w:r>
      <w:r>
        <w:rPr>
          <w:rStyle w:val="VerbatimChar"/>
        </w:rPr>
        <w:t xml:space="preserve">5433</w:t>
      </w:r>
      <w:r>
        <w:t xml:space="preserve"> </w:t>
      </w:r>
      <w:r>
        <w:t xml:space="preserve">hacia el puerto del contenedor</w:t>
      </w:r>
      <w:r>
        <w:t xml:space="preserve"> </w:t>
      </w:r>
      <w:r>
        <w:rPr>
          <w:rStyle w:val="VerbatimChar"/>
        </w:rPr>
        <w:t xml:space="preserve">5432</w:t>
      </w:r>
      <w:r>
        <w:t xml:space="preserve">, mientras</w:t>
      </w:r>
      <w:r>
        <w:t xml:space="preserve"> </w:t>
      </w:r>
      <w:r>
        <w:rPr>
          <w:rStyle w:val="VerbatimChar"/>
        </w:rPr>
        <w:t xml:space="preserve">shared/db.py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DB_PORT=5432</w:t>
      </w:r>
      <w:r>
        <w:t xml:space="preserve"> </w:t>
      </w:r>
      <w:r>
        <w:t xml:space="preserve">por defecto. Una ejecución local sin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puede intentar conectarse al puerto incorrecto; documentar</w:t>
      </w:r>
      <w:r>
        <w:t xml:space="preserve"> </w:t>
      </w:r>
      <w:r>
        <w:rPr>
          <w:rStyle w:val="VerbatimChar"/>
        </w:rPr>
        <w:t xml:space="preserve">DB_PORT=5433</w:t>
      </w:r>
      <w:r>
        <w:t xml:space="preserve"> </w:t>
      </w:r>
      <w:r>
        <w:t xml:space="preserve">o unificar la configuración.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Arranque parcial: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captura y solo imprime una excepción de</w:t>
      </w:r>
      <w:r>
        <w:t xml:space="preserve"> </w:t>
      </w:r>
      <w:r>
        <w:rPr>
          <w:rStyle w:val="VerbatimChar"/>
        </w:rPr>
        <w:t xml:space="preserve">ensure_turno_dia_hoy</w:t>
      </w:r>
      <w:r>
        <w:t xml:space="preserve">; la API puede iniciar aunque no se haya preparado el turno diario.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RabbitMQ:</w:t>
      </w:r>
      <w:r>
        <w:t xml:space="preserve"> </w:t>
      </w:r>
      <w:r>
        <w:t xml:space="preserve">el arranque de consumers reintenta 30 veces con pausas de 3 segundos. Al agotar los intentos se registra el fallo y el proceso sigue; no se acredita recuperación automática posterior ni entrega durable garantizada.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Concurrencia/capacidad:</w:t>
      </w:r>
      <w:r>
        <w:t xml:space="preserve"> </w:t>
      </w:r>
      <w:r>
        <w:t xml:space="preserve">el servicio consulta el número de raciones antes de llamar a</w:t>
      </w:r>
      <w:r>
        <w:t xml:space="preserve"> </w:t>
      </w:r>
      <w:r>
        <w:rPr>
          <w:rStyle w:val="VerbatimChar"/>
        </w:rPr>
        <w:t xml:space="preserve">crear_turno</w:t>
      </w:r>
      <w:r>
        <w:t xml:space="preserve">. Aunque la creación bloquea la fila</w:t>
      </w:r>
      <w:r>
        <w:t xml:space="preserve"> </w:t>
      </w:r>
      <w:r>
        <w:rPr>
          <w:rStyle w:val="VerbatimChar"/>
        </w:rPr>
        <w:t xml:space="preserve">turno_dia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, el control de capacidad no está dentro del mismo tramo protegido; dos solicitudes pueden pasar la comprobación y superar el aforo.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Numeración:</w:t>
      </w:r>
      <w:r>
        <w:t xml:space="preserve"> </w:t>
      </w:r>
      <w:r>
        <w:rPr>
          <w:rStyle w:val="VerbatimChar"/>
        </w:rPr>
        <w:t xml:space="preserve">crear_turno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COUNT(*) + 1</w:t>
      </w:r>
      <w:r>
        <w:t xml:space="preserve"> </w:t>
      </w:r>
      <w:r>
        <w:t xml:space="preserve">excluyendo turnos cancelados y atendidos, pero existe un índice único por</w:t>
      </w:r>
      <w:r>
        <w:t xml:space="preserve"> </w:t>
      </w:r>
      <w:r>
        <w:rPr>
          <w:rStyle w:val="VerbatimChar"/>
        </w:rPr>
        <w:t xml:space="preserve">(turno_dia_id, numero_turno)</w:t>
      </w:r>
      <w:r>
        <w:t xml:space="preserve"> </w:t>
      </w:r>
      <w:r>
        <w:t xml:space="preserve">que conserva también esos registros. Luego de estados terminales el número calculado puede repetirse y causar un conflicto de integridad.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admite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junto con credenciales. Debe restringirse por entorno antes de un despliegue accesible externamente.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Carga de dependencias biométricas:</w:t>
      </w:r>
      <w:r>
        <w:t xml:space="preserve"> </w:t>
      </w:r>
      <w:r>
        <w:t xml:space="preserve">DeepFace/OpenCV/TensorFlow pueden tener un coste de instalación, memoria y arranque superior al resto del backend; medir instalación y primera inferencia en el entorno objetivo.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el backend usa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en rutas de arranque y conexión. No hay evidencia en este baseline de logs estructurados o métricas operativas centralizadas.</w:t>
      </w:r>
    </w:p>
    <w:bookmarkEnd w:id="15"/>
    <w:bookmarkStart w:id="16" w:name="contratos-y-programación-defensiva"/>
    <w:p>
      <w:pPr>
        <w:pStyle w:val="Heading2"/>
      </w:pPr>
      <w:r>
        <w:t xml:space="preserve">6. Contratos y programación defensiva</w:t>
      </w:r>
    </w:p>
    <w:p>
      <w:pPr>
        <w:pStyle w:val="FirstParagraph"/>
      </w:pPr>
      <w:r>
        <w:t xml:space="preserve">Los contratos deben documentar precondiciones, postcondiciones, invariantes, estados permitidos, errores HTTP y efectos persistidos de cada operación crítica. Como mínimo: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9"/>
        <w:gridCol w:w="3526"/>
        <w:gridCol w:w="36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Precondiciones/invariantes</w:t>
            </w:r>
          </w:p>
        </w:tc>
        <w:tc>
          <w:tcPr/>
          <w:p>
            <w:pPr>
              <w:pStyle w:val="Compact"/>
            </w:pPr>
            <w:r>
              <w:t xml:space="preserve">Resultado esperado ante incumplimiento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Unirse a cola</w:t>
            </w:r>
          </w:p>
        </w:tc>
        <w:tc>
          <w:tcPr/>
          <w:p>
            <w:pPr>
              <w:pStyle w:val="Compact"/>
            </w:pPr>
            <w:r>
              <w:t xml:space="preserve">Sesión válida; estudiante persistido; turno diario abierto; servicio elegible; sin turno activo duplicado; capacidad disponible.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para sesión inválida,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para recurso inexistente y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para duplicado/capacidad agotada, según contrato uniforme.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o abandonar</w:t>
            </w:r>
          </w:p>
        </w:tc>
        <w:tc>
          <w:tcPr/>
          <w:p>
            <w:pPr>
              <w:pStyle w:val="Compact"/>
            </w:pPr>
            <w:r>
              <w:t xml:space="preserve">Turno propiedad del estudiante y en un estado que admita la transición.</w:t>
            </w:r>
          </w:p>
        </w:tc>
        <w:tc>
          <w:tcPr/>
          <w:p>
            <w:pPr>
              <w:pStyle w:val="Compact"/>
            </w:pPr>
            <w:r>
              <w:t xml:space="preserve">Rechazo controlado sin mutación cuando el estado no lo permite; operaciones repetidas con semántica idempotente documentada.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horario/capacidad</w:t>
            </w:r>
          </w:p>
        </w:tc>
        <w:tc>
          <w:tcPr/>
          <w:p>
            <w:pPr>
              <w:pStyle w:val="Compact"/>
            </w:pPr>
            <w:r>
              <w:t xml:space="preserve">Administrador autorizado; tipo permitido; horarios y valores dentro de límites.</w:t>
            </w:r>
          </w:p>
        </w:tc>
        <w:tc>
          <w:tcPr/>
          <w:p>
            <w:pPr>
              <w:pStyle w:val="Compact"/>
            </w:pPr>
            <w:r>
              <w:t xml:space="preserve">Error de validación sin escritura parcial.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Consumir evento</w:t>
            </w:r>
          </w:p>
        </w:tc>
        <w:tc>
          <w:tcPr/>
          <w:p>
            <w:pPr>
              <w:pStyle w:val="Compact"/>
            </w:pPr>
            <w:r>
              <w:t xml:space="preserve">Payload parseable y con campos obligatorios; identificador de evento si se incorpora idempotencia.</w:t>
            </w:r>
          </w:p>
        </w:tc>
        <w:tc>
          <w:tcPr/>
          <w:p>
            <w:pPr>
              <w:pStyle w:val="Compact"/>
            </w:pPr>
            <w:r>
              <w:t xml:space="preserve">Mensaje inválido aislado, registrado y tratado según política de ack/reintento/DLQ.</w:t>
            </w:r>
          </w:p>
        </w:tc>
      </w:tr>
    </w:tbl>
    <w:p>
      <w:pPr>
        <w:pStyle w:val="BodyText"/>
      </w:pPr>
      <w:r>
        <w:t xml:space="preserve">La validación de entrada debe ocurrir en el límite HTTP y las invariantes deben repetirse en el servicio/persistencia cuando sea necesario. No confiar en valores por defecto silenciosos para ocultar recursos inexistentes; distinguir “sin configuración” de un límite real.</w:t>
      </w:r>
    </w:p>
    <w:bookmarkEnd w:id="16"/>
    <w:bookmarkStart w:id="17" w:name="estrategia-de-errores-y-excepciones"/>
    <w:p>
      <w:pPr>
        <w:pStyle w:val="Heading2"/>
      </w:pPr>
      <w:r>
        <w:t xml:space="preserve">7. Estrategia de errores y excepciones</w:t>
      </w:r>
    </w:p>
    <w:p>
      <w:pPr>
        <w:pStyle w:val="FirstParagraph"/>
      </w:pPr>
      <w:r>
        <w:t xml:space="preserve">La API debe conservar códigos HTTP coherentes y mensajes útiles, pero sin devolver secretos, credenciales, HTML institucional, fotos ni tracebacks. Se propone clasificar errores de validación, autenticación/autorización, conflicto de negocio, recurso ausente, indisponibilidad externa y error interno; registrar contexto correlacionable sin datos personales.</w:t>
      </w:r>
    </w:p>
    <w:p>
      <w:pPr>
        <w:pStyle w:val="BodyText"/>
      </w:pPr>
      <w:r>
        <w:t xml:space="preserve">Las operaciones SQL deben tener una frontera transaccional clara, confirmar solo tras completar la operación, ejecutar rollback ante excepción y cerrar conexiones siempre. Los workers deben aislar fallos por mensaje/iteración para no detenerse por un payload inválido. Se evitará capturar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y continuar silenciosamente sin métrica o resultado observable. La política exacta de respuesta por endpoint se cerrará junto con sus pruebas.</w:t>
      </w:r>
    </w:p>
    <w:bookmarkEnd w:id="17"/>
    <w:bookmarkStart w:id="18" w:name="concurrencia"/>
    <w:p>
      <w:pPr>
        <w:pStyle w:val="Heading2"/>
      </w:pPr>
      <w:r>
        <w:t xml:space="preserve">8. Concurrencia</w:t>
      </w:r>
    </w:p>
    <w:p>
      <w:pPr>
        <w:pStyle w:val="FirstParagraph"/>
      </w:pPr>
      <w:r>
        <w:t xml:space="preserve">Existe una protección parcial:</w:t>
      </w:r>
      <w:r>
        <w:t xml:space="preserve"> </w:t>
      </w:r>
      <w:r>
        <w:rPr>
          <w:rStyle w:val="VerbatimChar"/>
        </w:rPr>
        <w:t xml:space="preserve">crear_turno()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sobre la fila de</w:t>
      </w:r>
      <w:r>
        <w:t xml:space="preserve"> </w:t>
      </w:r>
      <w:r>
        <w:rPr>
          <w:rStyle w:val="VerbatimChar"/>
        </w:rPr>
        <w:t xml:space="preserve">turno_dia</w:t>
      </w:r>
      <w:r>
        <w:t xml:space="preserve"> </w:t>
      </w:r>
      <w:r>
        <w:t xml:space="preserve">antes de calcular e insertar el número. La base de datos también define índices únicos para número de turno y para</w:t>
      </w:r>
      <w:r>
        <w:t xml:space="preserve"> </w:t>
      </w:r>
      <w:r>
        <w:rPr>
          <w:rStyle w:val="VerbatimChar"/>
        </w:rPr>
        <w:t xml:space="preserve">(estudiante_id, turno_dia_id)</w:t>
      </w:r>
      <w:r>
        <w:t xml:space="preserve"> </w:t>
      </w:r>
      <w:r>
        <w:t xml:space="preserve">cuando el estado no es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</w:p>
    <w:p>
      <w:pPr>
        <w:pStyle w:val="BodyText"/>
      </w:pPr>
      <w:r>
        <w:t xml:space="preserve">La protección no basta para garantizar capacidad porque el conteo de raciones está separado de la transacción bloqueada. La corrección de SW707 debe colocar la lectura de capacidad, validación de duplicado y reserva/numeración bajo una misma transacción serializada, manejar colisiones como conflicto de negocio y probarlo con solicitudes paralelas. La estrategia debe impedir la reutilización de números históricos, por ejemplo mediante un contador monotónico por turno diario actualizado bajo el mismo bloqueo.</w:t>
      </w:r>
    </w:p>
    <w:p>
      <w:pPr>
        <w:pStyle w:val="BodyText"/>
      </w:pPr>
      <w:r>
        <w:rPr>
          <w:b/>
          <w:bCs/>
        </w:rPr>
        <w:t xml:space="preserve">Criterio de aceptación propuesto:</w:t>
      </w:r>
      <w:r>
        <w:t xml:space="preserve"> </w:t>
      </w:r>
      <w:r>
        <w:t xml:space="preserve">con capacidad restante de una ración y N solicitudes concurrentes, exactamente una reserva nueva; con el mismo estudiante y N solicitudes, como máximo una reserva no cancelada; cero números duplicados y respuestas definidas para las demás peticiones. El N, entorno y comando se fijarán al preparar la prueba.</w:t>
      </w:r>
    </w:p>
    <w:bookmarkEnd w:id="18"/>
    <w:bookmarkStart w:id="19" w:name="tolerancia-a-fallas"/>
    <w:p>
      <w:pPr>
        <w:pStyle w:val="Heading2"/>
      </w:pPr>
      <w:r>
        <w:t xml:space="preserve">9. Tolerancia a fallas</w:t>
      </w:r>
    </w:p>
    <w:p>
      <w:pPr>
        <w:pStyle w:val="FirstParagraph"/>
      </w:pPr>
      <w:r>
        <w:t xml:space="preserve">El prototipo ya intenta iniciar los consumers M4/M5 con reintentos acotados al arranque y usa RabbitMQ para eventos. Eso no equivale a garantía de entrega frente a caída durante procesamiento. Se debe definir ack/nack, reintentos con límite, cola de mensajes fallidos si se justifica, idempotencia del consumer, timeouts de dependencias y comportamiento de degradación de la API. Una estrategia tipo outbox solo se añadirá si la consistencia entre commit de PostgreSQL y publicación del evento lo requiere y se puede probar.</w:t>
      </w:r>
    </w:p>
    <w:p>
      <w:pPr>
        <w:pStyle w:val="BodyText"/>
      </w:pPr>
      <w:r>
        <w:t xml:space="preserve">Para Redis y PostgreSQL se definirán fallos visibles y recuperación; no se debe reportar éxito de una operación crítica que no pudo persistirse. El worker de inactividad local al proceso requiere evitar ejecuciones duplicadas si se inicia más de una instancia.</w:t>
      </w:r>
    </w:p>
    <w:bookmarkEnd w:id="19"/>
    <w:bookmarkStart w:id="21" w:name="pruebas-y-resultados"/>
    <w:p>
      <w:pPr>
        <w:pStyle w:val="Heading2"/>
      </w:pPr>
      <w:r>
        <w:t xml:space="preserve">10. Pruebas y resultados</w:t>
      </w:r>
    </w:p>
    <w:p>
      <w:pPr>
        <w:pStyle w:val="FirstParagraph"/>
      </w:pPr>
      <w:r>
        <w:t xml:space="preserve">En el checkout revisado,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contiene únicamente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; no hay suite automatizada ni resultados de ejecución que se puedan declarar como aprobados.</w:t>
      </w:r>
      <w:r>
        <w:t xml:space="preserve"> </w:t>
      </w:r>
      <w:hyperlink r:id="rId20">
        <w:r>
          <w:rPr>
            <w:rStyle w:val="VerbatimChar"/>
          </w:rPr>
          <w:t xml:space="preserve">docs/escenarios.md</w:t>
        </w:r>
      </w:hyperlink>
      <w:r>
        <w:t xml:space="preserve"> </w:t>
      </w:r>
      <w:r>
        <w:t xml:space="preserve">contiene objetivos medibles propuestos, pero varios detalles no describen el baseline real (por ejemplo, token JWT y escalamiento Redis Pub/Sub); deben reconciliarse con la arquitectura vigente antes de usarlos como evidencia.</w:t>
      </w:r>
    </w:p>
    <w:p>
      <w:pPr>
        <w:pStyle w:val="BodyText"/>
      </w:pPr>
      <w:r>
        <w:t xml:space="preserve">Plan de verificación para v1.0:</w:t>
      </w:r>
    </w:p>
    <w:p>
      <w:pPr>
        <w:pStyle w:val="Compact"/>
        <w:numPr>
          <w:ilvl w:val="0"/>
          <w:numId w:val="1004"/>
        </w:numPr>
      </w:pPr>
      <w:r>
        <w:t xml:space="preserve">Pruebas unitarias de transiciones y validaciones de horarios/capacidad.</w:t>
      </w:r>
    </w:p>
    <w:p>
      <w:pPr>
        <w:pStyle w:val="Compact"/>
        <w:numPr>
          <w:ilvl w:val="0"/>
          <w:numId w:val="1004"/>
        </w:numPr>
      </w:pPr>
      <w:r>
        <w:t xml:space="preserve">Pruebas de API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/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para sesión inválida, duplicado, turno inexistente, capacidad agotada y acciones fuera de estado.</w:t>
      </w:r>
    </w:p>
    <w:p>
      <w:pPr>
        <w:pStyle w:val="Compact"/>
        <w:numPr>
          <w:ilvl w:val="0"/>
          <w:numId w:val="1004"/>
        </w:numPr>
      </w:pPr>
      <w:r>
        <w:t xml:space="preserve">Pruebas de integración con PostgreSQL para índices, transacciones, rollback y numeración tras estados terminales.</w:t>
      </w:r>
    </w:p>
    <w:p>
      <w:pPr>
        <w:pStyle w:val="Compact"/>
        <w:numPr>
          <w:ilvl w:val="0"/>
          <w:numId w:val="1004"/>
        </w:numPr>
      </w:pPr>
      <w:r>
        <w:t xml:space="preserve">Prueba concurrente reproducible que inspeccione el estado final de la base de datos, no solo códigos HTTP.</w:t>
      </w:r>
    </w:p>
    <w:p>
      <w:pPr>
        <w:pStyle w:val="Compact"/>
        <w:numPr>
          <w:ilvl w:val="0"/>
          <w:numId w:val="1004"/>
        </w:numPr>
      </w:pPr>
      <w:r>
        <w:t xml:space="preserve">Prueba de fallo de RabbitMQ durante arranque y procesamiento; verificar logs, recuperación y no pérdida/duplicación según el contrato adoptado.</w:t>
      </w:r>
    </w:p>
    <w:p>
      <w:pPr>
        <w:pStyle w:val="Compact"/>
        <w:numPr>
          <w:ilvl w:val="0"/>
          <w:numId w:val="1004"/>
        </w:numPr>
      </w:pPr>
      <w:r>
        <w:t xml:space="preserve">Guardar comandos, entorno, salida y limitaciones en el repositorio. Pruebas de carga con k6/Locust se reservarán para requisitos de rendimiento y entorno controlado.</w:t>
      </w:r>
    </w:p>
    <w:p>
      <w:pPr>
        <w:pStyle w:val="FirstParagraph"/>
      </w:pPr>
      <w:r>
        <w:rPr>
          <w:b/>
          <w:bCs/>
        </w:rPr>
        <w:t xml:space="preserve">Resultados disponibles en esta versión del documento:</w:t>
      </w:r>
      <w:r>
        <w:t xml:space="preserve"> </w:t>
      </w:r>
      <w:r>
        <w:t xml:space="preserve">no se han ejecutado ni adjuntado estas pruebas; por tanto no se atribuyen porcentajes, latencias ni tolerancia lograda.</w:t>
      </w:r>
    </w:p>
    <w:bookmarkEnd w:id="21"/>
    <w:bookmarkStart w:id="22" w:name="limitaciones-y-trabajo-futuro"/>
    <w:p>
      <w:pPr>
        <w:pStyle w:val="Heading2"/>
      </w:pPr>
      <w:r>
        <w:t xml:space="preserve">11. Limitaciones y trabajo futuro</w:t>
      </w:r>
    </w:p>
    <w:p>
      <w:pPr>
        <w:pStyle w:val="Compact"/>
        <w:numPr>
          <w:ilvl w:val="0"/>
          <w:numId w:val="1005"/>
        </w:numPr>
      </w:pPr>
      <w:r>
        <w:t xml:space="preserve">No hay pruebas automatizadas en la carpeta de pruebas del backend.</w:t>
      </w:r>
    </w:p>
    <w:p>
      <w:pPr>
        <w:pStyle w:val="Compact"/>
        <w:numPr>
          <w:ilvl w:val="0"/>
          <w:numId w:val="1005"/>
        </w:numPr>
      </w:pPr>
      <w:r>
        <w:t xml:space="preserve">Las dependencias del backend carecen de versiones fijadas; no hay informe actualizado de auditoría de vulnerabilidades en la evidencia revisada.</w:t>
      </w:r>
    </w:p>
    <w:p>
      <w:pPr>
        <w:pStyle w:val="Compact"/>
        <w:numPr>
          <w:ilvl w:val="0"/>
          <w:numId w:val="1005"/>
        </w:numPr>
      </w:pPr>
      <w:r>
        <w:t xml:space="preserve">Hay discrepancias entre el puerto publicado por Compose y el puerto por defecto del cliente PostgreSQL.</w:t>
      </w:r>
    </w:p>
    <w:p>
      <w:pPr>
        <w:pStyle w:val="Compact"/>
        <w:numPr>
          <w:ilvl w:val="0"/>
          <w:numId w:val="1005"/>
        </w:numPr>
      </w:pPr>
      <w:r>
        <w:t xml:space="preserve">Capacidad y numeración necesitan una frontera transaccional coherente; las restricciones actuales pueden revelar conflictos, pero no sustituyen una respuesta API deliberada.</w:t>
      </w:r>
    </w:p>
    <w:p>
      <w:pPr>
        <w:pStyle w:val="Compact"/>
        <w:numPr>
          <w:ilvl w:val="0"/>
          <w:numId w:val="1005"/>
        </w:numPr>
      </w:pPr>
      <w:r>
        <w:t xml:space="preserve">CORS es permisivo; la configuración de backend requiere externalización y validación.</w:t>
      </w:r>
    </w:p>
    <w:p>
      <w:pPr>
        <w:pStyle w:val="Compact"/>
        <w:numPr>
          <w:ilvl w:val="0"/>
          <w:numId w:val="1005"/>
        </w:numPr>
      </w:pPr>
      <w:r>
        <w:t xml:space="preserve">Workers y WebSockets son locales al proceso y no coordinan varias réplicas.</w:t>
      </w:r>
    </w:p>
    <w:p>
      <w:pPr>
        <w:pStyle w:val="Compact"/>
        <w:numPr>
          <w:ilvl w:val="0"/>
          <w:numId w:val="1005"/>
        </w:numPr>
      </w:pPr>
      <w:r>
        <w:t xml:space="preserve">Los reintentos de RabbitMQ se limitan al inicio de consumers; falta política de recuperación durante la operación y evidencia sobre entrega.</w:t>
      </w:r>
    </w:p>
    <w:p>
      <w:pPr>
        <w:pStyle w:val="Compact"/>
        <w:numPr>
          <w:ilvl w:val="0"/>
          <w:numId w:val="1005"/>
        </w:numPr>
      </w:pPr>
      <w:r>
        <w:t xml:space="preserve">El scraping depende del HTML del Portal Alumnos y la biometría de imágenes y bibliotecas nativas; son riesgos de disponibilidad, privacidad y runtime.</w:t>
      </w:r>
    </w:p>
    <w:p>
      <w:pPr>
        <w:pStyle w:val="Compact"/>
        <w:numPr>
          <w:ilvl w:val="0"/>
          <w:numId w:val="1005"/>
        </w:numPr>
      </w:pPr>
      <w:r>
        <w:t xml:space="preserve">La fecha oficial de expiración, el alcance de autorización administrativa y algunos detalles de comportamiento deben quedar fijados como reglas verificables.</w:t>
      </w:r>
    </w:p>
    <w:p>
      <w:pPr>
        <w:pStyle w:val="FirstParagraph"/>
      </w:pPr>
      <w:r>
        <w:t xml:space="preserve">El trabajo se realizará incrementalmente: primero pruebas y correcciones de la línea base parcial; luego estados/configuración, observabilidad, medición, refactorización y evolución para v2.0. No se reiniciará el producto ni se presentará una arquitectura futura como si ya estuviera desplegada.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ocs/adr/ADR-001-backend-url-configuration.md" TargetMode="External" /><Relationship Type="http://schemas.openxmlformats.org/officeDocument/2006/relationships/hyperlink" Id="rId11" Target="docs/c4/" TargetMode="External" /><Relationship Type="http://schemas.openxmlformats.org/officeDocument/2006/relationships/hyperlink" Id="rId20" Target="docs/escenari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ocs/adr/ADR-001-backend-url-configuration.md" TargetMode="External" /><Relationship Type="http://schemas.openxmlformats.org/officeDocument/2006/relationships/hyperlink" Id="rId11" Target="docs/c4/" TargetMode="External" /><Relationship Type="http://schemas.openxmlformats.org/officeDocument/2006/relationships/hyperlink" Id="rId20" Target="docs/escenari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2026-09-30T21:04:37Z</dcterms:created>
  <dcterms:modified xsi:type="dcterms:W3CDTF">2026-09-30T21:04:37Z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