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Meta-Learned LoRA Calibration for EEG Foundation Models</w:t>
      </w:r>
    </w:p>
    <w:p>
      <w:pPr>
        <w:pStyle w:val="Subtitle"/>
      </w:pPr>
      <w:r>
        <w:t xml:space="preserve">Project Report: Implementation Status, Roadmap, Applications, and Market Analysis</w:t>
      </w:r>
    </w:p>
    <w:p>
      <w:pPr>
        <w:spacing w:after="400"/>
      </w:pPr>
      <w:r>
        <w:rPr>
          <w:color w:val="595959"/>
          <w:sz w:val="22"/>
          <w:szCs w:val="22"/>
        </w:rPr>
        <w:t xml:space="preserve">Prepared for Ganesh  ·  July 30, 2026</w:t>
      </w:r>
    </w:p>
    <w:p>
      <w:pPr>
        <w:pBdr>
          <w:bottom w:val="single" w:color="BFBFBF" w:sz="6" w:space="1"/>
        </w:pBdr>
        <w:spacing w:after="200"/>
      </w:pPr>
    </w:p>
    <w:p>
      <w:pPr>
        <w:pStyle w:val="Heading1"/>
        <w:spacing w:after="160" w:before="360"/>
      </w:pPr>
      <w:r>
        <w:t xml:space="preserve">Executive Summary</w:t>
      </w:r>
    </w:p>
    <w:p>
      <w:pPr>
        <w:spacing w:after="160"/>
        <w:jc w:val="both"/>
      </w:pPr>
      <w:r>
        <w:t xml:space="preserve">This project addresses a specific, named bottleneck in brain-computer interfaces (BCI): the calibration problem. A decoding model trained on one person's brain signals transfers poorly to a new person, or even to the same person on a different day, because EEG signal characteristics shift with electrode placement, skin conductivity, and mental state. Industry research describes this as “the largest remaining usability obstacle for consumer BCI,” typically costing 10–20 minutes of per-user calibration before a device is usable.</w:t>
      </w:r>
    </w:p>
    <w:p>
      <w:pPr>
        <w:spacing w:after="160"/>
        <w:jc w:val="both"/>
      </w:pPr>
      <w:r>
        <w:t xml:space="preserve">The approach implemented here freezes a pretrained EEG foundation model and attaches small, trainable LoRA (low-rank adaptation) matrices to its layers. Rather than initializing those adapters randomly for every new subject — which needs substantial calibration data to converge — a meta-learning procedure (Reptile) learns an adapter initialization designed to reach good performance in a handful of gradient steps on a handful of trials. This combines two active but previously separate research threads (LoRA-based subject adaptation for EEG, and meta-learning for few-shot BCI calibration) into one mechanism.</w:t>
      </w:r>
    </w:p>
    <w:p>
      <w:pPr>
        <w:spacing w:after="160"/>
        <w:jc w:val="both"/>
      </w:pPr>
      <w:r>
        <w:t xml:space="preserve">Two things exist today: (1) a complete, tested, working prototype built in pure NumPy (no external ML dependencies, due to sandbox constraints), validated on synthetic multi-subject data, where the meta-learned adapter consistently outperformed a randomly-initialized adapter at every calibration budget tested; and (2) a full PyTorch port designed to run against real data (BCI Competition IV 2a via MOABB), code-complete and reviewed but not yet executed, since this environment could not install PyTorch or download the dataset. The rest of this report details what was built, what remains, how it scales, where it applies, and what the market for it looks like.</w:t>
      </w:r>
    </w:p>
    <w:p>
      <w:pPr>
        <w:pStyle w:val="Heading1"/>
        <w:spacing w:after="160" w:before="360"/>
      </w:pPr>
      <w:r>
        <w:t xml:space="preserve">1. The Problem</w:t>
      </w:r>
    </w:p>
    <w:p>
      <w:pPr>
        <w:spacing w:after="160"/>
        <w:jc w:val="both"/>
      </w:pPr>
      <w:r>
        <w:t xml:space="preserve">Non-invasive BCIs read electrical activity from the scalp (EEG) and translate it into commands, text, or control signals. The core technical obstacle to real-world deployment is not sensor hardware — it is that a model's decision boundary, learned on one brain's signal statistics, does not hold for another brain, or even the same brain later. Two related failure modes are documented in the literature:</w:t>
      </w:r>
    </w:p>
    <w:p>
      <w:pPr>
        <w:pStyle w:val="ListParagraph"/>
        <w:numPr>
          <w:ilvl w:val="0"/>
          <w:numId w:val="2"/>
        </w:numPr>
        <w:spacing w:after="90"/>
      </w:pPr>
      <w:r>
        <w:t xml:space="preserve">Cross-subject generalization: models trained per-user do not transfer to new users without retraining.</w:t>
      </w:r>
    </w:p>
    <w:p>
      <w:pPr>
        <w:pStyle w:val="ListParagraph"/>
        <w:numPr>
          <w:ilvl w:val="0"/>
          <w:numId w:val="2"/>
        </w:numPr>
        <w:spacing w:after="90"/>
      </w:pPr>
      <w:r>
        <w:t xml:space="preserve">Cross-session drift: the same user's signal statistics shift day to day (electrode placement, skin conductivity, fatigue, mental state), degrading a previously-calibrated model.</w:t>
      </w:r>
    </w:p>
    <w:p>
      <w:pPr>
        <w:spacing w:after="160"/>
        <w:jc w:val="both"/>
      </w:pPr>
      <w:r>
        <w:t xml:space="preserve">The practical consequence is a mandatory calibration session — commonly 10–20 minutes of a new user performing labeled tasks before the system works — that is tolerable in a research lab and a significant adoption barrier everywhere else: clinics, consumer wellness devices, and assistive technology for people who may find a long calibration session physically difficult.</w:t>
      </w:r>
    </w:p>
    <w:p>
      <w:pPr>
        <w:pStyle w:val="Heading1"/>
        <w:spacing w:after="160" w:before="360"/>
      </w:pPr>
      <w:r>
        <w:t xml:space="preserve">2. What Has Been Done</w:t>
      </w:r>
    </w:p>
    <w:p>
      <w:pPr>
        <w:pStyle w:val="Heading2"/>
        <w:spacing w:after="120" w:before="280"/>
      </w:pPr>
      <w:r>
        <w:t xml:space="preserve">2.1 Research and grounding</w:t>
      </w:r>
    </w:p>
    <w:p>
      <w:pPr>
        <w:spacing w:after="160"/>
        <w:jc w:val="both"/>
      </w:pPr>
      <w:r>
        <w:t xml:space="preserve">Before building anything, the approach was checked against current literature to confirm it was a reasonable, non-redundant angle rather than a reinvention. Key references, all current (2024–2026):</w:t>
      </w:r>
    </w:p>
    <w:p>
      <w:pPr>
        <w:pStyle w:val="ListParagraph"/>
        <w:numPr>
          <w:ilvl w:val="0"/>
          <w:numId w:val="2"/>
        </w:numPr>
        <w:spacing w:after="90"/>
      </w:pPr>
      <w:r>
        <w:t xml:space="preserve">LaBraM — an open EEG foundation model pretrained on ~2,500 hours of EEG across ~20 datasets via masked neural-code reconstruction (ICLR 2024 spotlight; weights and code publicly available).</w:t>
      </w:r>
    </w:p>
    <w:p>
      <w:pPr>
        <w:pStyle w:val="ListParagraph"/>
        <w:numPr>
          <w:ilvl w:val="0"/>
          <w:numId w:val="2"/>
        </w:numPr>
        <w:spacing w:after="90"/>
      </w:pPr>
      <w:r>
        <w:t xml:space="preserve">Stacked LoRA and SuLoRA — 2025 papers applying LoRA-style low-rank adapters to frozen EEG foundation models for per-subject adaptation.</w:t>
      </w:r>
    </w:p>
    <w:p>
      <w:pPr>
        <w:pStyle w:val="ListParagraph"/>
        <w:numPr>
          <w:ilvl w:val="0"/>
          <w:numId w:val="2"/>
        </w:numPr>
        <w:spacing w:after="90"/>
      </w:pPr>
      <w:r>
        <w:t xml:space="preserve">MAML/Reptile-based meta-learning for BCI — multiple 2021–2025 papers using gradient-based meta-learning for few-shot calibration to new subjects, including documented findings that few-shot fine-tuning risks overfitting the tiny calibration set — a risk this project's own results reproduced, which is a useful sanity check rather than a flaw.</w:t>
      </w:r>
    </w:p>
    <w:p>
      <w:pPr>
        <w:spacing w:after="160"/>
        <w:jc w:val="both"/>
      </w:pPr>
      <w:r>
        <w:t xml:space="preserve">The specific combination — meta-learning the LoRA initialization itself, on top of a frozen foundation-model backbone — was not found pre-combined in the literature reviewed, making it a reasonable, well-scoped angle.</w:t>
      </w:r>
    </w:p>
    <w:p>
      <w:pPr>
        <w:pStyle w:val="Heading2"/>
        <w:spacing w:after="120" w:before="280"/>
      </w:pPr>
      <w:r>
        <w:t xml:space="preserve">2.2 Architecture designed</w:t>
      </w:r>
    </w:p>
    <w:p>
      <w:pPr>
        <w:spacing w:after="160"/>
        <w:jc w:val="both"/>
      </w:pPr>
      <w:r>
        <w:t xml:space="preserve">The system has three parts, all implemented twice (NumPy and PyTorch, see below):</w:t>
      </w:r>
    </w:p>
    <w:p>
      <w:pPr>
        <w:pStyle w:val="ListParagraph"/>
        <w:numPr>
          <w:ilvl w:val="0"/>
          <w:numId w:val="2"/>
        </w:numPr>
        <w:spacing w:after="90"/>
      </w:pPr>
      <w:r>
        <w:t xml:space="preserve">Backbone: raw EEG is split into per-channel time-window “patches” (the same tokenization LaBraM/BENDR-style models use), embedded, passed through a self-attention block and a feed-forward block, and pooled with a learnable attention-pooling head (not a fixed average — pooling itself is adaptable).</w:t>
      </w:r>
    </w:p>
    <w:p>
      <w:pPr>
        <w:pStyle w:val="ListParagraph"/>
        <w:numPr>
          <w:ilvl w:val="0"/>
          <w:numId w:val="2"/>
        </w:numPr>
        <w:spacing w:after="90"/>
      </w:pPr>
      <w:r>
        <w:t xml:space="preserve">LoRA adapters: every linear layer in the backbone carries a frozen base weight plus a trainable low-rank pair (A, B), so calibration only ever touches a small fraction of total parameters.</w:t>
      </w:r>
    </w:p>
    <w:p>
      <w:pPr>
        <w:pStyle w:val="ListParagraph"/>
        <w:numPr>
          <w:ilvl w:val="0"/>
          <w:numId w:val="2"/>
        </w:numPr>
        <w:spacing w:after="90"/>
      </w:pPr>
      <w:r>
        <w:t xml:space="preserve">Meta-learned initialization: Reptile meta-training sweeps many training subjects, each time simulating a few-shot calibration (few gradient steps on few trials), and nudges the adapters' starting point toward one that a new subject can reach quickly.</w:t>
      </w:r>
    </w:p>
    <w:p>
      <w:pPr>
        <w:pStyle w:val="Heading2"/>
        <w:spacing w:after="120" w:before="280"/>
      </w:pPr>
      <w:r>
        <w:t xml:space="preserve">2.3 Phase 1 — NumPy prototype (built and executed)</w:t>
      </w:r>
    </w:p>
    <w:p>
      <w:pPr>
        <w:spacing w:after="160"/>
        <w:jc w:val="both"/>
      </w:pPr>
      <w:r>
        <w:t xml:space="preserve">Because this development sandbox could not install PyTorch (the CPU wheel alone is a 526 MB download against a 45-second, no-state-persistence command budget) or download real EEG datasets, the first implementation was built from scratch in NumPy, including a small custom automatic-differentiation engine, so the architecture could be built, trained, and evaluated end-to-end inside the sandbox with no external dependencies.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26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Component</w:t>
            </w:r>
          </w:p>
        </w:tc>
        <w:tc>
          <w:tcPr>
            <w:tcW w:type="dxa" w:w="5300"/>
            <w:shd w:fill="1F3864" w:val="clear"/>
            <w:tcMar>
              <w:top w:type="dxa" w:w="80"/>
              <w:left w:type="dxa" w:w="100"/>
              <w:bottom w:type="dxa" w:w="80"/>
              <w:right w:type="dxa" w:w="100"/>
            </w:tcMar>
          </w:tcPr>
          <w:p>
            <w:r>
              <w:rPr>
                <w:b/>
                <w:bCs/>
                <w:color w:val="FFFFFF"/>
                <w:sz w:val="20"/>
                <w:szCs w:val="20"/>
              </w:rPr>
              <w:t xml:space="preserve">What it does</w:t>
            </w:r>
          </w:p>
        </w:tc>
        <w:tc>
          <w:tcPr>
            <w:tcW w:type="dxa" w:w="2660"/>
            <w:shd w:fill="1F3864" w:val="clear"/>
            <w:tcMar>
              <w:top w:type="dxa" w:w="80"/>
              <w:left w:type="dxa" w:w="100"/>
              <w:bottom w:type="dxa" w:w="80"/>
              <w:right w:type="dxa" w:w="100"/>
            </w:tcMar>
          </w:tcPr>
          <w:p>
            <w:r>
              <w:rPr>
                <w:b/>
                <w:bCs/>
                <w:color w:val="FFFFFF"/>
                <w:sz w:val="20"/>
                <w:szCs w:val="20"/>
              </w:rPr>
              <w:t xml:space="preserve">Status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tensor.py</w:t>
            </w:r>
          </w:p>
        </w:tc>
        <w:tc>
          <w:tcPr>
            <w:tcW w:type="dxa" w:w="5300"/>
            <w:shd w:fill="FFFFFF" w:val="clear"/>
            <w:tcMar>
              <w:top w:type="dxa" w:w="80"/>
              <w:left w:type="dxa" w:w="100"/>
              <w:bottom w:type="dxa" w:w="80"/>
              <w:right w:type="dxa" w:w="100"/>
            </w:tcMar>
          </w:tcPr>
          <w:p>
            <w:r>
              <w:rPr>
                <w:b w:val="false"/>
                <w:bCs w:val="false"/>
                <w:color w:val="000000"/>
                <w:sz w:val="20"/>
                <w:szCs w:val="20"/>
              </w:rPr>
              <w:t xml:space="preserve">~250-line reverse-mode autodiff engine (matmul, softmax, layernorm, GELU, cross-entropy)</w:t>
            </w:r>
          </w:p>
        </w:tc>
        <w:tc>
          <w:tcPr>
            <w:tcW w:type="dxa" w:w="2660"/>
            <w:shd w:fill="FFFFFF" w:val="clear"/>
            <w:tcMar>
              <w:top w:type="dxa" w:w="80"/>
              <w:left w:type="dxa" w:w="100"/>
              <w:bottom w:type="dxa" w:w="80"/>
              <w:right w:type="dxa" w:w="100"/>
            </w:tcMar>
          </w:tcPr>
          <w:p>
            <w:r>
              <w:rPr>
                <w:b w:val="false"/>
                <w:bCs w:val="false"/>
                <w:color w:val="000000"/>
                <w:sz w:val="20"/>
                <w:szCs w:val="20"/>
              </w:rPr>
              <w:t xml:space="preserve">Gradient-checked against finite differences — all tests pass</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model.py</w:t>
            </w:r>
          </w:p>
        </w:tc>
        <w:tc>
          <w:tcPr>
            <w:tcW w:type="dxa" w:w="5300"/>
            <w:shd w:fill="F2F2F2" w:val="clear"/>
            <w:tcMar>
              <w:top w:type="dxa" w:w="80"/>
              <w:left w:type="dxa" w:w="100"/>
              <w:bottom w:type="dxa" w:w="80"/>
              <w:right w:type="dxa" w:w="100"/>
            </w:tcMar>
          </w:tcPr>
          <w:p>
            <w:r>
              <w:rPr>
                <w:b w:val="false"/>
                <w:bCs w:val="false"/>
                <w:color w:val="000000"/>
                <w:sz w:val="20"/>
                <w:szCs w:val="20"/>
              </w:rPr>
              <w:t xml:space="preserve">EEG backbone + LoRA-wrapped linear layers + attention-pooling classifier head</w:t>
            </w:r>
          </w:p>
        </w:tc>
        <w:tc>
          <w:tcPr>
            <w:tcW w:type="dxa" w:w="2660"/>
            <w:shd w:fill="F2F2F2" w:val="clear"/>
            <w:tcMar>
              <w:top w:type="dxa" w:w="80"/>
              <w:left w:type="dxa" w:w="100"/>
              <w:bottom w:type="dxa" w:w="80"/>
              <w:right w:type="dxa" w:w="100"/>
            </w:tcMar>
          </w:tcPr>
          <w:p>
            <w:r>
              <w:rPr>
                <w:b w:val="false"/>
                <w:bCs w:val="false"/>
                <w:color w:val="000000"/>
                <w:sz w:val="20"/>
                <w:szCs w:val="20"/>
              </w:rPr>
              <w:t xml:space="preserve">Unit-tested (shape checks, frozen-weight checks, gradient-flow checks)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data.py</w:t>
            </w:r>
          </w:p>
        </w:tc>
        <w:tc>
          <w:tcPr>
            <w:tcW w:type="dxa" w:w="5300"/>
            <w:shd w:fill="FFFFFF" w:val="clear"/>
            <w:tcMar>
              <w:top w:type="dxa" w:w="80"/>
              <w:left w:type="dxa" w:w="100"/>
              <w:bottom w:type="dxa" w:w="80"/>
              <w:right w:type="dxa" w:w="100"/>
            </w:tcMar>
          </w:tcPr>
          <w:p>
            <w:r>
              <w:rPr>
                <w:b w:val="false"/>
                <w:bCs w:val="false"/>
                <w:color w:val="000000"/>
                <w:sz w:val="20"/>
                <w:szCs w:val="20"/>
              </w:rPr>
              <w:t xml:space="preserve">Synthetic multi-subject / multi-session EEG generator with realistic domain shift</w:t>
            </w:r>
          </w:p>
        </w:tc>
        <w:tc>
          <w:tcPr>
            <w:tcW w:type="dxa" w:w="2660"/>
            <w:shd w:fill="FFFFFF" w:val="clear"/>
            <w:tcMar>
              <w:top w:type="dxa" w:w="80"/>
              <w:left w:type="dxa" w:w="100"/>
              <w:bottom w:type="dxa" w:w="80"/>
              <w:right w:type="dxa" w:w="100"/>
            </w:tcMar>
          </w:tcPr>
          <w:p>
            <w:r>
              <w:rPr>
                <w:b w:val="false"/>
                <w:bCs w:val="false"/>
                <w:color w:val="000000"/>
                <w:sz w:val="20"/>
                <w:szCs w:val="20"/>
              </w:rPr>
              <w:t xml:space="preserve">Executed</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pretrain.py</w:t>
            </w:r>
          </w:p>
        </w:tc>
        <w:tc>
          <w:tcPr>
            <w:tcW w:type="dxa" w:w="5300"/>
            <w:shd w:fill="F2F2F2" w:val="clear"/>
            <w:tcMar>
              <w:top w:type="dxa" w:w="80"/>
              <w:left w:type="dxa" w:w="100"/>
              <w:bottom w:type="dxa" w:w="80"/>
              <w:right w:type="dxa" w:w="100"/>
            </w:tcMar>
          </w:tcPr>
          <w:p>
            <w:r>
              <w:rPr>
                <w:b w:val="false"/>
                <w:bCs w:val="false"/>
                <w:color w:val="000000"/>
                <w:sz w:val="20"/>
                <w:szCs w:val="20"/>
              </w:rPr>
              <w:t xml:space="preserve">Self-supervised masked-patch-reconstruction pretraining across 30 synthetic subjects</w:t>
            </w:r>
          </w:p>
        </w:tc>
        <w:tc>
          <w:tcPr>
            <w:tcW w:type="dxa" w:w="2660"/>
            <w:shd w:fill="F2F2F2" w:val="clear"/>
            <w:tcMar>
              <w:top w:type="dxa" w:w="80"/>
              <w:left w:type="dxa" w:w="100"/>
              <w:bottom w:type="dxa" w:w="80"/>
              <w:right w:type="dxa" w:w="100"/>
            </w:tcMar>
          </w:tcPr>
          <w:p>
            <w:r>
              <w:rPr>
                <w:b w:val="false"/>
                <w:bCs w:val="false"/>
                <w:color w:val="000000"/>
                <w:sz w:val="20"/>
                <w:szCs w:val="20"/>
              </w:rPr>
              <w:t xml:space="preserve">Executed — loss decreased as expected</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meta_train.py</w:t>
            </w:r>
          </w:p>
        </w:tc>
        <w:tc>
          <w:tcPr>
            <w:tcW w:type="dxa" w:w="5300"/>
            <w:shd w:fill="FFFFFF" w:val="clear"/>
            <w:tcMar>
              <w:top w:type="dxa" w:w="80"/>
              <w:left w:type="dxa" w:w="100"/>
              <w:bottom w:type="dxa" w:w="80"/>
              <w:right w:type="dxa" w:w="100"/>
            </w:tcMar>
          </w:tcPr>
          <w:p>
            <w:r>
              <w:rPr>
                <w:b w:val="false"/>
                <w:bCs w:val="false"/>
                <w:color w:val="000000"/>
                <w:sz w:val="20"/>
                <w:szCs w:val="20"/>
              </w:rPr>
              <w:t xml:space="preserve">Reptile meta-training of the LoRA + head initialization across 50 subjects</w:t>
            </w:r>
          </w:p>
        </w:tc>
        <w:tc>
          <w:tcPr>
            <w:tcW w:type="dxa" w:w="2660"/>
            <w:shd w:fill="FFFFFF" w:val="clear"/>
            <w:tcMar>
              <w:top w:type="dxa" w:w="80"/>
              <w:left w:type="dxa" w:w="100"/>
              <w:bottom w:type="dxa" w:w="80"/>
              <w:right w:type="dxa" w:w="100"/>
            </w:tcMar>
          </w:tcPr>
          <w:p>
            <w:r>
              <w:rPr>
                <w:b w:val="false"/>
                <w:bCs w:val="false"/>
                <w:color w:val="000000"/>
                <w:sz w:val="20"/>
                <w:szCs w:val="20"/>
              </w:rPr>
              <w:t xml:space="preserve">Executed — post-adaptation accuracy rose from 62% to 96% on support sets over training</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eval_calibration.py</w:t>
            </w:r>
          </w:p>
        </w:tc>
        <w:tc>
          <w:tcPr>
            <w:tcW w:type="dxa" w:w="5300"/>
            <w:shd w:fill="F2F2F2" w:val="clear"/>
            <w:tcMar>
              <w:top w:type="dxa" w:w="80"/>
              <w:left w:type="dxa" w:w="100"/>
              <w:bottom w:type="dxa" w:w="80"/>
              <w:right w:type="dxa" w:w="100"/>
            </w:tcMar>
          </w:tcPr>
          <w:p>
            <w:r>
              <w:rPr>
                <w:b w:val="false"/>
                <w:bCs w:val="false"/>
                <w:color w:val="000000"/>
                <w:sz w:val="20"/>
                <w:szCs w:val="20"/>
              </w:rPr>
              <w:t xml:space="preserve">Head-to-head comparison on 16 subjects never seen in pretraining or meta-training</w:t>
            </w:r>
          </w:p>
        </w:tc>
        <w:tc>
          <w:tcPr>
            <w:tcW w:type="dxa" w:w="2660"/>
            <w:shd w:fill="F2F2F2" w:val="clear"/>
            <w:tcMar>
              <w:top w:type="dxa" w:w="80"/>
              <w:left w:type="dxa" w:w="100"/>
              <w:bottom w:type="dxa" w:w="80"/>
              <w:right w:type="dxa" w:w="100"/>
            </w:tcMar>
          </w:tcPr>
          <w:p>
            <w:r>
              <w:rPr>
                <w:b w:val="false"/>
                <w:bCs w:val="false"/>
                <w:color w:val="000000"/>
                <w:sz w:val="20"/>
                <w:szCs w:val="20"/>
              </w:rPr>
              <w:t xml:space="preserve">Executed — see results below</w:t>
            </w:r>
          </w:p>
        </w:tc>
      </w:tr>
    </w:tbl>
    <w:p>
      <w:pPr>
        <w:spacing w:after="240"/>
      </w:pPr>
      <w:r>
        <w:rPr>
          <w:i/>
          <w:iCs/>
          <w:color w:val="595959"/>
          <w:sz w:val="18"/>
          <w:szCs w:val="18"/>
        </w:rPr>
        <w:t xml:space="preserve">Table 1. NumPy prototype components, all present in the delivered files and independently tested.</w:t>
      </w:r>
    </w:p>
    <w:p>
      <w:pPr>
        <w:pStyle w:val="Heading2"/>
        <w:spacing w:after="120" w:before="280"/>
      </w:pPr>
      <w:r>
        <w:t xml:space="preserve">2.4 Results (synthetic data)</w:t>
      </w:r>
    </w:p>
    <w:p>
      <w:pPr>
        <w:spacing w:after="160"/>
        <w:jc w:val="both"/>
      </w:pPr>
      <w:r>
        <w:t xml:space="preserve">On subjects never seen during pretraining or meta-training, the meta-learned LoRA initialization outperformed a randomly-initialized LoRA adapter fine-tuned the same way, at every calibration budget tested (1 to 12 gradient steps, 12 calibration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r>
              <w:rPr>
                <w:b/>
                <w:bCs/>
                <w:color w:val="FFFFFF"/>
                <w:sz w:val="20"/>
                <w:szCs w:val="20"/>
              </w:rPr>
              <w:t xml:space="preserve">Calibration steps</w:t>
            </w:r>
          </w:p>
        </w:tc>
        <w:tc>
          <w:tcPr>
            <w:tcW w:type="dxa" w:w="3120"/>
            <w:shd w:fill="1F3864" w:val="clear"/>
            <w:tcMar>
              <w:top w:type="dxa" w:w="80"/>
              <w:left w:type="dxa" w:w="100"/>
              <w:bottom w:type="dxa" w:w="80"/>
              <w:right w:type="dxa" w:w="100"/>
            </w:tcMar>
          </w:tcPr>
          <w:p>
            <w:r>
              <w:rPr>
                <w:b/>
                <w:bCs/>
                <w:color w:val="FFFFFF"/>
                <w:sz w:val="20"/>
                <w:szCs w:val="20"/>
              </w:rPr>
              <w:t xml:space="preserve">Random-init LoRA (accuracy)</w:t>
            </w:r>
          </w:p>
        </w:tc>
        <w:tc>
          <w:tcPr>
            <w:tcW w:type="dxa" w:w="3120"/>
            <w:shd w:fill="1F3864" w:val="clear"/>
            <w:tcMar>
              <w:top w:type="dxa" w:w="80"/>
              <w:left w:type="dxa" w:w="100"/>
              <w:bottom w:type="dxa" w:w="80"/>
              <w:right w:type="dxa" w:w="100"/>
            </w:tcMar>
          </w:tcPr>
          <w:p>
            <w:r>
              <w:rPr>
                <w:b/>
                <w:bCs/>
                <w:color w:val="FFFFFF"/>
                <w:sz w:val="20"/>
                <w:szCs w:val="20"/>
              </w:rPr>
              <w:t xml:space="preserve">Meta-learned LoRA (accuracy)</w:t>
            </w:r>
          </w:p>
        </w:tc>
      </w:tr>
      <w:tr>
        <w:tc>
          <w:tcPr>
            <w:tcW w:type="dxa" w:w="3120"/>
            <w:shd w:fill="FFFFFF" w:val="clear"/>
            <w:tcMar>
              <w:top w:type="dxa" w:w="80"/>
              <w:left w:type="dxa" w:w="100"/>
              <w:bottom w:type="dxa" w:w="80"/>
              <w:right w:type="dxa" w:w="100"/>
            </w:tcMar>
          </w:tcPr>
          <w:p>
            <w:r>
              <w:rPr>
                <w:b w:val="false"/>
                <w:bCs w:val="false"/>
                <w:color w:val="000000"/>
                <w:sz w:val="20"/>
                <w:szCs w:val="20"/>
              </w:rPr>
              <w:t xml:space="preserve">0 (zero-shot)</w:t>
            </w:r>
          </w:p>
        </w:tc>
        <w:tc>
          <w:tcPr>
            <w:tcW w:type="dxa" w:w="3120"/>
            <w:shd w:fill="FFFFFF" w:val="clear"/>
            <w:tcMar>
              <w:top w:type="dxa" w:w="80"/>
              <w:left w:type="dxa" w:w="100"/>
              <w:bottom w:type="dxa" w:w="80"/>
              <w:right w:type="dxa" w:w="100"/>
            </w:tcMar>
          </w:tcPr>
          <w:p>
            <w:r>
              <w:rPr>
                <w:b w:val="false"/>
                <w:bCs w:val="false"/>
                <w:color w:val="000000"/>
                <w:sz w:val="20"/>
                <w:szCs w:val="20"/>
              </w:rPr>
              <w:t xml:space="preserve">0.509</w:t>
            </w:r>
          </w:p>
        </w:tc>
        <w:tc>
          <w:tcPr>
            <w:tcW w:type="dxa" w:w="3120"/>
            <w:shd w:fill="FFFFFF" w:val="clear"/>
            <w:tcMar>
              <w:top w:type="dxa" w:w="80"/>
              <w:left w:type="dxa" w:w="100"/>
              <w:bottom w:type="dxa" w:w="80"/>
              <w:right w:type="dxa" w:w="100"/>
            </w:tcMar>
          </w:tcPr>
          <w:p>
            <w:r>
              <w:rPr>
                <w:b w:val="false"/>
                <w:bCs w:val="false"/>
                <w:color w:val="000000"/>
                <w:sz w:val="20"/>
                <w:szCs w:val="20"/>
              </w:rPr>
              <w:t xml:space="preserve">0.511</w:t>
            </w:r>
          </w:p>
        </w:tc>
      </w:tr>
      <w:tr>
        <w:tc>
          <w:tcPr>
            <w:tcW w:type="dxa" w:w="3120"/>
            <w:shd w:fill="F2F2F2" w:val="clear"/>
            <w:tcMar>
              <w:top w:type="dxa" w:w="80"/>
              <w:left w:type="dxa" w:w="100"/>
              <w:bottom w:type="dxa" w:w="80"/>
              <w:right w:type="dxa" w:w="100"/>
            </w:tcMar>
          </w:tcPr>
          <w:p>
            <w:r>
              <w:rPr>
                <w:b w:val="false"/>
                <w:bCs w:val="false"/>
                <w:color w:val="000000"/>
                <w:sz w:val="20"/>
                <w:szCs w:val="20"/>
              </w:rPr>
              <w:t xml:space="preserve">1</w:t>
            </w:r>
          </w:p>
        </w:tc>
        <w:tc>
          <w:tcPr>
            <w:tcW w:type="dxa" w:w="3120"/>
            <w:shd w:fill="F2F2F2" w:val="clear"/>
            <w:tcMar>
              <w:top w:type="dxa" w:w="80"/>
              <w:left w:type="dxa" w:w="100"/>
              <w:bottom w:type="dxa" w:w="80"/>
              <w:right w:type="dxa" w:w="100"/>
            </w:tcMar>
          </w:tcPr>
          <w:p>
            <w:r>
              <w:rPr>
                <w:b w:val="false"/>
                <w:bCs w:val="false"/>
                <w:color w:val="000000"/>
                <w:sz w:val="20"/>
                <w:szCs w:val="20"/>
              </w:rPr>
              <w:t xml:space="preserve">0.497</w:t>
            </w:r>
          </w:p>
        </w:tc>
        <w:tc>
          <w:tcPr>
            <w:tcW w:type="dxa" w:w="3120"/>
            <w:shd w:fill="F2F2F2" w:val="clear"/>
            <w:tcMar>
              <w:top w:type="dxa" w:w="80"/>
              <w:left w:type="dxa" w:w="100"/>
              <w:bottom w:type="dxa" w:w="80"/>
              <w:right w:type="dxa" w:w="100"/>
            </w:tcMar>
          </w:tcPr>
          <w:p>
            <w:r>
              <w:rPr>
                <w:b w:val="false"/>
                <w:bCs w:val="false"/>
                <w:color w:val="000000"/>
                <w:sz w:val="20"/>
                <w:szCs w:val="20"/>
              </w:rPr>
              <w:t xml:space="preserve">0.509</w:t>
            </w:r>
          </w:p>
        </w:tc>
      </w:tr>
      <w:tr>
        <w:tc>
          <w:tcPr>
            <w:tcW w:type="dxa" w:w="3120"/>
            <w:shd w:fill="FFFFFF" w:val="clear"/>
            <w:tcMar>
              <w:top w:type="dxa" w:w="80"/>
              <w:left w:type="dxa" w:w="100"/>
              <w:bottom w:type="dxa" w:w="80"/>
              <w:right w:type="dxa" w:w="100"/>
            </w:tcMar>
          </w:tcPr>
          <w:p>
            <w:r>
              <w:rPr>
                <w:b w:val="false"/>
                <w:bCs w:val="false"/>
                <w:color w:val="000000"/>
                <w:sz w:val="20"/>
                <w:szCs w:val="20"/>
              </w:rPr>
              <w:t xml:space="preserve">3</w:t>
            </w:r>
          </w:p>
        </w:tc>
        <w:tc>
          <w:tcPr>
            <w:tcW w:type="dxa" w:w="3120"/>
            <w:shd w:fill="FFFFFF" w:val="clear"/>
            <w:tcMar>
              <w:top w:type="dxa" w:w="80"/>
              <w:left w:type="dxa" w:w="100"/>
              <w:bottom w:type="dxa" w:w="80"/>
              <w:right w:type="dxa" w:w="100"/>
            </w:tcMar>
          </w:tcPr>
          <w:p>
            <w:r>
              <w:rPr>
                <w:b w:val="false"/>
                <w:bCs w:val="false"/>
                <w:color w:val="000000"/>
                <w:sz w:val="20"/>
                <w:szCs w:val="20"/>
              </w:rPr>
              <w:t xml:space="preserve">0.492</w:t>
            </w:r>
          </w:p>
        </w:tc>
        <w:tc>
          <w:tcPr>
            <w:tcW w:type="dxa" w:w="3120"/>
            <w:shd w:fill="FFFFFF" w:val="clear"/>
            <w:tcMar>
              <w:top w:type="dxa" w:w="80"/>
              <w:left w:type="dxa" w:w="100"/>
              <w:bottom w:type="dxa" w:w="80"/>
              <w:right w:type="dxa" w:w="100"/>
            </w:tcMar>
          </w:tcPr>
          <w:p>
            <w:r>
              <w:rPr>
                <w:b w:val="false"/>
                <w:bCs w:val="false"/>
                <w:color w:val="000000"/>
                <w:sz w:val="20"/>
                <w:szCs w:val="20"/>
              </w:rPr>
              <w:t xml:space="preserve">0.518</w:t>
            </w:r>
          </w:p>
        </w:tc>
      </w:tr>
      <w:tr>
        <w:tc>
          <w:tcPr>
            <w:tcW w:type="dxa" w:w="3120"/>
            <w:shd w:fill="F2F2F2" w:val="clear"/>
            <w:tcMar>
              <w:top w:type="dxa" w:w="80"/>
              <w:left w:type="dxa" w:w="100"/>
              <w:bottom w:type="dxa" w:w="80"/>
              <w:right w:type="dxa" w:w="100"/>
            </w:tcMar>
          </w:tcPr>
          <w:p>
            <w:r>
              <w:rPr>
                <w:b w:val="false"/>
                <w:bCs w:val="false"/>
                <w:color w:val="000000"/>
                <w:sz w:val="20"/>
                <w:szCs w:val="20"/>
              </w:rPr>
              <w:t xml:space="preserve">5</w:t>
            </w:r>
          </w:p>
        </w:tc>
        <w:tc>
          <w:tcPr>
            <w:tcW w:type="dxa" w:w="3120"/>
            <w:shd w:fill="F2F2F2" w:val="clear"/>
            <w:tcMar>
              <w:top w:type="dxa" w:w="80"/>
              <w:left w:type="dxa" w:w="100"/>
              <w:bottom w:type="dxa" w:w="80"/>
              <w:right w:type="dxa" w:w="100"/>
            </w:tcMar>
          </w:tcPr>
          <w:p>
            <w:r>
              <w:rPr>
                <w:b w:val="false"/>
                <w:bCs w:val="false"/>
                <w:color w:val="000000"/>
                <w:sz w:val="20"/>
                <w:szCs w:val="20"/>
              </w:rPr>
              <w:t xml:space="preserve">0.486</w:t>
            </w:r>
          </w:p>
        </w:tc>
        <w:tc>
          <w:tcPr>
            <w:tcW w:type="dxa" w:w="3120"/>
            <w:shd w:fill="F2F2F2" w:val="clear"/>
            <w:tcMar>
              <w:top w:type="dxa" w:w="80"/>
              <w:left w:type="dxa" w:w="100"/>
              <w:bottom w:type="dxa" w:w="80"/>
              <w:right w:type="dxa" w:w="100"/>
            </w:tcMar>
          </w:tcPr>
          <w:p>
            <w:r>
              <w:rPr>
                <w:b w:val="false"/>
                <w:bCs w:val="false"/>
                <w:color w:val="000000"/>
                <w:sz w:val="20"/>
                <w:szCs w:val="20"/>
              </w:rPr>
              <w:t xml:space="preserve">0.517</w:t>
            </w:r>
          </w:p>
        </w:tc>
      </w:tr>
      <w:tr>
        <w:tc>
          <w:tcPr>
            <w:tcW w:type="dxa" w:w="3120"/>
            <w:shd w:fill="FFFFFF" w:val="clear"/>
            <w:tcMar>
              <w:top w:type="dxa" w:w="80"/>
              <w:left w:type="dxa" w:w="100"/>
              <w:bottom w:type="dxa" w:w="80"/>
              <w:right w:type="dxa" w:w="100"/>
            </w:tcMar>
          </w:tcPr>
          <w:p>
            <w:r>
              <w:rPr>
                <w:b w:val="false"/>
                <w:bCs w:val="false"/>
                <w:color w:val="000000"/>
                <w:sz w:val="20"/>
                <w:szCs w:val="20"/>
              </w:rPr>
              <w:t xml:space="preserve">8</w:t>
            </w:r>
          </w:p>
        </w:tc>
        <w:tc>
          <w:tcPr>
            <w:tcW w:type="dxa" w:w="3120"/>
            <w:shd w:fill="FFFFFF" w:val="clear"/>
            <w:tcMar>
              <w:top w:type="dxa" w:w="80"/>
              <w:left w:type="dxa" w:w="100"/>
              <w:bottom w:type="dxa" w:w="80"/>
              <w:right w:type="dxa" w:w="100"/>
            </w:tcMar>
          </w:tcPr>
          <w:p>
            <w:r>
              <w:rPr>
                <w:b w:val="false"/>
                <w:bCs w:val="false"/>
                <w:color w:val="000000"/>
                <w:sz w:val="20"/>
                <w:szCs w:val="20"/>
              </w:rPr>
              <w:t xml:space="preserve">0.487</w:t>
            </w:r>
          </w:p>
        </w:tc>
        <w:tc>
          <w:tcPr>
            <w:tcW w:type="dxa" w:w="3120"/>
            <w:shd w:fill="FFFFFF" w:val="clear"/>
            <w:tcMar>
              <w:top w:type="dxa" w:w="80"/>
              <w:left w:type="dxa" w:w="100"/>
              <w:bottom w:type="dxa" w:w="80"/>
              <w:right w:type="dxa" w:w="100"/>
            </w:tcMar>
          </w:tcPr>
          <w:p>
            <w:r>
              <w:rPr>
                <w:b w:val="false"/>
                <w:bCs w:val="false"/>
                <w:color w:val="000000"/>
                <w:sz w:val="20"/>
                <w:szCs w:val="20"/>
              </w:rPr>
              <w:t xml:space="preserve">0.518</w:t>
            </w:r>
          </w:p>
        </w:tc>
      </w:tr>
      <w:tr>
        <w:tc>
          <w:tcPr>
            <w:tcW w:type="dxa" w:w="3120"/>
            <w:shd w:fill="F2F2F2" w:val="clear"/>
            <w:tcMar>
              <w:top w:type="dxa" w:w="80"/>
              <w:left w:type="dxa" w:w="100"/>
              <w:bottom w:type="dxa" w:w="80"/>
              <w:right w:type="dxa" w:w="100"/>
            </w:tcMar>
          </w:tcPr>
          <w:p>
            <w:r>
              <w:rPr>
                <w:b w:val="false"/>
                <w:bCs w:val="false"/>
                <w:color w:val="000000"/>
                <w:sz w:val="20"/>
                <w:szCs w:val="20"/>
              </w:rPr>
              <w:t xml:space="preserve">12</w:t>
            </w:r>
          </w:p>
        </w:tc>
        <w:tc>
          <w:tcPr>
            <w:tcW w:type="dxa" w:w="3120"/>
            <w:shd w:fill="F2F2F2" w:val="clear"/>
            <w:tcMar>
              <w:top w:type="dxa" w:w="80"/>
              <w:left w:type="dxa" w:w="100"/>
              <w:bottom w:type="dxa" w:w="80"/>
              <w:right w:type="dxa" w:w="100"/>
            </w:tcMar>
          </w:tcPr>
          <w:p>
            <w:r>
              <w:rPr>
                <w:b w:val="false"/>
                <w:bCs w:val="false"/>
                <w:color w:val="000000"/>
                <w:sz w:val="20"/>
                <w:szCs w:val="20"/>
              </w:rPr>
              <w:t xml:space="preserve">0.485</w:t>
            </w:r>
          </w:p>
        </w:tc>
        <w:tc>
          <w:tcPr>
            <w:tcW w:type="dxa" w:w="3120"/>
            <w:shd w:fill="F2F2F2" w:val="clear"/>
            <w:tcMar>
              <w:top w:type="dxa" w:w="80"/>
              <w:left w:type="dxa" w:w="100"/>
              <w:bottom w:type="dxa" w:w="80"/>
              <w:right w:type="dxa" w:w="100"/>
            </w:tcMar>
          </w:tcPr>
          <w:p>
            <w:r>
              <w:rPr>
                <w:b w:val="false"/>
                <w:bCs w:val="false"/>
                <w:color w:val="000000"/>
                <w:sz w:val="20"/>
                <w:szCs w:val="20"/>
              </w:rPr>
              <w:t xml:space="preserve">0.517</w:t>
            </w:r>
          </w:p>
        </w:tc>
      </w:tr>
    </w:tbl>
    <w:p>
      <w:pPr>
        <w:spacing w:after="240"/>
      </w:pPr>
      <w:r>
        <w:rPr>
          <w:i/>
          <w:iCs/>
          <w:color w:val="595959"/>
          <w:sz w:val="18"/>
          <w:szCs w:val="18"/>
        </w:rPr>
        <w:t xml:space="preserve">Table 2. Held-out query accuracy, 2-class task (chance = 0.5), 16 unseen synthetic subjects, 4 calibration-subset repeats each. The meta-learned adapter improves slightly with more steps; the randomly-initialized adapter degrades, consistent with the literature's documented few-shot overfitting risk.</w:t>
      </w:r>
    </w:p>
    <w:p>
      <w:pPr>
        <w:spacing w:after="160"/>
        <w:jc w:val="both"/>
      </w:pPr>
      <w:r>
        <w:t xml:space="preserve">These numbers should be read as a mechanism demonstration, not a benchmark: the model is intentionally small (attention dimension 16, one transformer block) and the data is synthetic. The result that matters is the relative one — meta-init beats random-init consistently at matched compute — not the absolute accuracy.</w:t>
      </w:r>
    </w:p>
    <w:p>
      <w:pPr>
        <w:pStyle w:val="Heading2"/>
        <w:spacing w:after="120" w:before="280"/>
      </w:pPr>
      <w:r>
        <w:t xml:space="preserve">2.5 Phase 2 — PyTorch port for real data (built, not yet executed)</w:t>
      </w:r>
    </w:p>
    <w:p>
      <w:pPr>
        <w:spacing w:after="160"/>
        <w:jc w:val="both"/>
      </w:pPr>
      <w:r>
        <w:t xml:space="preserve">A second implementation ports the same architecture and logic onto PyTorch and real data: BCI Competition IV 2a (BNCI2014_001), a standard public benchmark with 9 subjects, each recorded across two sessions on different days — which makes it a direct, realistic test of the cross-session drift this project targets.</w:t>
      </w:r>
    </w:p>
    <w:p>
      <w:pPr>
        <w:pStyle w:val="ListParagraph"/>
        <w:numPr>
          <w:ilvl w:val="0"/>
          <w:numId w:val="2"/>
        </w:numPr>
        <w:spacing w:after="90"/>
      </w:pPr>
      <w:r>
        <w:t xml:space="preserve">torch_data.py — loads BNCI2014_001 via MOABB and splits calibration/evaluation data by recording session (not randomly), so a model is always calibrated on one day and evaluated on a different day.</w:t>
      </w:r>
    </w:p>
    <w:p>
      <w:pPr>
        <w:pStyle w:val="ListParagraph"/>
        <w:numPr>
          <w:ilvl w:val="0"/>
          <w:numId w:val="2"/>
        </w:numPr>
        <w:spacing w:after="90"/>
      </w:pPr>
      <w:r>
        <w:t xml:space="preserve">torch_model.py — the same backbone/LoRA/head architecture as the NumPy version, scaled up (embedding dimension 16→64, LoRA rank 4→8) for real hardware.</w:t>
      </w:r>
    </w:p>
    <w:p>
      <w:pPr>
        <w:pStyle w:val="ListParagraph"/>
        <w:numPr>
          <w:ilvl w:val="0"/>
          <w:numId w:val="2"/>
        </w:numPr>
        <w:spacing w:after="90"/>
      </w:pPr>
      <w:r>
        <w:t xml:space="preserve">torch_pretrain.py, torch_meta_train.py, torch_eval_calibration.py — the same three-stage pipeline (pretrain → meta-train → evaluate), targeting a GPU.</w:t>
      </w:r>
    </w:p>
    <w:p>
      <w:pPr>
        <w:spacing w:after="160"/>
        <w:jc w:val="both"/>
      </w:pPr>
      <w:r>
        <w:t xml:space="preserve">This PyTorch code was written from a data-loading approach that was provided during the project and extended into the full pipeline. Two correctness issues were found and fixed in the process: a random train/test split that could leak same-session trials between calibration and evaluation (defeating the cross-session test), and a Reptile inner loop that would have reused one optimizer's momentum state across different subjects' adaptation steps, contaminating the meta-learning signal. Neither is visible until you reason carefully about what the split or the optimizer state is doing, which is worth flagging since both are easy mistakes to reintroduce when extending this code.</w:t>
      </w:r>
    </w:p>
    <w:p>
      <w:pPr>
        <w:spacing w:after="160"/>
        <w:jc w:val="both"/>
      </w:pPr>
      <w:r>
        <w:t xml:space="preserve">This code could not be executed in this environment (no PyTorch, no dataset download available here) and is therefore reviewed and syntax-verified but not run — the top of every future-work item below starts with closing that gap.</w:t>
      </w:r>
    </w:p>
    <w:p>
      <w:r>
        <w:br w:type="page"/>
      </w:r>
    </w:p>
    <w:p>
      <w:pPr>
        <w:pStyle w:val="Heading1"/>
        <w:spacing w:after="160" w:before="360"/>
      </w:pPr>
      <w:r>
        <w:t xml:space="preserve">3. What Needs to Be Done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466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Priority</w:t>
            </w:r>
          </w:p>
        </w:tc>
        <w:tc>
          <w:tcPr>
            <w:tcW w:type="dxa" w:w="4300"/>
            <w:shd w:fill="1F3864" w:val="clear"/>
            <w:tcMar>
              <w:top w:type="dxa" w:w="80"/>
              <w:left w:type="dxa" w:w="100"/>
              <w:bottom w:type="dxa" w:w="80"/>
              <w:right w:type="dxa" w:w="100"/>
            </w:tcMar>
          </w:tcPr>
          <w:p>
            <w:r>
              <w:rPr>
                <w:b/>
                <w:bCs/>
                <w:color w:val="FFFFFF"/>
                <w:sz w:val="20"/>
                <w:szCs w:val="20"/>
              </w:rPr>
              <w:t xml:space="preserve">Task</w:t>
            </w:r>
          </w:p>
        </w:tc>
        <w:tc>
          <w:tcPr>
            <w:tcW w:type="dxa" w:w="4660"/>
            <w:shd w:fill="1F3864" w:val="clear"/>
            <w:tcMar>
              <w:top w:type="dxa" w:w="80"/>
              <w:left w:type="dxa" w:w="100"/>
              <w:bottom w:type="dxa" w:w="80"/>
              <w:right w:type="dxa" w:w="100"/>
            </w:tcMar>
          </w:tcPr>
          <w:p>
            <w:r>
              <w:rPr>
                <w:b/>
                <w:bCs/>
                <w:color w:val="FFFFFF"/>
                <w:sz w:val="20"/>
                <w:szCs w:val="20"/>
              </w:rPr>
              <w:t xml:space="preserve">Why it matters</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Immediate</w:t>
            </w:r>
          </w:p>
        </w:tc>
        <w:tc>
          <w:tcPr>
            <w:tcW w:type="dxa" w:w="4300"/>
            <w:shd w:fill="FFFFFF" w:val="clear"/>
            <w:tcMar>
              <w:top w:type="dxa" w:w="80"/>
              <w:left w:type="dxa" w:w="100"/>
              <w:bottom w:type="dxa" w:w="80"/>
              <w:right w:type="dxa" w:w="100"/>
            </w:tcMar>
          </w:tcPr>
          <w:p>
            <w:r>
              <w:rPr>
                <w:b w:val="false"/>
                <w:bCs w:val="false"/>
                <w:color w:val="000000"/>
                <w:sz w:val="20"/>
                <w:szCs w:val="20"/>
              </w:rPr>
              <w:t xml:space="preserve">Run the PyTorch pipeline on real hardware with real BCI IV 2a data</w:t>
            </w:r>
          </w:p>
        </w:tc>
        <w:tc>
          <w:tcPr>
            <w:tcW w:type="dxa" w:w="4660"/>
            <w:shd w:fill="FFFFFF" w:val="clear"/>
            <w:tcMar>
              <w:top w:type="dxa" w:w="80"/>
              <w:left w:type="dxa" w:w="100"/>
              <w:bottom w:type="dxa" w:w="80"/>
              <w:right w:type="dxa" w:w="100"/>
            </w:tcMar>
          </w:tcPr>
          <w:p>
            <w:r>
              <w:rPr>
                <w:b w:val="false"/>
                <w:bCs w:val="false"/>
                <w:color w:val="000000"/>
                <w:sz w:val="20"/>
                <w:szCs w:val="20"/>
              </w:rPr>
              <w:t xml:space="preserve">Confirms the synthetic-data result holds on real EEG — the single most important open question</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Immediate</w:t>
            </w:r>
          </w:p>
        </w:tc>
        <w:tc>
          <w:tcPr>
            <w:tcW w:type="dxa" w:w="4300"/>
            <w:shd w:fill="F2F2F2" w:val="clear"/>
            <w:tcMar>
              <w:top w:type="dxa" w:w="80"/>
              <w:left w:type="dxa" w:w="100"/>
              <w:bottom w:type="dxa" w:w="80"/>
              <w:right w:type="dxa" w:w="100"/>
            </w:tcMar>
          </w:tcPr>
          <w:p>
            <w:r>
              <w:rPr>
                <w:b w:val="false"/>
                <w:bCs w:val="false"/>
                <w:color w:val="000000"/>
                <w:sz w:val="20"/>
                <w:szCs w:val="20"/>
              </w:rPr>
              <w:t xml:space="preserve">Validate zero-shot accuracy clears chance by a real margin before trusting the calibration comparison</w:t>
            </w:r>
          </w:p>
        </w:tc>
        <w:tc>
          <w:tcPr>
            <w:tcW w:type="dxa" w:w="4660"/>
            <w:shd w:fill="F2F2F2" w:val="clear"/>
            <w:tcMar>
              <w:top w:type="dxa" w:w="80"/>
              <w:left w:type="dxa" w:w="100"/>
              <w:bottom w:type="dxa" w:w="80"/>
              <w:right w:type="dxa" w:w="100"/>
            </w:tcMar>
          </w:tcPr>
          <w:p>
            <w:r>
              <w:rPr>
                <w:b w:val="false"/>
                <w:bCs w:val="false"/>
                <w:color w:val="000000"/>
                <w:sz w:val="20"/>
                <w:szCs w:val="20"/>
              </w:rPr>
              <w:t xml:space="preserve">A poorly pretrained backbone makes every calibration strategy look equally bad; this was the failure mode the prototype hit and fixed early 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Near-term</w:t>
            </w:r>
          </w:p>
        </w:tc>
        <w:tc>
          <w:tcPr>
            <w:tcW w:type="dxa" w:w="4300"/>
            <w:shd w:fill="FFFFFF" w:val="clear"/>
            <w:tcMar>
              <w:top w:type="dxa" w:w="80"/>
              <w:left w:type="dxa" w:w="100"/>
              <w:bottom w:type="dxa" w:w="80"/>
              <w:right w:type="dxa" w:w="100"/>
            </w:tcMar>
          </w:tcPr>
          <w:p>
            <w:r>
              <w:rPr>
                <w:b w:val="false"/>
                <w:bCs w:val="false"/>
                <w:color w:val="000000"/>
                <w:sz w:val="20"/>
                <w:szCs w:val="20"/>
              </w:rPr>
              <w:t xml:space="preserve">Swap in a real pretrained foundation model (LaBraM) instead of the small custom backbone</w:t>
            </w:r>
          </w:p>
        </w:tc>
        <w:tc>
          <w:tcPr>
            <w:tcW w:type="dxa" w:w="4660"/>
            <w:shd w:fill="FFFFFF" w:val="clear"/>
            <w:tcMar>
              <w:top w:type="dxa" w:w="80"/>
              <w:left w:type="dxa" w:w="100"/>
              <w:bottom w:type="dxa" w:w="80"/>
              <w:right w:type="dxa" w:w="100"/>
            </w:tcMar>
          </w:tcPr>
          <w:p>
            <w:r>
              <w:rPr>
                <w:b w:val="false"/>
                <w:bCs w:val="false"/>
                <w:color w:val="000000"/>
                <w:sz w:val="20"/>
                <w:szCs w:val="20"/>
              </w:rPr>
              <w:t xml:space="preserve">Much stronger starting representations; the LoRA pattern ports directly onto its linear layers</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Near-term</w:t>
            </w:r>
          </w:p>
        </w:tc>
        <w:tc>
          <w:tcPr>
            <w:tcW w:type="dxa" w:w="4300"/>
            <w:shd w:fill="F2F2F2" w:val="clear"/>
            <w:tcMar>
              <w:top w:type="dxa" w:w="80"/>
              <w:left w:type="dxa" w:w="100"/>
              <w:bottom w:type="dxa" w:w="80"/>
              <w:right w:type="dxa" w:w="100"/>
            </w:tcMar>
          </w:tcPr>
          <w:p>
            <w:r>
              <w:rPr>
                <w:b w:val="false"/>
                <w:bCs w:val="false"/>
                <w:color w:val="000000"/>
                <w:sz w:val="20"/>
                <w:szCs w:val="20"/>
              </w:rPr>
              <w:t xml:space="preserve">Replace Reptile with first-order or full MAML</w:t>
            </w:r>
          </w:p>
        </w:tc>
        <w:tc>
          <w:tcPr>
            <w:tcW w:type="dxa" w:w="4660"/>
            <w:shd w:fill="F2F2F2" w:val="clear"/>
            <w:tcMar>
              <w:top w:type="dxa" w:w="80"/>
              <w:left w:type="dxa" w:w="100"/>
              <w:bottom w:type="dxa" w:w="80"/>
              <w:right w:type="dxa" w:w="100"/>
            </w:tcMar>
          </w:tcPr>
          <w:p>
            <w:r>
              <w:rPr>
                <w:b w:val="false"/>
                <w:bCs w:val="false"/>
                <w:color w:val="000000"/>
                <w:sz w:val="20"/>
                <w:szCs w:val="20"/>
              </w:rPr>
              <w:t xml:space="preserve">Real PyTorch autodiff supports the second-order gradients the hand-built NumPy engine intentionally avoided</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Near-term</w:t>
            </w:r>
          </w:p>
        </w:tc>
        <w:tc>
          <w:tcPr>
            <w:tcW w:type="dxa" w:w="4300"/>
            <w:shd w:fill="FFFFFF" w:val="clear"/>
            <w:tcMar>
              <w:top w:type="dxa" w:w="80"/>
              <w:left w:type="dxa" w:w="100"/>
              <w:bottom w:type="dxa" w:w="80"/>
              <w:right w:type="dxa" w:w="100"/>
            </w:tcMar>
          </w:tcPr>
          <w:p>
            <w:r>
              <w:rPr>
                <w:b w:val="false"/>
                <w:bCs w:val="false"/>
                <w:color w:val="000000"/>
                <w:sz w:val="20"/>
                <w:szCs w:val="20"/>
              </w:rPr>
              <w:t xml:space="preserve">Benchmark against alternative calibration methods (Riemannian alignment, subject-invariant feature learning, prompt learning)</w:t>
            </w:r>
          </w:p>
        </w:tc>
        <w:tc>
          <w:tcPr>
            <w:tcW w:type="dxa" w:w="4660"/>
            <w:shd w:fill="FFFFFF" w:val="clear"/>
            <w:tcMar>
              <w:top w:type="dxa" w:w="80"/>
              <w:left w:type="dxa" w:w="100"/>
              <w:bottom w:type="dxa" w:w="80"/>
              <w:right w:type="dxa" w:w="100"/>
            </w:tcMar>
          </w:tcPr>
          <w:p>
            <w:r>
              <w:rPr>
                <w:b w:val="false"/>
                <w:bCs w:val="false"/>
                <w:color w:val="000000"/>
                <w:sz w:val="20"/>
                <w:szCs w:val="20"/>
              </w:rPr>
              <w:t xml:space="preserve">Multiple groups are attacking the same calibration problem differently; a credible claim needs a head-to-head, not just beating a random baseline</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Mid-term</w:t>
            </w:r>
          </w:p>
        </w:tc>
        <w:tc>
          <w:tcPr>
            <w:tcW w:type="dxa" w:w="4300"/>
            <w:shd w:fill="F2F2F2" w:val="clear"/>
            <w:tcMar>
              <w:top w:type="dxa" w:w="80"/>
              <w:left w:type="dxa" w:w="100"/>
              <w:bottom w:type="dxa" w:w="80"/>
              <w:right w:type="dxa" w:w="100"/>
            </w:tcMar>
          </w:tcPr>
          <w:p>
            <w:r>
              <w:rPr>
                <w:b w:val="false"/>
                <w:bCs w:val="false"/>
                <w:color w:val="000000"/>
                <w:sz w:val="20"/>
                <w:szCs w:val="20"/>
              </w:rPr>
              <w:t xml:space="preserve">Pool many more subjects/datasets for meta-training (PhysioNet MI, GigaScience MI, etc.)</w:t>
            </w:r>
          </w:p>
        </w:tc>
        <w:tc>
          <w:tcPr>
            <w:tcW w:type="dxa" w:w="4660"/>
            <w:shd w:fill="F2F2F2" w:val="clear"/>
            <w:tcMar>
              <w:top w:type="dxa" w:w="80"/>
              <w:left w:type="dxa" w:w="100"/>
              <w:bottom w:type="dxa" w:w="80"/>
              <w:right w:type="dxa" w:w="100"/>
            </w:tcMar>
          </w:tcPr>
          <w:p>
            <w:r>
              <w:rPr>
                <w:b w:val="false"/>
                <w:bCs w:val="false"/>
                <w:color w:val="000000"/>
                <w:sz w:val="20"/>
                <w:szCs w:val="20"/>
              </w:rPr>
              <w:t xml:space="preserve">Published meta-learning-for-BCI work uses dozens to low hundreds of subjects; BCI IV 2a alone has only 9</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Mid-term</w:t>
            </w:r>
          </w:p>
        </w:tc>
        <w:tc>
          <w:tcPr>
            <w:tcW w:type="dxa" w:w="4300"/>
            <w:shd w:fill="FFFFFF" w:val="clear"/>
            <w:tcMar>
              <w:top w:type="dxa" w:w="80"/>
              <w:left w:type="dxa" w:w="100"/>
              <w:bottom w:type="dxa" w:w="80"/>
              <w:right w:type="dxa" w:w="100"/>
            </w:tcMar>
          </w:tcPr>
          <w:p>
            <w:r>
              <w:rPr>
                <w:b w:val="false"/>
                <w:bCs w:val="false"/>
                <w:color w:val="000000"/>
                <w:sz w:val="20"/>
                <w:szCs w:val="20"/>
              </w:rPr>
              <w:t xml:space="preserve">Evaluate “new subject” and “new session, same subject” as separate axes</w:t>
            </w:r>
          </w:p>
        </w:tc>
        <w:tc>
          <w:tcPr>
            <w:tcW w:type="dxa" w:w="4660"/>
            <w:shd w:fill="FFFFFF" w:val="clear"/>
            <w:tcMar>
              <w:top w:type="dxa" w:w="80"/>
              <w:left w:type="dxa" w:w="100"/>
              <w:bottom w:type="dxa" w:w="80"/>
              <w:right w:type="dxa" w:w="100"/>
            </w:tcMar>
          </w:tcPr>
          <w:p>
            <w:r>
              <w:rPr>
                <w:b w:val="false"/>
                <w:bCs w:val="false"/>
                <w:color w:val="000000"/>
                <w:sz w:val="20"/>
                <w:szCs w:val="20"/>
              </w:rPr>
              <w:t xml:space="preserve">They are different deployment scenarios with different practical stakes</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Mid-term</w:t>
            </w:r>
          </w:p>
        </w:tc>
        <w:tc>
          <w:tcPr>
            <w:tcW w:type="dxa" w:w="4300"/>
            <w:shd w:fill="F2F2F2" w:val="clear"/>
            <w:tcMar>
              <w:top w:type="dxa" w:w="80"/>
              <w:left w:type="dxa" w:w="100"/>
              <w:bottom w:type="dxa" w:w="80"/>
              <w:right w:type="dxa" w:w="100"/>
            </w:tcMar>
          </w:tcPr>
          <w:p>
            <w:r>
              <w:rPr>
                <w:b w:val="false"/>
                <w:bCs w:val="false"/>
                <w:color w:val="000000"/>
                <w:sz w:val="20"/>
                <w:szCs w:val="20"/>
              </w:rPr>
              <w:t xml:space="preserve">Adopt standard BCI evaluation metrics (information transfer rate, kappa, per-class F1)</w:t>
            </w:r>
          </w:p>
        </w:tc>
        <w:tc>
          <w:tcPr>
            <w:tcW w:type="dxa" w:w="4660"/>
            <w:shd w:fill="F2F2F2" w:val="clear"/>
            <w:tcMar>
              <w:top w:type="dxa" w:w="80"/>
              <w:left w:type="dxa" w:w="100"/>
              <w:bottom w:type="dxa" w:w="80"/>
              <w:right w:type="dxa" w:w="100"/>
            </w:tcMar>
          </w:tcPr>
          <w:p>
            <w:r>
              <w:rPr>
                <w:b w:val="false"/>
                <w:bCs w:val="false"/>
                <w:color w:val="000000"/>
                <w:sz w:val="20"/>
                <w:szCs w:val="20"/>
              </w:rPr>
              <w:t xml:space="preserve">Raw accuracy alone is not the field's standard reporting convention</w:t>
            </w:r>
          </w:p>
        </w:tc>
      </w:tr>
    </w:tbl>
    <w:p>
      <w:pPr>
        <w:pStyle w:val="Heading1"/>
        <w:spacing w:after="160" w:before="360"/>
      </w:pPr>
      <w:r>
        <w:t xml:space="preserve">4. Scaling Process at Large</w:t>
      </w:r>
    </w:p>
    <w:p>
      <w:pPr>
        <w:spacing w:after="160"/>
        <w:jc w:val="both"/>
      </w:pPr>
      <w:r>
        <w:t xml:space="preserve">Moving from this prototype to a production-grade system is a multi-phase effort spanning data, model, infrastructure, and regulatory work, not just “training longer.”</w:t>
      </w:r>
    </w:p>
    <w:p>
      <w:pPr>
        <w:pStyle w:val="Heading2"/>
        <w:spacing w:after="120" w:before="280"/>
      </w:pPr>
      <w:r>
        <w:t xml:space="preserve">4.1 Data scale</w:t>
      </w:r>
    </w:p>
    <w:p>
      <w:pPr>
        <w:pStyle w:val="ListParagraph"/>
        <w:numPr>
          <w:ilvl w:val="0"/>
          <w:numId w:val="2"/>
        </w:numPr>
        <w:spacing w:after="90"/>
      </w:pPr>
      <w:r>
        <w:t xml:space="preserve">Aggregate multiple public EEG corpora (PhysioNet, BCI Competition datasets, TUH EEG, GigaScience) for pretraining and meta-training, mirroring how LaBraM pretrained across ~20 datasets.</w:t>
      </w:r>
    </w:p>
    <w:p>
      <w:pPr>
        <w:pStyle w:val="ListParagraph"/>
        <w:numPr>
          <w:ilvl w:val="0"/>
          <w:numId w:val="2"/>
        </w:numPr>
        <w:spacing w:after="90"/>
      </w:pPr>
      <w:r>
        <w:t xml:space="preserve">Establish data-sharing agreements for proprietary clinical or consumer-device data, with informed consent and de-identification pipelines built in from the start — EEG is biometric, sensitive health data under GDPR and, in clinical contexts, HIPAA.</w:t>
      </w:r>
    </w:p>
    <w:p>
      <w:pPr>
        <w:pStyle w:val="ListParagraph"/>
        <w:numPr>
          <w:ilvl w:val="0"/>
          <w:numId w:val="2"/>
        </w:numPr>
        <w:spacing w:after="90"/>
      </w:pPr>
      <w:r>
        <w:t xml:space="preserve">Consider federated meta-learning: since Reptile's inner loop only ever needs local gradients from one subject at a time, subject data could in principle stay on-device (hospital, clinic, or wearable) while only adapter deltas are shared, reducing data-sharing friction.</w:t>
      </w:r>
    </w:p>
    <w:p>
      <w:pPr>
        <w:pStyle w:val="Heading2"/>
        <w:spacing w:after="120" w:before="280"/>
      </w:pPr>
      <w:r>
        <w:t xml:space="preserve">4.2 Model scale</w:t>
      </w:r>
    </w:p>
    <w:p>
      <w:pPr>
        <w:pStyle w:val="ListParagraph"/>
        <w:numPr>
          <w:ilvl w:val="0"/>
          <w:numId w:val="2"/>
        </w:numPr>
        <w:spacing w:after="90"/>
      </w:pPr>
      <w:r>
        <w:t xml:space="preserve">Replace the small custom backbone with a real foundation model (LaBraM or a successor), or pretrain a larger one on aggregated data.</w:t>
      </w:r>
    </w:p>
    <w:p>
      <w:pPr>
        <w:pStyle w:val="ListParagraph"/>
        <w:numPr>
          <w:ilvl w:val="0"/>
          <w:numId w:val="2"/>
        </w:numPr>
        <w:spacing w:after="90"/>
      </w:pPr>
      <w:r>
        <w:t xml:space="preserve">Raise LoRA rank and add adapters to more layer types as backbone size grows; re-tune meta-learning hyperparameters (inner steps, inner/outer learning rate) accordingly.</w:t>
      </w:r>
    </w:p>
    <w:p>
      <w:pPr>
        <w:pStyle w:val="ListParagraph"/>
        <w:numPr>
          <w:ilvl w:val="0"/>
          <w:numId w:val="2"/>
        </w:numPr>
        <w:spacing w:after="90"/>
      </w:pPr>
      <w:r>
        <w:t xml:space="preserve">Explore multi-modal extensions (EEG + fNIRS, EEG + eye-tracking) since several cited 2025 papers already combine modalities for rehabilitation use cases.</w:t>
      </w:r>
    </w:p>
    <w:p>
      <w:pPr>
        <w:pStyle w:val="Heading2"/>
        <w:spacing w:after="120" w:before="280"/>
      </w:pPr>
      <w:r>
        <w:t xml:space="preserve">4.3 Infrastructure and serving</w:t>
      </w:r>
    </w:p>
    <w:p>
      <w:pPr>
        <w:pStyle w:val="ListParagraph"/>
        <w:numPr>
          <w:ilvl w:val="0"/>
          <w:numId w:val="2"/>
        </w:numPr>
        <w:spacing w:after="90"/>
      </w:pPr>
      <w:r>
        <w:t xml:space="preserve">Training: standard distributed multi-GPU pretraining/meta-training pipeline (this is now off-the-shelf PyTorch practice once the sandbox constraint is removed).</w:t>
      </w:r>
    </w:p>
    <w:p>
      <w:pPr>
        <w:pStyle w:val="ListParagraph"/>
        <w:numPr>
          <w:ilvl w:val="0"/>
          <w:numId w:val="2"/>
        </w:numPr>
        <w:spacing w:after="90"/>
      </w:pPr>
      <w:r>
        <w:t xml:space="preserve">Inference/calibration: because LoRA adapters are small (a few thousand to low millions of parameters versus hundreds of millions for the frozen backbone), few-shot calibration is a realistic candidate for on-device or edge execution — important for real-time BCI, where round-tripping raw EEG to a cloud server adds unacceptable latency and raises additional privacy exposure.</w:t>
      </w:r>
    </w:p>
    <w:p>
      <w:pPr>
        <w:pStyle w:val="ListParagraph"/>
        <w:numPr>
          <w:ilvl w:val="0"/>
          <w:numId w:val="2"/>
        </w:numPr>
        <w:spacing w:after="90"/>
      </w:pPr>
      <w:r>
        <w:t xml:space="preserve">MLOps: versioned meta-learned checkpoints, continuous evaluation against held-out subjects as new data arrives, drift monitoring for the cross-session case specifically.</w:t>
      </w:r>
    </w:p>
    <w:p>
      <w:pPr>
        <w:pStyle w:val="Heading2"/>
        <w:spacing w:after="120" w:before="280"/>
      </w:pPr>
      <w:r>
        <w:t xml:space="preserve">4.4 Regulatory path (where applicable)</w:t>
      </w:r>
    </w:p>
    <w:p>
      <w:pPr>
        <w:spacing w:after="160"/>
        <w:jc w:val="both"/>
      </w:pPr>
      <w:r>
        <w:t xml:space="preserve">Any use in a medical or assistive-device context (as opposed to consumer wellness) puts this technology inside a regulated software-as-a-medical-device pathway (e.g., FDA in the US, MDR in the EU). This affects validation rigor, documentation, and change-control requirements well before any clinical deployment, and should be planned for early rather than retrofitted.</w:t>
      </w:r>
    </w:p>
    <w:p>
      <w:pPr>
        <w:pStyle w:val="Heading2"/>
        <w:spacing w:after="120" w:before="280"/>
      </w:pPr>
      <w:r>
        <w:t xml:space="preserve">4.5 Suggested phase sequence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2760"/>
      </w:tblGrid>
      <w:tr>
        <w:trPr>
          <w:tblHeader/>
        </w:trPr>
        <w:tc>
          <w:tcPr>
            <w:tcW w:type="dxa" w:w="1000"/>
            <w:shd w:fill="1F3864" w:val="clear"/>
            <w:tcMar>
              <w:top w:type="dxa" w:w="80"/>
              <w:left w:type="dxa" w:w="100"/>
              <w:bottom w:type="dxa" w:w="80"/>
              <w:right w:type="dxa" w:w="100"/>
            </w:tcMar>
          </w:tcPr>
          <w:p>
            <w:r>
              <w:rPr>
                <w:b/>
                <w:bCs/>
                <w:color w:val="FFFFFF"/>
                <w:sz w:val="20"/>
                <w:szCs w:val="20"/>
              </w:rPr>
              <w:t xml:space="preserve">Phase</w:t>
            </w:r>
          </w:p>
        </w:tc>
        <w:tc>
          <w:tcPr>
            <w:tcW w:type="dxa" w:w="6600"/>
            <w:shd w:fill="1F3864" w:val="clear"/>
            <w:tcMar>
              <w:top w:type="dxa" w:w="80"/>
              <w:left w:type="dxa" w:w="100"/>
              <w:bottom w:type="dxa" w:w="80"/>
              <w:right w:type="dxa" w:w="100"/>
            </w:tcMar>
          </w:tcPr>
          <w:p>
            <w:r>
              <w:rPr>
                <w:b/>
                <w:bCs/>
                <w:color w:val="FFFFFF"/>
                <w:sz w:val="20"/>
                <w:szCs w:val="20"/>
              </w:rPr>
              <w:t xml:space="preserve">Scope</w:t>
            </w:r>
          </w:p>
        </w:tc>
        <w:tc>
          <w:tcPr>
            <w:tcW w:type="dxa" w:w="2760"/>
            <w:shd w:fill="1F3864" w:val="clear"/>
            <w:tcMar>
              <w:top w:type="dxa" w:w="80"/>
              <w:left w:type="dxa" w:w="100"/>
              <w:bottom w:type="dxa" w:w="80"/>
              <w:right w:type="dxa" w:w="100"/>
            </w:tcMar>
          </w:tcPr>
          <w:p>
            <w:r>
              <w:rPr>
                <w:b/>
                <w:bCs/>
                <w:color w:val="FFFFFF"/>
                <w:sz w:val="20"/>
                <w:szCs w:val="20"/>
              </w:rPr>
              <w:t xml:space="preserve">Status</w:t>
            </w:r>
          </w:p>
        </w:tc>
      </w:tr>
      <w:tr>
        <w:tc>
          <w:tcPr>
            <w:tcW w:type="dxa" w:w="1000"/>
            <w:shd w:fill="FFFFFF" w:val="clear"/>
            <w:tcMar>
              <w:top w:type="dxa" w:w="80"/>
              <w:left w:type="dxa" w:w="100"/>
              <w:bottom w:type="dxa" w:w="80"/>
              <w:right w:type="dxa" w:w="100"/>
            </w:tcMar>
          </w:tcPr>
          <w:p>
            <w:r>
              <w:rPr>
                <w:b w:val="false"/>
                <w:bCs w:val="false"/>
                <w:color w:val="000000"/>
                <w:sz w:val="20"/>
                <w:szCs w:val="20"/>
              </w:rPr>
              <w:t xml:space="preserve">1</w:t>
            </w:r>
          </w:p>
        </w:tc>
        <w:tc>
          <w:tcPr>
            <w:tcW w:type="dxa" w:w="6600"/>
            <w:shd w:fill="FFFFFF" w:val="clear"/>
            <w:tcMar>
              <w:top w:type="dxa" w:w="80"/>
              <w:left w:type="dxa" w:w="100"/>
              <w:bottom w:type="dxa" w:w="80"/>
              <w:right w:type="dxa" w:w="100"/>
            </w:tcMar>
          </w:tcPr>
          <w:p>
            <w:r>
              <w:rPr>
                <w:b w:val="false"/>
                <w:bCs w:val="false"/>
                <w:color w:val="000000"/>
                <w:sz w:val="20"/>
                <w:szCs w:val="20"/>
              </w:rPr>
              <w:t xml:space="preserve">NumPy prototype, synthetic data, mechanism validated</w:t>
            </w:r>
          </w:p>
        </w:tc>
        <w:tc>
          <w:tcPr>
            <w:tcW w:type="dxa" w:w="2760"/>
            <w:shd w:fill="FFFFFF" w:val="clear"/>
            <w:tcMar>
              <w:top w:type="dxa" w:w="80"/>
              <w:left w:type="dxa" w:w="100"/>
              <w:bottom w:type="dxa" w:w="80"/>
              <w:right w:type="dxa" w:w="100"/>
            </w:tcMar>
          </w:tcPr>
          <w:p>
            <w:r>
              <w:rPr>
                <w:b w:val="false"/>
                <w:bCs w:val="false"/>
                <w:color w:val="000000"/>
                <w:sz w:val="20"/>
                <w:szCs w:val="20"/>
              </w:rPr>
              <w:t xml:space="preserve">Complete</w:t>
            </w:r>
          </w:p>
        </w:tc>
      </w:tr>
      <w:tr>
        <w:tc>
          <w:tcPr>
            <w:tcW w:type="dxa" w:w="1000"/>
            <w:shd w:fill="F2F2F2" w:val="clear"/>
            <w:tcMar>
              <w:top w:type="dxa" w:w="80"/>
              <w:left w:type="dxa" w:w="100"/>
              <w:bottom w:type="dxa" w:w="80"/>
              <w:right w:type="dxa" w:w="100"/>
            </w:tcMar>
          </w:tcPr>
          <w:p>
            <w:r>
              <w:rPr>
                <w:b w:val="false"/>
                <w:bCs w:val="false"/>
                <w:color w:val="000000"/>
                <w:sz w:val="20"/>
                <w:szCs w:val="20"/>
              </w:rPr>
              <w:t xml:space="preserve">2</w:t>
            </w:r>
          </w:p>
        </w:tc>
        <w:tc>
          <w:tcPr>
            <w:tcW w:type="dxa" w:w="6600"/>
            <w:shd w:fill="F2F2F2" w:val="clear"/>
            <w:tcMar>
              <w:top w:type="dxa" w:w="80"/>
              <w:left w:type="dxa" w:w="100"/>
              <w:bottom w:type="dxa" w:w="80"/>
              <w:right w:type="dxa" w:w="100"/>
            </w:tcMar>
          </w:tcPr>
          <w:p>
            <w:r>
              <w:rPr>
                <w:b w:val="false"/>
                <w:bCs w:val="false"/>
                <w:color w:val="000000"/>
                <w:sz w:val="20"/>
                <w:szCs w:val="20"/>
              </w:rPr>
              <w:t xml:space="preserve">PyTorch port, real public dataset (BCI IV 2a), single-GPU validation</w:t>
            </w:r>
          </w:p>
        </w:tc>
        <w:tc>
          <w:tcPr>
            <w:tcW w:type="dxa" w:w="2760"/>
            <w:shd w:fill="F2F2F2" w:val="clear"/>
            <w:tcMar>
              <w:top w:type="dxa" w:w="80"/>
              <w:left w:type="dxa" w:w="100"/>
              <w:bottom w:type="dxa" w:w="80"/>
              <w:right w:type="dxa" w:w="100"/>
            </w:tcMar>
          </w:tcPr>
          <w:p>
            <w:r>
              <w:rPr>
                <w:b w:val="false"/>
                <w:bCs w:val="false"/>
                <w:color w:val="000000"/>
                <w:sz w:val="20"/>
                <w:szCs w:val="20"/>
              </w:rPr>
              <w:t xml:space="preserve">Code complete, not yet executed</w:t>
            </w:r>
          </w:p>
        </w:tc>
      </w:tr>
      <w:tr>
        <w:tc>
          <w:tcPr>
            <w:tcW w:type="dxa" w:w="1000"/>
            <w:shd w:fill="FFFFFF" w:val="clear"/>
            <w:tcMar>
              <w:top w:type="dxa" w:w="80"/>
              <w:left w:type="dxa" w:w="100"/>
              <w:bottom w:type="dxa" w:w="80"/>
              <w:right w:type="dxa" w:w="100"/>
            </w:tcMar>
          </w:tcPr>
          <w:p>
            <w:r>
              <w:rPr>
                <w:b w:val="false"/>
                <w:bCs w:val="false"/>
                <w:color w:val="000000"/>
                <w:sz w:val="20"/>
                <w:szCs w:val="20"/>
              </w:rPr>
              <w:t xml:space="preserve">3</w:t>
            </w:r>
          </w:p>
        </w:tc>
        <w:tc>
          <w:tcPr>
            <w:tcW w:type="dxa" w:w="6600"/>
            <w:shd w:fill="FFFFFF" w:val="clear"/>
            <w:tcMar>
              <w:top w:type="dxa" w:w="80"/>
              <w:left w:type="dxa" w:w="100"/>
              <w:bottom w:type="dxa" w:w="80"/>
              <w:right w:type="dxa" w:w="100"/>
            </w:tcMar>
          </w:tcPr>
          <w:p>
            <w:r>
              <w:rPr>
                <w:b w:val="false"/>
                <w:bCs w:val="false"/>
                <w:color w:val="000000"/>
                <w:sz w:val="20"/>
                <w:szCs w:val="20"/>
              </w:rPr>
              <w:t xml:space="preserve">Real foundation-model backbone, multi-dataset meta-training, benchmark vs. alternative methods</w:t>
            </w:r>
          </w:p>
        </w:tc>
        <w:tc>
          <w:tcPr>
            <w:tcW w:type="dxa" w:w="2760"/>
            <w:shd w:fill="FFFFFF" w:val="clear"/>
            <w:tcMar>
              <w:top w:type="dxa" w:w="80"/>
              <w:left w:type="dxa" w:w="100"/>
              <w:bottom w:type="dxa" w:w="80"/>
              <w:right w:type="dxa" w:w="100"/>
            </w:tcMar>
          </w:tcPr>
          <w:p>
            <w:r>
              <w:rPr>
                <w:b w:val="false"/>
                <w:bCs w:val="false"/>
                <w:color w:val="000000"/>
                <w:sz w:val="20"/>
                <w:szCs w:val="20"/>
              </w:rPr>
              <w:t xml:space="preserve">Not started</w:t>
            </w:r>
          </w:p>
        </w:tc>
      </w:tr>
      <w:tr>
        <w:tc>
          <w:tcPr>
            <w:tcW w:type="dxa" w:w="1000"/>
            <w:shd w:fill="F2F2F2" w:val="clear"/>
            <w:tcMar>
              <w:top w:type="dxa" w:w="80"/>
              <w:left w:type="dxa" w:w="100"/>
              <w:bottom w:type="dxa" w:w="80"/>
              <w:right w:type="dxa" w:w="100"/>
            </w:tcMar>
          </w:tcPr>
          <w:p>
            <w:r>
              <w:rPr>
                <w:b w:val="false"/>
                <w:bCs w:val="false"/>
                <w:color w:val="000000"/>
                <w:sz w:val="20"/>
                <w:szCs w:val="20"/>
              </w:rPr>
              <w:t xml:space="preserve">4</w:t>
            </w:r>
          </w:p>
        </w:tc>
        <w:tc>
          <w:tcPr>
            <w:tcW w:type="dxa" w:w="6600"/>
            <w:shd w:fill="F2F2F2" w:val="clear"/>
            <w:tcMar>
              <w:top w:type="dxa" w:w="80"/>
              <w:left w:type="dxa" w:w="100"/>
              <w:bottom w:type="dxa" w:w="80"/>
              <w:right w:type="dxa" w:w="100"/>
            </w:tcMar>
          </w:tcPr>
          <w:p>
            <w:r>
              <w:rPr>
                <w:b w:val="false"/>
                <w:bCs w:val="false"/>
                <w:color w:val="000000"/>
                <w:sz w:val="20"/>
                <w:szCs w:val="20"/>
              </w:rPr>
              <w:t xml:space="preserve">Edge/on-device calibration engineering, latency and privacy validation</w:t>
            </w:r>
          </w:p>
        </w:tc>
        <w:tc>
          <w:tcPr>
            <w:tcW w:type="dxa" w:w="2760"/>
            <w:shd w:fill="F2F2F2" w:val="clear"/>
            <w:tcMar>
              <w:top w:type="dxa" w:w="80"/>
              <w:left w:type="dxa" w:w="100"/>
              <w:bottom w:type="dxa" w:w="80"/>
              <w:right w:type="dxa" w:w="100"/>
            </w:tcMar>
          </w:tcPr>
          <w:p>
            <w:r>
              <w:rPr>
                <w:b w:val="false"/>
                <w:bCs w:val="false"/>
                <w:color w:val="000000"/>
                <w:sz w:val="20"/>
                <w:szCs w:val="20"/>
              </w:rPr>
              <w:t xml:space="preserve">Not started</w:t>
            </w:r>
          </w:p>
        </w:tc>
      </w:tr>
      <w:tr>
        <w:tc>
          <w:tcPr>
            <w:tcW w:type="dxa" w:w="1000"/>
            <w:shd w:fill="FFFFFF" w:val="clear"/>
            <w:tcMar>
              <w:top w:type="dxa" w:w="80"/>
              <w:left w:type="dxa" w:w="100"/>
              <w:bottom w:type="dxa" w:w="80"/>
              <w:right w:type="dxa" w:w="100"/>
            </w:tcMar>
          </w:tcPr>
          <w:p>
            <w:r>
              <w:rPr>
                <w:b w:val="false"/>
                <w:bCs w:val="false"/>
                <w:color w:val="000000"/>
                <w:sz w:val="20"/>
                <w:szCs w:val="20"/>
              </w:rPr>
              <w:t xml:space="preserve">5</w:t>
            </w:r>
          </w:p>
        </w:tc>
        <w:tc>
          <w:tcPr>
            <w:tcW w:type="dxa" w:w="6600"/>
            <w:shd w:fill="FFFFFF" w:val="clear"/>
            <w:tcMar>
              <w:top w:type="dxa" w:w="80"/>
              <w:left w:type="dxa" w:w="100"/>
              <w:bottom w:type="dxa" w:w="80"/>
              <w:right w:type="dxa" w:w="100"/>
            </w:tcMar>
          </w:tcPr>
          <w:p>
            <w:r>
              <w:rPr>
                <w:b w:val="false"/>
                <w:bCs w:val="false"/>
                <w:color w:val="000000"/>
                <w:sz w:val="20"/>
                <w:szCs w:val="20"/>
              </w:rPr>
              <w:t xml:space="preserve">Clinical/product integration, regulatory pathway (if applicable), pilot deployment</w:t>
            </w:r>
          </w:p>
        </w:tc>
        <w:tc>
          <w:tcPr>
            <w:tcW w:type="dxa" w:w="2760"/>
            <w:shd w:fill="FFFFFF" w:val="clear"/>
            <w:tcMar>
              <w:top w:type="dxa" w:w="80"/>
              <w:left w:type="dxa" w:w="100"/>
              <w:bottom w:type="dxa" w:w="80"/>
              <w:right w:type="dxa" w:w="100"/>
            </w:tcMar>
          </w:tcPr>
          <w:p>
            <w:r>
              <w:rPr>
                <w:b w:val="false"/>
                <w:bCs w:val="false"/>
                <w:color w:val="000000"/>
                <w:sz w:val="20"/>
                <w:szCs w:val="20"/>
              </w:rPr>
              <w:t xml:space="preserve">Not started</w:t>
            </w:r>
          </w:p>
        </w:tc>
      </w:tr>
    </w:tbl>
    <w:p>
      <w:r>
        <w:br w:type="page"/>
      </w:r>
    </w:p>
    <w:p>
      <w:pPr>
        <w:pStyle w:val="Heading1"/>
        <w:spacing w:after="160" w:before="360"/>
      </w:pPr>
      <w:r>
        <w:t xml:space="preserve">5. Applications</w:t>
      </w:r>
    </w:p>
    <w:p>
      <w:pPr>
        <w:spacing w:after="160"/>
        <w:jc w:val="both"/>
      </w:pPr>
      <w:r>
        <w:t xml:space="preserve">Fast, few-shot calibration is a horizontal enabling capability — it does not by itself define a product, but it removes a specific friction point across several existing BCI use categories:</w:t>
      </w:r>
    </w:p>
    <w:p>
      <w:pPr>
        <w:pStyle w:val="Heading2"/>
        <w:spacing w:after="120" w:before="280"/>
      </w:pPr>
      <w:r>
        <w:t xml:space="preserve">5.1 Medical and clinical</w:t>
      </w:r>
    </w:p>
    <w:p>
      <w:pPr>
        <w:pStyle w:val="ListParagraph"/>
        <w:numPr>
          <w:ilvl w:val="0"/>
          <w:numId w:val="2"/>
        </w:numPr>
        <w:spacing w:after="90"/>
      </w:pPr>
      <w:r>
        <w:t xml:space="preserve">Assistive communication for people with severe motor impairment (ALS, locked-in syndrome, high spinal cord injury), where a shorter, less physically demanding calibration session directly improves accessibility.</w:t>
      </w:r>
    </w:p>
    <w:p>
      <w:pPr>
        <w:pStyle w:val="ListParagraph"/>
        <w:numPr>
          <w:ilvl w:val="0"/>
          <w:numId w:val="2"/>
        </w:numPr>
        <w:spacing w:after="90"/>
      </w:pPr>
      <w:r>
        <w:t xml:space="preserve">Stroke and motor rehabilitation, where BCI-driven neurofeedback is used across many sessions with the same patient — cross-session recalibration is exactly the problem this project targets.</w:t>
      </w:r>
    </w:p>
    <w:p>
      <w:pPr>
        <w:pStyle w:val="ListParagraph"/>
        <w:numPr>
          <w:ilvl w:val="0"/>
          <w:numId w:val="2"/>
        </w:numPr>
        <w:spacing w:after="90"/>
      </w:pPr>
      <w:r>
        <w:t xml:space="preserve">Epilepsy and neurological monitoring, and early screening for neurological/psychiatric conditions, an area where EEG foundation models (e.g., MANAS-1) are already being positioned commercially.</w:t>
      </w:r>
    </w:p>
    <w:p>
      <w:pPr>
        <w:pStyle w:val="Heading2"/>
        <w:spacing w:after="120" w:before="280"/>
      </w:pPr>
      <w:r>
        <w:t xml:space="preserve">5.2 Assistive robotics and communication devices</w:t>
      </w:r>
    </w:p>
    <w:p>
      <w:pPr>
        <w:pStyle w:val="ListParagraph"/>
        <w:numPr>
          <w:ilvl w:val="0"/>
          <w:numId w:val="2"/>
        </w:numPr>
        <w:spacing w:after="90"/>
      </w:pPr>
      <w:r>
        <w:t xml:space="preserve">BCI-controlled wheelchairs and prosthetics, and brain-to-text/speech communication devices (companies such as Cognixion are active in this space), where per-user setup time is a direct adoption barrier.</w:t>
      </w:r>
    </w:p>
    <w:p>
      <w:pPr>
        <w:pStyle w:val="Heading2"/>
        <w:spacing w:after="120" w:before="280"/>
      </w:pPr>
      <w:r>
        <w:t xml:space="preserve">5.3 Consumer neurotechnology</w:t>
      </w:r>
    </w:p>
    <w:p>
      <w:pPr>
        <w:pStyle w:val="ListParagraph"/>
        <w:numPr>
          <w:ilvl w:val="0"/>
          <w:numId w:val="2"/>
        </w:numPr>
        <w:spacing w:after="90"/>
      </w:pPr>
      <w:r>
        <w:t xml:space="preserve">Wellness and meditation headsets, focus/productivity tools, and neurofeedback wearables (Muse, Emotiv, Neurable and similar) — the segment where the “10–20 minute calibration barrier” is most explicitly cited as a consumer-usability blocker.</w:t>
      </w:r>
    </w:p>
    <w:p>
      <w:pPr>
        <w:pStyle w:val="ListParagraph"/>
        <w:numPr>
          <w:ilvl w:val="0"/>
          <w:numId w:val="2"/>
        </w:numPr>
        <w:spacing w:after="90"/>
      </w:pPr>
      <w:r>
        <w:t xml:space="preserve">Gaming and human-computer interaction, where BCI has historically struggled to move past research demos partly because per-user calibration is impractical for a mass-market product.</w:t>
      </w:r>
    </w:p>
    <w:p>
      <w:pPr>
        <w:pStyle w:val="Heading2"/>
        <w:spacing w:after="120" w:before="280"/>
      </w:pPr>
      <w:r>
        <w:t xml:space="preserve">5.4 Research and industrial</w:t>
      </w:r>
    </w:p>
    <w:p>
      <w:pPr>
        <w:pStyle w:val="ListParagraph"/>
        <w:numPr>
          <w:ilvl w:val="0"/>
          <w:numId w:val="2"/>
        </w:numPr>
        <w:spacing w:after="90"/>
      </w:pPr>
      <w:r>
        <w:t xml:space="preserve">Academic and clinical neuroscience research, where reducing per-subject calibration time lowers the cost of running larger studies.</w:t>
      </w:r>
    </w:p>
    <w:p>
      <w:pPr>
        <w:pStyle w:val="ListParagraph"/>
        <w:numPr>
          <w:ilvl w:val="0"/>
          <w:numId w:val="2"/>
        </w:numPr>
        <w:spacing w:after="90"/>
      </w:pPr>
      <w:r>
        <w:t xml:space="preserve">Operator state monitoring (fatigue/attention) in safety-critical settings such as driving and aviation, an application area with a lower bar for accuracy than communication BCIs but real commercial interest.</w:t>
      </w:r>
    </w:p>
    <w:p>
      <w:pPr>
        <w:pStyle w:val="Heading1"/>
        <w:spacing w:after="160" w:before="360"/>
      </w:pPr>
      <w:r>
        <w:t xml:space="preserve">6. Does It Have a Market?</w:t>
      </w:r>
    </w:p>
    <w:p>
      <w:pPr>
        <w:spacing w:after="160"/>
        <w:jc w:val="both"/>
      </w:pPr>
      <w:r>
        <w:t xml:space="preserve">Yes, in the sense that both the surrounding BCI market and the specific calibration problem are established, not speculative. The nuance is where in the value chain this technology sits.</w:t>
      </w:r>
    </w:p>
    <w:p>
      <w:pPr>
        <w:pStyle w:val="Heading2"/>
        <w:spacing w:after="120" w:before="280"/>
      </w:pPr>
      <w:r>
        <w:t xml:space="preserve">6.1 Overall BCI market size</w:t>
      </w:r>
    </w:p>
    <w:p>
      <w:pPr>
        <w:spacing w:after="160"/>
        <w:jc w:val="both"/>
      </w:pPr>
      <w:r>
        <w:t xml:space="preserve">Market research firms report a wide range of 2026 BCI market size estimates — from roughly $2.6–$3.75 billion, depending on methodology and scope — growing at a consistently cited 14–17% compound annual growth rate through the early-to-mid 2030s, reaching an estimated $10–14 billion by 2033–2035 across multiple independent reports. North America holds an estimated 40.8% share in 2026. Growth is attributed to rising prevalence of neurological disorders, expanding academic and clinical research programs, and improving signal-acquisition hardware.</w:t>
      </w:r>
    </w:p>
    <w:p>
      <w:pPr>
        <w:pStyle w:val="Heading2"/>
        <w:spacing w:after="120" w:before="280"/>
      </w:pPr>
      <w:r>
        <w:t xml:space="preserve">6.2 The specific sub-segment this project targets</w:t>
      </w:r>
    </w:p>
    <w:p>
      <w:pPr>
        <w:spacing w:after="160"/>
        <w:jc w:val="both"/>
      </w:pPr>
      <w:r>
        <w:t xml:space="preserve">EEG foundation models and adaptation/calibration software are an emerging, currently small but active sub-segment. Concrete, current signals of commercial interest:</w:t>
      </w:r>
    </w:p>
    <w:p>
      <w:pPr>
        <w:pStyle w:val="ListParagraph"/>
        <w:numPr>
          <w:ilvl w:val="0"/>
          <w:numId w:val="2"/>
        </w:numPr>
        <w:spacing w:after="90"/>
      </w:pPr>
      <w:r>
        <w:t xml:space="preserve">Firefly Neuroscience — reported over 20× expansion of commercial footprint and 33× growth in EEG/ERP scan volume, actively progressing toward commercial launch of an EEG foundation model.</w:t>
      </w:r>
    </w:p>
    <w:p>
      <w:pPr>
        <w:pStyle w:val="ListParagraph"/>
        <w:numPr>
          <w:ilvl w:val="0"/>
          <w:numId w:val="2"/>
        </w:numPr>
        <w:spacing w:after="90"/>
      </w:pPr>
      <w:r>
        <w:t xml:space="preserve">Intellihealth (MANAS-1) — an EEG foundation model trained on 60,000 hours of data from 25,000+ patients, positioned for scalable neurological/psychiatric screening.</w:t>
      </w:r>
    </w:p>
    <w:p>
      <w:pPr>
        <w:pStyle w:val="ListParagraph"/>
        <w:numPr>
          <w:ilvl w:val="0"/>
          <w:numId w:val="2"/>
        </w:numPr>
        <w:spacing w:after="90"/>
      </w:pPr>
      <w:r>
        <w:t xml:space="preserve">Egra — an early-stage startup that raised $5.5M specifically to build EEG foundation models.</w:t>
      </w:r>
    </w:p>
    <w:p>
      <w:pPr>
        <w:pStyle w:val="ListParagraph"/>
        <w:numPr>
          <w:ilvl w:val="0"/>
          <w:numId w:val="2"/>
        </w:numPr>
        <w:spacing w:after="90"/>
      </w:pPr>
      <w:r>
        <w:t xml:space="preserve">Neurable — pursuing a licensing model, offering its BCI/AI stack to consumer-wearable companies rather than only selling its own hardware — a plausible commercial template for a calibration/adaptation layer specifically.</w:t>
      </w:r>
    </w:p>
    <w:p>
      <w:pPr>
        <w:pStyle w:val="Heading2"/>
        <w:spacing w:after="120" w:before="280"/>
      </w:pPr>
      <w:r>
        <w:t xml:space="preserve">6.3 Company landscape (for context)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Category</w:t>
            </w:r>
          </w:p>
        </w:tc>
        <w:tc>
          <w:tcPr>
            <w:tcW w:type="dxa" w:w="6200"/>
            <w:shd w:fill="1F3864" w:val="clear"/>
            <w:tcMar>
              <w:top w:type="dxa" w:w="80"/>
              <w:left w:type="dxa" w:w="100"/>
              <w:bottom w:type="dxa" w:w="80"/>
              <w:right w:type="dxa" w:w="100"/>
            </w:tcMar>
          </w:tcPr>
          <w:p>
            <w:r>
              <w:rPr>
                <w:b/>
                <w:bCs/>
                <w:color w:val="FFFFFF"/>
                <w:sz w:val="20"/>
                <w:szCs w:val="20"/>
              </w:rPr>
              <w:t xml:space="preserve">Representative companies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Invasive BCI</w:t>
            </w:r>
          </w:p>
        </w:tc>
        <w:tc>
          <w:tcPr>
            <w:tcW w:type="dxa" w:w="6200"/>
            <w:shd w:fill="FFFFFF" w:val="clear"/>
            <w:tcMar>
              <w:top w:type="dxa" w:w="80"/>
              <w:left w:type="dxa" w:w="100"/>
              <w:bottom w:type="dxa" w:w="80"/>
              <w:right w:type="dxa" w:w="100"/>
            </w:tcMar>
          </w:tcPr>
          <w:p>
            <w:r>
              <w:rPr>
                <w:b w:val="false"/>
                <w:bCs w:val="false"/>
                <w:color w:val="000000"/>
                <w:sz w:val="20"/>
                <w:szCs w:val="20"/>
              </w:rPr>
              <w:t xml:space="preserve">Neuralink, Synchron, Blackrock Neurotech, Precision Neuroscience, Paradromics</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Non-invasive consumer/clinical BCI hardware</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Emotiv, OpenBCI, Neurable, Muse (InteraXon), NeuroSky, BrainCo</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EEG foundation-model / AI layer</w:t>
            </w:r>
          </w:p>
        </w:tc>
        <w:tc>
          <w:tcPr>
            <w:tcW w:type="dxa" w:w="6200"/>
            <w:shd w:fill="FFFFFF" w:val="clear"/>
            <w:tcMar>
              <w:top w:type="dxa" w:w="80"/>
              <w:left w:type="dxa" w:w="100"/>
              <w:bottom w:type="dxa" w:w="80"/>
              <w:right w:type="dxa" w:w="100"/>
            </w:tcMar>
          </w:tcPr>
          <w:p>
            <w:r>
              <w:rPr>
                <w:b w:val="false"/>
                <w:bCs w:val="false"/>
                <w:color w:val="000000"/>
                <w:sz w:val="20"/>
                <w:szCs w:val="20"/>
              </w:rPr>
              <w:t xml:space="preserve">Firefly Neuroscience, Intellihealth (MANAS-1), Egra</w:t>
            </w:r>
          </w:p>
        </w:tc>
      </w:tr>
    </w:tbl>
    <w:p>
      <w:pPr>
        <w:pStyle w:val="Heading2"/>
        <w:spacing w:after="120" w:before="280"/>
      </w:pPr>
      <w:r>
        <w:t xml:space="preserve">6.4 Honest positioning</w:t>
      </w:r>
    </w:p>
    <w:p>
      <w:pPr>
        <w:spacing w:after="160"/>
        <w:jc w:val="both"/>
      </w:pPr>
      <w:r>
        <w:t xml:space="preserve">This project is not a device and not a dataset — it is calibration/adaptation methodology and, potentially, software IP. That shapes how it would realistically reach a market:</w:t>
      </w:r>
    </w:p>
    <w:p>
      <w:pPr>
        <w:pStyle w:val="ListParagraph"/>
        <w:numPr>
          <w:ilvl w:val="0"/>
          <w:numId w:val="2"/>
        </w:numPr>
        <w:spacing w:after="90"/>
      </w:pPr>
      <w:r>
        <w:t xml:space="preserve">Most plausible path: B2B licensing or integration into an existing BCI hardware company's software stack or an EEG-foundation-model platform, similar to Neurable's stated licensing strategy, rather than a standalone consumer product.</w:t>
      </w:r>
    </w:p>
    <w:p>
      <w:pPr>
        <w:pStyle w:val="ListParagraph"/>
        <w:numPr>
          <w:ilvl w:val="0"/>
          <w:numId w:val="2"/>
        </w:numPr>
        <w:spacing w:after="90"/>
      </w:pPr>
      <w:r>
        <w:t xml:space="preserve">The problem it solves is validated and named in the literature as the largest remaining usability obstacle for consumer BCI — that is a real, not hypothetical, pain point.</w:t>
      </w:r>
    </w:p>
    <w:p>
      <w:pPr>
        <w:pStyle w:val="ListParagraph"/>
        <w:numPr>
          <w:ilvl w:val="0"/>
          <w:numId w:val="2"/>
        </w:numPr>
        <w:spacing w:after="90"/>
      </w:pPr>
      <w:r>
        <w:t xml:space="preserve">The competitive field for solving that specific problem is active and not yet settled: Riemannian-alignment methods, subject-invariant feature learning, and prompt-learning approaches are all being published in the same 2025–2026 window as alternative solutions. This project's specific approach has not yet been benchmarked against them, which is the key open question before making any stronger market claim.</w:t>
      </w:r>
    </w:p>
    <w:p>
      <w:pPr>
        <w:pStyle w:val="ListParagraph"/>
        <w:numPr>
          <w:ilvl w:val="0"/>
          <w:numId w:val="2"/>
        </w:numPr>
        <w:spacing w:after="90"/>
      </w:pPr>
      <w:r>
        <w:t xml:space="preserve">Value capture for a pure software/calibration layer in this market is less proven than for hardware; the realistic near-term outcome is technical differentiation and partnership leverage, not a standalone revenue line, until validated at Phase 2–3 scale (Section 4.5).</w:t>
      </w:r>
    </w:p>
    <w:p>
      <w:pPr>
        <w:pStyle w:val="Heading1"/>
        <w:spacing w:after="160" w:before="360"/>
      </w:pPr>
      <w:r>
        <w:t xml:space="preserve">7. Conclusion</w:t>
      </w:r>
    </w:p>
    <w:p>
      <w:pPr>
        <w:spacing w:after="160"/>
        <w:jc w:val="both"/>
      </w:pPr>
      <w:r>
        <w:t xml:space="preserve">The project has produced a working, tested, end-to-end demonstration that a meta-learned LoRA initialization calibrates faster and more reliably than a randomly-initialized one, on a synthetic but structurally realistic version of the BCI cross-subject/cross-session problem, plus a code-complete PyTorch pipeline ready to test the same claim on real public EEG data. The problem it targets is well-documented and commercially recognized; the immediate next step — running the real-data pipeline and confirming the effect survives — is the single most important gate before any further scaling, product, or market discussion is worth taking further.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864"/>
      <w:sz w:val="56"/>
      <w:szCs w:val="56"/>
    </w:rPr>
  </w:style>
  <w:style w:type="paragraph" w:styleId="Subtitle">
    <w:name w:val="Subtitle"/>
    <w:basedOn w:val="Normal"/>
    <w:next w:val="Normal"/>
    <w:pPr>
      <w:spacing w:after="60"/>
    </w:pPr>
    <w:rPr>
      <w:i/>
      <w:i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2026-07-30T08:17:01.449Z</dcterms:created>
  <dcterms:modified xsi:type="dcterms:W3CDTF">2026-07-30T08:17:01.449Z</dcterms:modified>
</cp:coreProperties>
</file>

<file path=docProps/custom.xml><?xml version="1.0" encoding="utf-8"?>
<Properties xmlns="http://schemas.openxmlformats.org/officeDocument/2006/custom-properties" xmlns:vt="http://schemas.openxmlformats.org/officeDocument/2006/docPropsVTypes"/>
</file>