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A376C"/>
          <w:sz w:val="56"/>
        </w:rPr>
        <w:t>OFFRE COMMERCIALE</w:t>
      </w:r>
    </w:p>
    <w:p/>
    <w:p>
      <w:pPr>
        <w:jc w:val="center"/>
      </w:pPr>
      <w:r>
        <w:rPr>
          <w:rFonts w:ascii="Calibri" w:hAnsi="Calibri"/>
          <w:b/>
          <w:i w:val="0"/>
          <w:color w:val="1F6FB8"/>
          <w:sz w:val="32"/>
        </w:rPr>
        <w:t>Plateforme ERP de Gestion de Projets &amp; Administration</w:t>
      </w:r>
    </w:p>
    <w:p/>
    <w:p/>
    <w:p>
      <w:pPr>
        <w:jc w:val="center"/>
        <w:pBdr>
          <w:top w:val="single" w:sz="12" w:space="4" w:color="E86C1E"/>
          <w:bottom w:val="single" w:sz="12" w:space="4" w:color="E86C1E"/>
        </w:pBdr>
      </w:pPr>
      <w:r>
        <w:rPr>
          <w:rFonts w:ascii="Calibri" w:hAnsi="Calibri"/>
          <w:b w:val="0"/>
          <w:i/>
          <w:color w:val="E86C1E"/>
          <w:sz w:val="24"/>
        </w:rPr>
        <w:t>Solution intégrée · 18 modules · Sécurité renforcée · IA embarquée</w:t>
      </w:r>
    </w:p>
    <w:p/>
    <w:p/>
    <w:p/>
    <w:p/>
    <w:p/>
    <w:p/>
    <w:p>
      <w:pPr>
        <w:jc w:val="right"/>
      </w:pPr>
      <w:r>
        <w:rPr>
          <w:rFonts w:ascii="Calibri" w:hAnsi="Calibri"/>
          <w:b/>
          <w:i w:val="0"/>
          <w:color w:val="1A376C"/>
          <w:sz w:val="22"/>
        </w:rPr>
        <w:t xml:space="preserve">Référence : </w:t>
      </w:r>
      <w:r>
        <w:rPr>
          <w:rFonts w:ascii="Calibri" w:hAnsi="Calibri"/>
          <w:b w:val="0"/>
          <w:i w:val="0"/>
          <w:color w:val="1F6FB8"/>
          <w:sz w:val="22"/>
        </w:rPr>
        <w:t>OC-2026-001</w:t>
      </w:r>
    </w:p>
    <w:p>
      <w:pPr>
        <w:jc w:val="right"/>
      </w:pPr>
      <w:r>
        <w:rPr>
          <w:rFonts w:ascii="Calibri" w:hAnsi="Calibri"/>
          <w:b/>
          <w:i w:val="0"/>
          <w:color w:val="1A376C"/>
          <w:sz w:val="22"/>
        </w:rPr>
        <w:t xml:space="preserve">Date : </w:t>
      </w:r>
      <w:r>
        <w:rPr>
          <w:rFonts w:ascii="Calibri" w:hAnsi="Calibri"/>
          <w:b w:val="0"/>
          <w:i w:val="0"/>
          <w:color w:val="1F6FB8"/>
          <w:sz w:val="22"/>
        </w:rPr>
        <w:t>13 juin 2026</w:t>
      </w:r>
    </w:p>
    <w:p>
      <w:pPr>
        <w:jc w:val="right"/>
      </w:pPr>
      <w:r>
        <w:rPr>
          <w:rFonts w:ascii="Calibri" w:hAnsi="Calibri"/>
          <w:b/>
          <w:i w:val="0"/>
          <w:color w:val="1A376C"/>
          <w:sz w:val="22"/>
        </w:rPr>
        <w:t xml:space="preserve">Validité : </w:t>
      </w:r>
      <w:r>
        <w:rPr>
          <w:rFonts w:ascii="Calibri" w:hAnsi="Calibri"/>
          <w:b w:val="0"/>
          <w:i w:val="0"/>
          <w:color w:val="1F6FB8"/>
          <w:sz w:val="22"/>
        </w:rPr>
        <w:t>30 jours</w:t>
      </w:r>
    </w:p>
    <w:p>
      <w:pPr>
        <w:jc w:val="right"/>
      </w:pPr>
      <w:r>
        <w:rPr>
          <w:rFonts w:ascii="Calibri" w:hAnsi="Calibri"/>
          <w:b/>
          <w:i w:val="0"/>
          <w:color w:val="1A376C"/>
          <w:sz w:val="22"/>
        </w:rPr>
        <w:t xml:space="preserve">Contact : </w:t>
      </w:r>
      <w:r>
        <w:rPr>
          <w:rFonts w:ascii="Calibri" w:hAnsi="Calibri"/>
          <w:b w:val="0"/>
          <w:i w:val="0"/>
          <w:color w:val="1F6FB8"/>
          <w:sz w:val="22"/>
        </w:rPr>
        <w:t>franckalain.ai@gmail.com</w:t>
      </w:r>
    </w:p>
    <w:p>
      <w:r>
        <w:br w:type="page"/>
      </w:r>
    </w:p>
    <w:p>
      <w:pPr>
        <w:spacing w:before="280" w:after="80"/>
        <w:pBdr>
          <w:bottom w:val="single" w:sz="6" w:space="4" w:color="1F6FB8"/>
        </w:pBdr>
      </w:pPr>
      <w:r>
        <w:rPr>
          <w:rFonts w:ascii="Calibri" w:hAnsi="Calibri"/>
          <w:b/>
          <w:i w:val="0"/>
          <w:color w:val="1A376C"/>
          <w:sz w:val="28"/>
        </w:rPr>
        <w:t>1.  PRÉSENTATION</w:t>
      </w:r>
    </w:p>
    <w:p>
      <w:pPr>
        <w:spacing w:after="120"/>
      </w:pPr>
      <w:r>
        <w:rPr>
          <w:rFonts w:ascii="Calibri" w:hAnsi="Calibri"/>
          <w:b w:val="0"/>
          <w:i w:val="0"/>
          <w:sz w:val="22"/>
        </w:rPr>
        <w:t>Nous avons le plaisir de vous soumettre cette offre pour la mise en place d'une plateforme ERP intégrée de gestion de projets et d'administration, développée sur mesure pour répondre aux exigences des organisations publiques et privées gérant des portefeuilles de projets complexes.</w:t>
        <w:br/>
        <w:br/>
        <w:t>Cette solution couvre l'intégralité du cycle de vie des projets : de la gouvernance stratégique jusqu'au suivi-évaluation sur le terrain, en passant par la gestion financière, documentaire, RH et logistique.</w:t>
      </w:r>
    </w:p>
    <w:p>
      <w:pPr>
        <w:spacing w:before="280" w:after="80"/>
        <w:pBdr>
          <w:bottom w:val="single" w:sz="6" w:space="4" w:color="1F6FB8"/>
        </w:pBdr>
      </w:pPr>
      <w:r>
        <w:rPr>
          <w:rFonts w:ascii="Calibri" w:hAnsi="Calibri"/>
          <w:b/>
          <w:i w:val="0"/>
          <w:color w:val="1A376C"/>
          <w:sz w:val="28"/>
        </w:rPr>
        <w:t>2.  MODULES FONCTIONNELS</w:t>
      </w:r>
    </w:p>
    <w:p>
      <w:pPr>
        <w:spacing w:before="200" w:after="40"/>
      </w:pPr>
      <w:r>
        <w:rPr>
          <w:rFonts w:ascii="Calibri" w:hAnsi="Calibri"/>
          <w:b/>
          <w:i w:val="0"/>
          <w:color w:val="1F6FB8"/>
          <w:sz w:val="22"/>
        </w:rPr>
        <w:t>PILIER 1 — Gestion des Programmes &amp; Projets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Gouvernance</w:t>
            </w:r>
          </w:p>
        </w:tc>
        <w:tc>
          <w:tcPr>
            <w:tcW w:type="dxa" w:w="6803"/>
            <w:shd w:val="clear" w:color="auto" w:fill="F5F5F5"/>
          </w:tcPr>
          <w:p>
            <w:pPr>
              <w:jc w:val="left"/>
            </w:pPr>
            <w:r>
              <w:rPr>
                <w:rFonts w:ascii="Calibri" w:hAnsi="Calibri"/>
                <w:b w:val="0"/>
                <w:i w:val="0"/>
                <w:sz w:val="19"/>
              </w:rPr>
              <w:t>Pilotage stratégique, comités de direction, tableaux de bord décisionnels</w:t>
            </w:r>
          </w:p>
        </w:tc>
      </w:tr>
      <w:tr>
        <w:tc>
          <w:tcPr>
            <w:tcW w:type="dxa" w:w="2835"/>
            <w:shd w:val="clear" w:color="auto" w:fill="FFFFFF"/>
          </w:tcPr>
          <w:p>
            <w:pPr>
              <w:jc w:val="left"/>
            </w:pPr>
            <w:r>
              <w:rPr>
                <w:rFonts w:ascii="Calibri" w:hAnsi="Calibri"/>
                <w:b w:val="0"/>
                <w:i w:val="0"/>
                <w:sz w:val="19"/>
              </w:rPr>
              <w:t>Programmes &amp; Projets</w:t>
            </w:r>
          </w:p>
        </w:tc>
        <w:tc>
          <w:tcPr>
            <w:tcW w:type="dxa" w:w="6803"/>
            <w:shd w:val="clear" w:color="auto" w:fill="FFFFFF"/>
          </w:tcPr>
          <w:p>
            <w:pPr>
              <w:jc w:val="left"/>
            </w:pPr>
            <w:r>
              <w:rPr>
                <w:rFonts w:ascii="Calibri" w:hAnsi="Calibri"/>
                <w:b w:val="0"/>
                <w:i w:val="0"/>
                <w:sz w:val="19"/>
              </w:rPr>
              <w:t>Création et suivi de portefeuille projets, jalons, livrables</w:t>
            </w:r>
          </w:p>
        </w:tc>
      </w:tr>
      <w:tr>
        <w:tc>
          <w:tcPr>
            <w:tcW w:type="dxa" w:w="2835"/>
            <w:shd w:val="clear" w:color="auto" w:fill="F5F5F5"/>
          </w:tcPr>
          <w:p>
            <w:pPr>
              <w:jc w:val="left"/>
            </w:pPr>
            <w:r>
              <w:rPr>
                <w:rFonts w:ascii="Calibri" w:hAnsi="Calibri"/>
                <w:b w:val="0"/>
                <w:i w:val="0"/>
                <w:sz w:val="19"/>
              </w:rPr>
              <w:t>Planification</w:t>
            </w:r>
          </w:p>
        </w:tc>
        <w:tc>
          <w:tcPr>
            <w:tcW w:type="dxa" w:w="6803"/>
            <w:shd w:val="clear" w:color="auto" w:fill="F5F5F5"/>
          </w:tcPr>
          <w:p>
            <w:pPr>
              <w:jc w:val="left"/>
            </w:pPr>
            <w:r>
              <w:rPr>
                <w:rFonts w:ascii="Calibri" w:hAnsi="Calibri"/>
                <w:b w:val="0"/>
                <w:i w:val="0"/>
                <w:sz w:val="19"/>
              </w:rPr>
              <w:t>Gantt, affectation des ressources, budgets prévisionnels</w:t>
            </w:r>
          </w:p>
        </w:tc>
      </w:tr>
      <w:tr>
        <w:tc>
          <w:tcPr>
            <w:tcW w:type="dxa" w:w="2835"/>
            <w:shd w:val="clear" w:color="auto" w:fill="FFFFFF"/>
          </w:tcPr>
          <w:p>
            <w:pPr>
              <w:jc w:val="left"/>
            </w:pPr>
            <w:r>
              <w:rPr>
                <w:rFonts w:ascii="Calibri" w:hAnsi="Calibri"/>
                <w:b w:val="0"/>
                <w:i w:val="0"/>
                <w:sz w:val="19"/>
              </w:rPr>
              <w:t>Exécution</w:t>
            </w:r>
          </w:p>
        </w:tc>
        <w:tc>
          <w:tcPr>
            <w:tcW w:type="dxa" w:w="6803"/>
            <w:shd w:val="clear" w:color="auto" w:fill="FFFFFF"/>
          </w:tcPr>
          <w:p>
            <w:pPr>
              <w:jc w:val="left"/>
            </w:pPr>
            <w:r>
              <w:rPr>
                <w:rFonts w:ascii="Calibri" w:hAnsi="Calibri"/>
                <w:b w:val="0"/>
                <w:i w:val="0"/>
                <w:sz w:val="19"/>
              </w:rPr>
              <w:t>Suivi des tâches, avancement, alertes automatiques</w:t>
            </w:r>
          </w:p>
        </w:tc>
      </w:tr>
      <w:tr>
        <w:tc>
          <w:tcPr>
            <w:tcW w:type="dxa" w:w="2835"/>
            <w:shd w:val="clear" w:color="auto" w:fill="F5F5F5"/>
          </w:tcPr>
          <w:p>
            <w:pPr>
              <w:jc w:val="left"/>
            </w:pPr>
            <w:r>
              <w:rPr>
                <w:rFonts w:ascii="Calibri" w:hAnsi="Calibri"/>
                <w:b w:val="0"/>
                <w:i w:val="0"/>
                <w:sz w:val="19"/>
              </w:rPr>
              <w:t>Suivi &amp; Évaluation</w:t>
            </w:r>
          </w:p>
        </w:tc>
        <w:tc>
          <w:tcPr>
            <w:tcW w:type="dxa" w:w="6803"/>
            <w:shd w:val="clear" w:color="auto" w:fill="F5F5F5"/>
          </w:tcPr>
          <w:p>
            <w:pPr>
              <w:jc w:val="left"/>
            </w:pPr>
            <w:r>
              <w:rPr>
                <w:rFonts w:ascii="Calibri" w:hAnsi="Calibri"/>
                <w:b w:val="0"/>
                <w:i w:val="0"/>
                <w:sz w:val="19"/>
              </w:rPr>
              <w:t>Indicateurs de performance (KPI), rapports de progression</w:t>
            </w:r>
          </w:p>
        </w:tc>
      </w:tr>
    </w:tbl>
    <w:p/>
    <w:p>
      <w:pPr>
        <w:spacing w:before="200" w:after="40"/>
      </w:pPr>
      <w:r>
        <w:rPr>
          <w:rFonts w:ascii="Calibri" w:hAnsi="Calibri"/>
          <w:b/>
          <w:i w:val="0"/>
          <w:color w:val="1F6FB8"/>
          <w:sz w:val="22"/>
        </w:rPr>
        <w:t>PILIER 2 — Gestion Financière &amp; Marchés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Gestion Financière</w:t>
            </w:r>
          </w:p>
        </w:tc>
        <w:tc>
          <w:tcPr>
            <w:tcW w:type="dxa" w:w="6803"/>
            <w:shd w:val="clear" w:color="auto" w:fill="F5F5F5"/>
          </w:tcPr>
          <w:p>
            <w:pPr>
              <w:jc w:val="left"/>
            </w:pPr>
            <w:r>
              <w:rPr>
                <w:rFonts w:ascii="Calibri" w:hAnsi="Calibri"/>
                <w:b w:val="0"/>
                <w:i w:val="0"/>
                <w:sz w:val="19"/>
              </w:rPr>
              <w:t>Comptabilité analytique, décaissements, états financiers</w:t>
            </w:r>
          </w:p>
        </w:tc>
      </w:tr>
      <w:tr>
        <w:tc>
          <w:tcPr>
            <w:tcW w:type="dxa" w:w="2835"/>
            <w:shd w:val="clear" w:color="auto" w:fill="FFFFFF"/>
          </w:tcPr>
          <w:p>
            <w:pPr>
              <w:jc w:val="left"/>
            </w:pPr>
            <w:r>
              <w:rPr>
                <w:rFonts w:ascii="Calibri" w:hAnsi="Calibri"/>
                <w:b w:val="0"/>
                <w:i w:val="0"/>
                <w:sz w:val="19"/>
              </w:rPr>
              <w:t>Marchés Publics</w:t>
            </w:r>
          </w:p>
        </w:tc>
        <w:tc>
          <w:tcPr>
            <w:tcW w:type="dxa" w:w="6803"/>
            <w:shd w:val="clear" w:color="auto" w:fill="FFFFFF"/>
          </w:tcPr>
          <w:p>
            <w:pPr>
              <w:jc w:val="left"/>
            </w:pPr>
            <w:r>
              <w:rPr>
                <w:rFonts w:ascii="Calibri" w:hAnsi="Calibri"/>
                <w:b w:val="0"/>
                <w:i w:val="0"/>
                <w:sz w:val="19"/>
              </w:rPr>
              <w:t>Appels d'offres, dépouillement, contrats, suivi des marchés</w:t>
            </w:r>
          </w:p>
        </w:tc>
      </w:tr>
      <w:tr>
        <w:tc>
          <w:tcPr>
            <w:tcW w:type="dxa" w:w="2835"/>
            <w:shd w:val="clear" w:color="auto" w:fill="F5F5F5"/>
          </w:tcPr>
          <w:p>
            <w:pPr>
              <w:jc w:val="left"/>
            </w:pPr>
            <w:r>
              <w:rPr>
                <w:rFonts w:ascii="Calibri" w:hAnsi="Calibri"/>
                <w:b w:val="0"/>
                <w:i w:val="0"/>
                <w:sz w:val="19"/>
              </w:rPr>
              <w:t>Partenaires &amp; Bailleurs</w:t>
            </w:r>
          </w:p>
        </w:tc>
        <w:tc>
          <w:tcPr>
            <w:tcW w:type="dxa" w:w="6803"/>
            <w:shd w:val="clear" w:color="auto" w:fill="F5F5F5"/>
          </w:tcPr>
          <w:p>
            <w:pPr>
              <w:jc w:val="left"/>
            </w:pPr>
            <w:r>
              <w:rPr>
                <w:rFonts w:ascii="Calibri" w:hAnsi="Calibri"/>
                <w:b w:val="0"/>
                <w:i w:val="0"/>
                <w:sz w:val="19"/>
              </w:rPr>
              <w:t>Gestion des conventions, rapports bailleurs, tableaux de flux</w:t>
            </w:r>
          </w:p>
        </w:tc>
      </w:tr>
    </w:tbl>
    <w:p/>
    <w:p>
      <w:pPr>
        <w:spacing w:before="200" w:after="40"/>
      </w:pPr>
      <w:r>
        <w:rPr>
          <w:rFonts w:ascii="Calibri" w:hAnsi="Calibri"/>
          <w:b/>
          <w:i w:val="0"/>
          <w:color w:val="1F6FB8"/>
          <w:sz w:val="22"/>
        </w:rPr>
        <w:t>PILIER 3 — Administration &amp; Courrier</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Courrier Administratif</w:t>
            </w:r>
          </w:p>
        </w:tc>
        <w:tc>
          <w:tcPr>
            <w:tcW w:type="dxa" w:w="6803"/>
            <w:shd w:val="clear" w:color="auto" w:fill="F5F5F5"/>
          </w:tcPr>
          <w:p>
            <w:pPr>
              <w:jc w:val="left"/>
            </w:pPr>
            <w:r>
              <w:rPr>
                <w:rFonts w:ascii="Calibri" w:hAnsi="Calibri"/>
                <w:b w:val="0"/>
                <w:i w:val="0"/>
                <w:sz w:val="19"/>
              </w:rPr>
              <w:t>Réception, enregistrement, affectation, traçabilité complète</w:t>
            </w:r>
          </w:p>
        </w:tc>
      </w:tr>
      <w:tr>
        <w:tc>
          <w:tcPr>
            <w:tcW w:type="dxa" w:w="2835"/>
            <w:shd w:val="clear" w:color="auto" w:fill="FFFFFF"/>
          </w:tcPr>
          <w:p>
            <w:pPr>
              <w:jc w:val="left"/>
            </w:pPr>
            <w:r>
              <w:rPr>
                <w:rFonts w:ascii="Calibri" w:hAnsi="Calibri"/>
                <w:b w:val="0"/>
                <w:i w:val="0"/>
                <w:sz w:val="19"/>
              </w:rPr>
              <w:t>Courrier Intelligent</w:t>
            </w:r>
          </w:p>
        </w:tc>
        <w:tc>
          <w:tcPr>
            <w:tcW w:type="dxa" w:w="6803"/>
            <w:shd w:val="clear" w:color="auto" w:fill="FFFFFF"/>
          </w:tcPr>
          <w:p>
            <w:pPr>
              <w:jc w:val="left"/>
            </w:pPr>
            <w:r>
              <w:rPr>
                <w:rFonts w:ascii="Calibri" w:hAnsi="Calibri"/>
                <w:b w:val="0"/>
                <w:i w:val="0"/>
                <w:sz w:val="19"/>
              </w:rPr>
              <w:t>Classement automatique, OCR, extraction de données par IA</w:t>
            </w:r>
          </w:p>
        </w:tc>
      </w:tr>
      <w:tr>
        <w:tc>
          <w:tcPr>
            <w:tcW w:type="dxa" w:w="2835"/>
            <w:shd w:val="clear" w:color="auto" w:fill="F5F5F5"/>
          </w:tcPr>
          <w:p>
            <w:pPr>
              <w:jc w:val="left"/>
            </w:pPr>
            <w:r>
              <w:rPr>
                <w:rFonts w:ascii="Calibri" w:hAnsi="Calibri"/>
                <w:b w:val="0"/>
                <w:i w:val="0"/>
                <w:sz w:val="19"/>
              </w:rPr>
              <w:t>GED</w:t>
            </w:r>
          </w:p>
        </w:tc>
        <w:tc>
          <w:tcPr>
            <w:tcW w:type="dxa" w:w="6803"/>
            <w:shd w:val="clear" w:color="auto" w:fill="F5F5F5"/>
          </w:tcPr>
          <w:p>
            <w:pPr>
              <w:jc w:val="left"/>
            </w:pPr>
            <w:r>
              <w:rPr>
                <w:rFonts w:ascii="Calibri" w:hAnsi="Calibri"/>
                <w:b w:val="0"/>
                <w:i w:val="0"/>
                <w:sz w:val="19"/>
              </w:rPr>
              <w:t>Gestion électronique de documents, coffre-fort numérique chiffré AES-256</w:t>
            </w:r>
          </w:p>
        </w:tc>
      </w:tr>
    </w:tbl>
    <w:p/>
    <w:p>
      <w:pPr>
        <w:spacing w:before="200" w:after="40"/>
      </w:pPr>
      <w:r>
        <w:rPr>
          <w:rFonts w:ascii="Calibri" w:hAnsi="Calibri"/>
          <w:b/>
          <w:i w:val="0"/>
          <w:color w:val="1F6FB8"/>
          <w:sz w:val="22"/>
        </w:rPr>
        <w:t>PILIER 4 — Ressources Humaines &amp; Terrain</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RH Projet</w:t>
            </w:r>
          </w:p>
        </w:tc>
        <w:tc>
          <w:tcPr>
            <w:tcW w:type="dxa" w:w="6803"/>
            <w:shd w:val="clear" w:color="auto" w:fill="F5F5F5"/>
          </w:tcPr>
          <w:p>
            <w:pPr>
              <w:jc w:val="left"/>
            </w:pPr>
            <w:r>
              <w:rPr>
                <w:rFonts w:ascii="Calibri" w:hAnsi="Calibri"/>
                <w:b w:val="0"/>
                <w:i w:val="0"/>
                <w:sz w:val="19"/>
              </w:rPr>
              <w:t>Agents, congés, absences, présences, organigramme</w:t>
            </w:r>
          </w:p>
        </w:tc>
      </w:tr>
      <w:tr>
        <w:tc>
          <w:tcPr>
            <w:tcW w:type="dxa" w:w="2835"/>
            <w:shd w:val="clear" w:color="auto" w:fill="FFFFFF"/>
          </w:tcPr>
          <w:p>
            <w:pPr>
              <w:jc w:val="left"/>
            </w:pPr>
            <w:r>
              <w:rPr>
                <w:rFonts w:ascii="Calibri" w:hAnsi="Calibri"/>
                <w:b w:val="0"/>
                <w:i w:val="0"/>
                <w:sz w:val="19"/>
              </w:rPr>
              <w:t>Mobile Terrain</w:t>
            </w:r>
          </w:p>
        </w:tc>
        <w:tc>
          <w:tcPr>
            <w:tcW w:type="dxa" w:w="6803"/>
            <w:shd w:val="clear" w:color="auto" w:fill="FFFFFF"/>
          </w:tcPr>
          <w:p>
            <w:pPr>
              <w:jc w:val="left"/>
            </w:pPr>
            <w:r>
              <w:rPr>
                <w:rFonts w:ascii="Calibri" w:hAnsi="Calibri"/>
                <w:b w:val="0"/>
                <w:i w:val="0"/>
                <w:sz w:val="19"/>
              </w:rPr>
              <w:t>Application mobile, synchronisation hors-ligne</w:t>
            </w:r>
          </w:p>
        </w:tc>
      </w:tr>
      <w:tr>
        <w:tc>
          <w:tcPr>
            <w:tcW w:type="dxa" w:w="2835"/>
            <w:shd w:val="clear" w:color="auto" w:fill="F5F5F5"/>
          </w:tcPr>
          <w:p>
            <w:pPr>
              <w:jc w:val="left"/>
            </w:pPr>
            <w:r>
              <w:rPr>
                <w:rFonts w:ascii="Calibri" w:hAnsi="Calibri"/>
                <w:b w:val="0"/>
                <w:i w:val="0"/>
                <w:sz w:val="19"/>
              </w:rPr>
              <w:t>Diligences</w:t>
            </w:r>
          </w:p>
        </w:tc>
        <w:tc>
          <w:tcPr>
            <w:tcW w:type="dxa" w:w="6803"/>
            <w:shd w:val="clear" w:color="auto" w:fill="F5F5F5"/>
          </w:tcPr>
          <w:p>
            <w:pPr>
              <w:jc w:val="left"/>
            </w:pPr>
            <w:r>
              <w:rPr>
                <w:rFonts w:ascii="Calibri" w:hAnsi="Calibri"/>
                <w:b w:val="0"/>
                <w:i w:val="0"/>
                <w:sz w:val="19"/>
              </w:rPr>
              <w:t>Suivi des diligences, assignation, commentaires, instructions</w:t>
            </w:r>
          </w:p>
        </w:tc>
      </w:tr>
      <w:tr>
        <w:tc>
          <w:tcPr>
            <w:tcW w:type="dxa" w:w="2835"/>
            <w:shd w:val="clear" w:color="auto" w:fill="FFFFFF"/>
          </w:tcPr>
          <w:p>
            <w:pPr>
              <w:jc w:val="left"/>
            </w:pPr>
            <w:r>
              <w:rPr>
                <w:rFonts w:ascii="Calibri" w:hAnsi="Calibri"/>
                <w:b w:val="0"/>
                <w:i w:val="0"/>
                <w:sz w:val="19"/>
              </w:rPr>
              <w:t>Événements</w:t>
            </w:r>
          </w:p>
        </w:tc>
        <w:tc>
          <w:tcPr>
            <w:tcW w:type="dxa" w:w="6803"/>
            <w:shd w:val="clear" w:color="auto" w:fill="FFFFFF"/>
          </w:tcPr>
          <w:p>
            <w:pPr>
              <w:jc w:val="left"/>
            </w:pPr>
            <w:r>
              <w:rPr>
                <w:rFonts w:ascii="Calibri" w:hAnsi="Calibri"/>
                <w:b w:val="0"/>
                <w:i w:val="0"/>
                <w:sz w:val="19"/>
              </w:rPr>
              <w:t>Agenda institutionnel, réunions, compte-rendus</w:t>
            </w:r>
          </w:p>
        </w:tc>
      </w:tr>
    </w:tbl>
    <w:p/>
    <w:p>
      <w:pPr>
        <w:spacing w:before="200" w:after="40"/>
      </w:pPr>
      <w:r>
        <w:rPr>
          <w:rFonts w:ascii="Calibri" w:hAnsi="Calibri"/>
          <w:b/>
          <w:i w:val="0"/>
          <w:color w:val="1F6FB8"/>
          <w:sz w:val="22"/>
        </w:rPr>
        <w:t>PILIER 5 — Technologies Avancées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Intelligence Artificielle</w:t>
            </w:r>
          </w:p>
        </w:tc>
        <w:tc>
          <w:tcPr>
            <w:tcW w:type="dxa" w:w="6803"/>
            <w:shd w:val="clear" w:color="auto" w:fill="F5F5F5"/>
          </w:tcPr>
          <w:p>
            <w:pPr>
              <w:jc w:val="left"/>
            </w:pPr>
            <w:r>
              <w:rPr>
                <w:rFonts w:ascii="Calibri" w:hAnsi="Calibri"/>
                <w:b w:val="0"/>
                <w:i w:val="0"/>
                <w:sz w:val="19"/>
              </w:rPr>
              <w:t>Analyse prédictive, aide à la décision, chatbot intégré</w:t>
            </w:r>
          </w:p>
        </w:tc>
      </w:tr>
      <w:tr>
        <w:tc>
          <w:tcPr>
            <w:tcW w:type="dxa" w:w="2835"/>
            <w:shd w:val="clear" w:color="auto" w:fill="FFFFFF"/>
          </w:tcPr>
          <w:p>
            <w:pPr>
              <w:jc w:val="left"/>
            </w:pPr>
            <w:r>
              <w:rPr>
                <w:rFonts w:ascii="Calibri" w:hAnsi="Calibri"/>
                <w:b w:val="0"/>
                <w:i w:val="0"/>
                <w:sz w:val="19"/>
              </w:rPr>
              <w:t>Business Intelligence</w:t>
            </w:r>
          </w:p>
        </w:tc>
        <w:tc>
          <w:tcPr>
            <w:tcW w:type="dxa" w:w="6803"/>
            <w:shd w:val="clear" w:color="auto" w:fill="FFFFFF"/>
          </w:tcPr>
          <w:p>
            <w:pPr>
              <w:jc w:val="left"/>
            </w:pPr>
            <w:r>
              <w:rPr>
                <w:rFonts w:ascii="Calibri" w:hAnsi="Calibri"/>
                <w:b w:val="0"/>
                <w:i w:val="0"/>
                <w:sz w:val="19"/>
              </w:rPr>
              <w:t>Tableaux de bord dynamiques, graphiques interactifs, exports</w:t>
            </w:r>
          </w:p>
        </w:tc>
      </w:tr>
      <w:tr>
        <w:tc>
          <w:tcPr>
            <w:tcW w:type="dxa" w:w="2835"/>
            <w:shd w:val="clear" w:color="auto" w:fill="F5F5F5"/>
          </w:tcPr>
          <w:p>
            <w:pPr>
              <w:jc w:val="left"/>
            </w:pPr>
            <w:r>
              <w:rPr>
                <w:rFonts w:ascii="Calibri" w:hAnsi="Calibri"/>
                <w:b w:val="0"/>
                <w:i w:val="0"/>
                <w:sz w:val="19"/>
              </w:rPr>
              <w:t>SIG</w:t>
            </w:r>
          </w:p>
        </w:tc>
        <w:tc>
          <w:tcPr>
            <w:tcW w:type="dxa" w:w="6803"/>
            <w:shd w:val="clear" w:color="auto" w:fill="F5F5F5"/>
          </w:tcPr>
          <w:p>
            <w:pPr>
              <w:jc w:val="left"/>
            </w:pPr>
            <w:r>
              <w:rPr>
                <w:rFonts w:ascii="Calibri" w:hAnsi="Calibri"/>
                <w:b w:val="0"/>
                <w:i w:val="0"/>
                <w:sz w:val="19"/>
              </w:rPr>
              <w:t>Cartographie des projets, suivi géospatial terrain</w:t>
            </w:r>
          </w:p>
        </w:tc>
      </w:tr>
    </w:tbl>
    <w:p/>
    <w:p>
      <w:pPr>
        <w:spacing w:before="200" w:after="40"/>
      </w:pPr>
      <w:r>
        <w:rPr>
          <w:rFonts w:ascii="Calibri" w:hAnsi="Calibri"/>
          <w:b/>
          <w:i w:val="0"/>
          <w:color w:val="1F6FB8"/>
          <w:sz w:val="22"/>
        </w:rPr>
        <w:t>PILIER 6 — Transversal &amp; Qualité</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t>Module</w:t>
            </w:r>
          </w:p>
        </w:tc>
        <w:tc>
          <w:tcPr>
            <w:tcW w:type="dxa" w:w="6803"/>
            <w:shd w:val="clear" w:color="auto" w:fill="1A376C"/>
            <w:vAlign w:val="center"/>
          </w:tcPr>
          <w:p>
            <w:pPr>
              <w:jc w:val="center"/>
            </w:pPr>
            <w:r>
              <w:rPr>
                <w:rFonts w:ascii="Calibri" w:hAnsi="Calibri"/>
                <w:b/>
                <w:i w:val="0"/>
                <w:color w:val="FFFFFF"/>
                <w:sz w:val="20"/>
              </w:rPr>
              <w:t>Fonctionnalités clés</w:t>
            </w:r>
          </w:p>
        </w:tc>
      </w:tr>
      <w:tr>
        <w:tc>
          <w:tcPr>
            <w:tcW w:type="dxa" w:w="2835"/>
            <w:shd w:val="clear" w:color="auto" w:fill="F5F5F5"/>
          </w:tcPr>
          <w:p>
            <w:pPr>
              <w:jc w:val="left"/>
            </w:pPr>
            <w:r>
              <w:rPr>
                <w:rFonts w:ascii="Calibri" w:hAnsi="Calibri"/>
                <w:b w:val="0"/>
                <w:i w:val="0"/>
                <w:sz w:val="19"/>
              </w:rPr>
              <w:t>Collaboration</w:t>
            </w:r>
          </w:p>
        </w:tc>
        <w:tc>
          <w:tcPr>
            <w:tcW w:type="dxa" w:w="6803"/>
            <w:shd w:val="clear" w:color="auto" w:fill="F5F5F5"/>
          </w:tcPr>
          <w:p>
            <w:pPr>
              <w:jc w:val="left"/>
            </w:pPr>
            <w:r>
              <w:rPr>
                <w:rFonts w:ascii="Calibri" w:hAnsi="Calibri"/>
                <w:b w:val="0"/>
                <w:i w:val="0"/>
                <w:sz w:val="19"/>
              </w:rPr>
              <w:t>Messagerie interne, partage de documents, espaces de travail</w:t>
            </w:r>
          </w:p>
        </w:tc>
      </w:tr>
      <w:tr>
        <w:tc>
          <w:tcPr>
            <w:tcW w:type="dxa" w:w="2835"/>
            <w:shd w:val="clear" w:color="auto" w:fill="FFFFFF"/>
          </w:tcPr>
          <w:p>
            <w:pPr>
              <w:jc w:val="left"/>
            </w:pPr>
            <w:r>
              <w:rPr>
                <w:rFonts w:ascii="Calibri" w:hAnsi="Calibri"/>
                <w:b w:val="0"/>
                <w:i w:val="0"/>
                <w:sz w:val="19"/>
              </w:rPr>
              <w:t>Gestion de la Qualité</w:t>
            </w:r>
          </w:p>
        </w:tc>
        <w:tc>
          <w:tcPr>
            <w:tcW w:type="dxa" w:w="6803"/>
            <w:shd w:val="clear" w:color="auto" w:fill="FFFFFF"/>
          </w:tcPr>
          <w:p>
            <w:pPr>
              <w:jc w:val="left"/>
            </w:pPr>
            <w:r>
              <w:rPr>
                <w:rFonts w:ascii="Calibri" w:hAnsi="Calibri"/>
                <w:b w:val="0"/>
                <w:i w:val="0"/>
                <w:sz w:val="19"/>
              </w:rPr>
              <w:t>Normes, audits, non-conformités, plans d'amélioration</w:t>
            </w:r>
          </w:p>
        </w:tc>
      </w:tr>
      <w:tr>
        <w:tc>
          <w:tcPr>
            <w:tcW w:type="dxa" w:w="2835"/>
            <w:shd w:val="clear" w:color="auto" w:fill="F5F5F5"/>
          </w:tcPr>
          <w:p>
            <w:pPr>
              <w:jc w:val="left"/>
            </w:pPr>
            <w:r>
              <w:rPr>
                <w:rFonts w:ascii="Calibri" w:hAnsi="Calibri"/>
                <w:b w:val="0"/>
                <w:i w:val="0"/>
                <w:sz w:val="19"/>
              </w:rPr>
              <w:t>Logistique</w:t>
            </w:r>
          </w:p>
        </w:tc>
        <w:tc>
          <w:tcPr>
            <w:tcW w:type="dxa" w:w="6803"/>
            <w:shd w:val="clear" w:color="auto" w:fill="F5F5F5"/>
          </w:tcPr>
          <w:p>
            <w:pPr>
              <w:jc w:val="left"/>
            </w:pPr>
            <w:r>
              <w:rPr>
                <w:rFonts w:ascii="Calibri" w:hAnsi="Calibri"/>
                <w:b w:val="0"/>
                <w:i w:val="0"/>
                <w:sz w:val="19"/>
              </w:rPr>
              <w:t>Parc matériel, véhicules, stocks</w:t>
            </w:r>
          </w:p>
        </w:tc>
      </w:tr>
      <w:tr>
        <w:tc>
          <w:tcPr>
            <w:tcW w:type="dxa" w:w="2835"/>
            <w:shd w:val="clear" w:color="auto" w:fill="FFFFFF"/>
          </w:tcPr>
          <w:p>
            <w:pPr>
              <w:jc w:val="left"/>
            </w:pPr>
            <w:r>
              <w:rPr>
                <w:rFonts w:ascii="Calibri" w:hAnsi="Calibri"/>
                <w:b w:val="0"/>
                <w:i w:val="0"/>
                <w:sz w:val="19"/>
              </w:rPr>
              <w:t>Capitalisation</w:t>
            </w:r>
          </w:p>
        </w:tc>
        <w:tc>
          <w:tcPr>
            <w:tcW w:type="dxa" w:w="6803"/>
            <w:shd w:val="clear" w:color="auto" w:fill="FFFFFF"/>
          </w:tcPr>
          <w:p>
            <w:pPr>
              <w:jc w:val="left"/>
            </w:pPr>
            <w:r>
              <w:rPr>
                <w:rFonts w:ascii="Calibri" w:hAnsi="Calibri"/>
                <w:b w:val="0"/>
                <w:i w:val="0"/>
                <w:sz w:val="19"/>
              </w:rPr>
              <w:t>Base de connaissances, leçons apprises, mémoire institutionnelle</w:t>
            </w:r>
          </w:p>
        </w:tc>
      </w:tr>
    </w:tbl>
    <w:p/>
    <w:p>
      <w:pPr>
        <w:spacing w:before="280" w:after="80"/>
        <w:pBdr>
          <w:bottom w:val="single" w:sz="6" w:space="4" w:color="1F6FB8"/>
        </w:pBdr>
      </w:pPr>
      <w:r>
        <w:rPr>
          <w:rFonts w:ascii="Calibri" w:hAnsi="Calibri"/>
          <w:b/>
          <w:i w:val="0"/>
          <w:color w:val="1A376C"/>
          <w:sz w:val="28"/>
        </w:rPr>
        <w:t>3.  ARCHITECTURE TECHNIQUE</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1A376C"/>
            <w:vAlign w:val="center"/>
          </w:tcPr>
          <w:p>
            <w:pPr>
              <w:jc w:val="center"/>
            </w:pPr>
            <w:r>
              <w:rPr>
                <w:rFonts w:ascii="Calibri" w:hAnsi="Calibri"/>
                <w:b/>
                <w:i w:val="0"/>
                <w:color w:val="FFFFFF"/>
                <w:sz w:val="20"/>
              </w:rPr>
              <w:t>Composant</w:t>
            </w:r>
          </w:p>
        </w:tc>
        <w:tc>
          <w:tcPr>
            <w:tcW w:type="dxa" w:w="6236"/>
            <w:shd w:val="clear" w:color="auto" w:fill="1A376C"/>
            <w:vAlign w:val="center"/>
          </w:tcPr>
          <w:p>
            <w:pPr>
              <w:jc w:val="center"/>
            </w:pPr>
            <w:r>
              <w:rPr>
                <w:rFonts w:ascii="Calibri" w:hAnsi="Calibri"/>
                <w:b/>
                <w:i w:val="0"/>
                <w:color w:val="FFFFFF"/>
                <w:sz w:val="20"/>
              </w:rPr>
              <w:t>Technologie</w:t>
            </w:r>
          </w:p>
        </w:tc>
      </w:tr>
      <w:tr>
        <w:tc>
          <w:tcPr>
            <w:tcW w:type="dxa" w:w="3402"/>
            <w:shd w:val="clear" w:color="auto" w:fill="F5F5F5"/>
          </w:tcPr>
          <w:p>
            <w:pPr>
              <w:jc w:val="left"/>
            </w:pPr>
            <w:r>
              <w:rPr>
                <w:rFonts w:ascii="Calibri" w:hAnsi="Calibri"/>
                <w:b w:val="0"/>
                <w:i w:val="0"/>
                <w:sz w:val="19"/>
              </w:rPr>
              <w:t>Backend</w:t>
            </w:r>
          </w:p>
        </w:tc>
        <w:tc>
          <w:tcPr>
            <w:tcW w:type="dxa" w:w="6236"/>
            <w:shd w:val="clear" w:color="auto" w:fill="F5F5F5"/>
          </w:tcPr>
          <w:p>
            <w:pPr>
              <w:jc w:val="left"/>
            </w:pPr>
            <w:r>
              <w:rPr>
                <w:rFonts w:ascii="Calibri" w:hAnsi="Calibri"/>
                <w:b w:val="0"/>
                <w:i w:val="0"/>
                <w:sz w:val="19"/>
              </w:rPr>
              <w:t>Django 6 / Django REST Framework</w:t>
            </w:r>
          </w:p>
        </w:tc>
      </w:tr>
      <w:tr>
        <w:tc>
          <w:tcPr>
            <w:tcW w:type="dxa" w:w="3402"/>
            <w:shd w:val="clear" w:color="auto" w:fill="FFFFFF"/>
          </w:tcPr>
          <w:p>
            <w:pPr>
              <w:jc w:val="left"/>
            </w:pPr>
            <w:r>
              <w:rPr>
                <w:rFonts w:ascii="Calibri" w:hAnsi="Calibri"/>
                <w:b w:val="0"/>
                <w:i w:val="0"/>
                <w:sz w:val="19"/>
              </w:rPr>
              <w:t>Base de données</w:t>
            </w:r>
          </w:p>
        </w:tc>
        <w:tc>
          <w:tcPr>
            <w:tcW w:type="dxa" w:w="6236"/>
            <w:shd w:val="clear" w:color="auto" w:fill="FFFFFF"/>
          </w:tcPr>
          <w:p>
            <w:pPr>
              <w:jc w:val="left"/>
            </w:pPr>
            <w:r>
              <w:rPr>
                <w:rFonts w:ascii="Calibri" w:hAnsi="Calibri"/>
                <w:b w:val="0"/>
                <w:i w:val="0"/>
                <w:sz w:val="19"/>
              </w:rPr>
              <w:t>PostgreSQL</w:t>
            </w:r>
          </w:p>
        </w:tc>
      </w:tr>
      <w:tr>
        <w:tc>
          <w:tcPr>
            <w:tcW w:type="dxa" w:w="3402"/>
            <w:shd w:val="clear" w:color="auto" w:fill="F5F5F5"/>
          </w:tcPr>
          <w:p>
            <w:pPr>
              <w:jc w:val="left"/>
            </w:pPr>
            <w:r>
              <w:rPr>
                <w:rFonts w:ascii="Calibri" w:hAnsi="Calibri"/>
                <w:b w:val="0"/>
                <w:i w:val="0"/>
                <w:sz w:val="19"/>
              </w:rPr>
              <w:t>Authentification</w:t>
            </w:r>
          </w:p>
        </w:tc>
        <w:tc>
          <w:tcPr>
            <w:tcW w:type="dxa" w:w="6236"/>
            <w:shd w:val="clear" w:color="auto" w:fill="F5F5F5"/>
          </w:tcPr>
          <w:p>
            <w:pPr>
              <w:jc w:val="left"/>
            </w:pPr>
            <w:r>
              <w:rPr>
                <w:rFonts w:ascii="Calibri" w:hAnsi="Calibri"/>
                <w:b w:val="0"/>
                <w:i w:val="0"/>
                <w:sz w:val="19"/>
              </w:rPr>
              <w:t>JWT (tokens) + 2FA (TOTP)</w:t>
            </w:r>
          </w:p>
        </w:tc>
      </w:tr>
      <w:tr>
        <w:tc>
          <w:tcPr>
            <w:tcW w:type="dxa" w:w="3402"/>
            <w:shd w:val="clear" w:color="auto" w:fill="FFFFFF"/>
          </w:tcPr>
          <w:p>
            <w:pPr>
              <w:jc w:val="left"/>
            </w:pPr>
            <w:r>
              <w:rPr>
                <w:rFonts w:ascii="Calibri" w:hAnsi="Calibri"/>
                <w:b w:val="0"/>
                <w:i w:val="0"/>
                <w:sz w:val="19"/>
              </w:rPr>
              <w:t>Tâches asynchrones</w:t>
            </w:r>
          </w:p>
        </w:tc>
        <w:tc>
          <w:tcPr>
            <w:tcW w:type="dxa" w:w="6236"/>
            <w:shd w:val="clear" w:color="auto" w:fill="FFFFFF"/>
          </w:tcPr>
          <w:p>
            <w:pPr>
              <w:jc w:val="left"/>
            </w:pPr>
            <w:r>
              <w:rPr>
                <w:rFonts w:ascii="Calibri" w:hAnsi="Calibri"/>
                <w:b w:val="0"/>
                <w:i w:val="0"/>
                <w:sz w:val="19"/>
              </w:rPr>
              <w:t>Celery + Redis</w:t>
            </w:r>
          </w:p>
        </w:tc>
      </w:tr>
      <w:tr>
        <w:tc>
          <w:tcPr>
            <w:tcW w:type="dxa" w:w="3402"/>
            <w:shd w:val="clear" w:color="auto" w:fill="F5F5F5"/>
          </w:tcPr>
          <w:p>
            <w:pPr>
              <w:jc w:val="left"/>
            </w:pPr>
            <w:r>
              <w:rPr>
                <w:rFonts w:ascii="Calibri" w:hAnsi="Calibri"/>
                <w:b w:val="0"/>
                <w:i w:val="0"/>
                <w:sz w:val="19"/>
              </w:rPr>
              <w:t>Stockage fichiers</w:t>
            </w:r>
          </w:p>
        </w:tc>
        <w:tc>
          <w:tcPr>
            <w:tcW w:type="dxa" w:w="6236"/>
            <w:shd w:val="clear" w:color="auto" w:fill="F5F5F5"/>
          </w:tcPr>
          <w:p>
            <w:pPr>
              <w:jc w:val="left"/>
            </w:pPr>
            <w:r>
              <w:rPr>
                <w:rFonts w:ascii="Calibri" w:hAnsi="Calibri"/>
                <w:b w:val="0"/>
                <w:i w:val="0"/>
                <w:sz w:val="19"/>
              </w:rPr>
              <w:t>Django Storages (cloud-compatible)</w:t>
            </w:r>
          </w:p>
        </w:tc>
      </w:tr>
      <w:tr>
        <w:tc>
          <w:tcPr>
            <w:tcW w:type="dxa" w:w="3402"/>
            <w:shd w:val="clear" w:color="auto" w:fill="FFFFFF"/>
          </w:tcPr>
          <w:p>
            <w:pPr>
              <w:jc w:val="left"/>
            </w:pPr>
            <w:r>
              <w:rPr>
                <w:rFonts w:ascii="Calibri" w:hAnsi="Calibri"/>
                <w:b w:val="0"/>
                <w:i w:val="0"/>
                <w:sz w:val="19"/>
              </w:rPr>
              <w:t>Sécurité documents</w:t>
            </w:r>
          </w:p>
        </w:tc>
        <w:tc>
          <w:tcPr>
            <w:tcW w:type="dxa" w:w="6236"/>
            <w:shd w:val="clear" w:color="auto" w:fill="FFFFFF"/>
          </w:tcPr>
          <w:p>
            <w:pPr>
              <w:jc w:val="left"/>
            </w:pPr>
            <w:r>
              <w:rPr>
                <w:rFonts w:ascii="Calibri" w:hAnsi="Calibri"/>
                <w:b w:val="0"/>
                <w:i w:val="0"/>
                <w:sz w:val="19"/>
              </w:rPr>
              <w:t>Chiffrement AES-256-GCM</w:t>
            </w:r>
          </w:p>
        </w:tc>
      </w:tr>
      <w:tr>
        <w:tc>
          <w:tcPr>
            <w:tcW w:type="dxa" w:w="3402"/>
            <w:shd w:val="clear" w:color="auto" w:fill="F5F5F5"/>
          </w:tcPr>
          <w:p>
            <w:pPr>
              <w:jc w:val="left"/>
            </w:pPr>
            <w:r>
              <w:rPr>
                <w:rFonts w:ascii="Calibri" w:hAnsi="Calibri"/>
                <w:b w:val="0"/>
                <w:i w:val="0"/>
                <w:sz w:val="19"/>
              </w:rPr>
              <w:t>OCR &amp; extraction</w:t>
            </w:r>
          </w:p>
        </w:tc>
        <w:tc>
          <w:tcPr>
            <w:tcW w:type="dxa" w:w="6236"/>
            <w:shd w:val="clear" w:color="auto" w:fill="F5F5F5"/>
          </w:tcPr>
          <w:p>
            <w:pPr>
              <w:jc w:val="left"/>
            </w:pPr>
            <w:r>
              <w:rPr>
                <w:rFonts w:ascii="Calibri" w:hAnsi="Calibri"/>
                <w:b w:val="0"/>
                <w:i w:val="0"/>
                <w:sz w:val="19"/>
              </w:rPr>
              <w:t>PyMuPDF + Tesseract</w:t>
            </w:r>
          </w:p>
        </w:tc>
      </w:tr>
      <w:tr>
        <w:tc>
          <w:tcPr>
            <w:tcW w:type="dxa" w:w="3402"/>
            <w:shd w:val="clear" w:color="auto" w:fill="FFFFFF"/>
          </w:tcPr>
          <w:p>
            <w:pPr>
              <w:jc w:val="left"/>
            </w:pPr>
            <w:r>
              <w:rPr>
                <w:rFonts w:ascii="Calibri" w:hAnsi="Calibri"/>
                <w:b w:val="0"/>
                <w:i w:val="0"/>
                <w:sz w:val="19"/>
              </w:rPr>
              <w:t>Cartographie</w:t>
            </w:r>
          </w:p>
        </w:tc>
        <w:tc>
          <w:tcPr>
            <w:tcW w:type="dxa" w:w="6236"/>
            <w:shd w:val="clear" w:color="auto" w:fill="FFFFFF"/>
          </w:tcPr>
          <w:p>
            <w:pPr>
              <w:jc w:val="left"/>
            </w:pPr>
            <w:r>
              <w:rPr>
                <w:rFonts w:ascii="Calibri" w:hAnsi="Calibri"/>
                <w:b w:val="0"/>
                <w:i w:val="0"/>
                <w:sz w:val="19"/>
              </w:rPr>
              <w:t>SIG intégré</w:t>
            </w:r>
          </w:p>
        </w:tc>
      </w:tr>
      <w:tr>
        <w:tc>
          <w:tcPr>
            <w:tcW w:type="dxa" w:w="3402"/>
            <w:shd w:val="clear" w:color="auto" w:fill="F5F5F5"/>
          </w:tcPr>
          <w:p>
            <w:pPr>
              <w:jc w:val="left"/>
            </w:pPr>
            <w:r>
              <w:rPr>
                <w:rFonts w:ascii="Calibri" w:hAnsi="Calibri"/>
                <w:b w:val="0"/>
                <w:i w:val="0"/>
                <w:sz w:val="19"/>
              </w:rPr>
              <w:t>Documentation API</w:t>
            </w:r>
          </w:p>
        </w:tc>
        <w:tc>
          <w:tcPr>
            <w:tcW w:type="dxa" w:w="6236"/>
            <w:shd w:val="clear" w:color="auto" w:fill="F5F5F5"/>
          </w:tcPr>
          <w:p>
            <w:pPr>
              <w:jc w:val="left"/>
            </w:pPr>
            <w:r>
              <w:rPr>
                <w:rFonts w:ascii="Calibri" w:hAnsi="Calibri"/>
                <w:b w:val="0"/>
                <w:i w:val="0"/>
                <w:sz w:val="19"/>
              </w:rPr>
              <w:t>OpenAPI / Swagger (drf-spectacular)</w:t>
            </w:r>
          </w:p>
        </w:tc>
      </w:tr>
      <w:tr>
        <w:tc>
          <w:tcPr>
            <w:tcW w:type="dxa" w:w="3402"/>
            <w:shd w:val="clear" w:color="auto" w:fill="FFFFFF"/>
          </w:tcPr>
          <w:p>
            <w:pPr>
              <w:jc w:val="left"/>
            </w:pPr>
            <w:r>
              <w:rPr>
                <w:rFonts w:ascii="Calibri" w:hAnsi="Calibri"/>
                <w:b w:val="0"/>
                <w:i w:val="0"/>
                <w:sz w:val="19"/>
              </w:rPr>
              <w:t>Déploiement</w:t>
            </w:r>
          </w:p>
        </w:tc>
        <w:tc>
          <w:tcPr>
            <w:tcW w:type="dxa" w:w="6236"/>
            <w:shd w:val="clear" w:color="auto" w:fill="FFFFFF"/>
          </w:tcPr>
          <w:p>
            <w:pPr>
              <w:jc w:val="left"/>
            </w:pPr>
            <w:r>
              <w:rPr>
                <w:rFonts w:ascii="Calibri" w:hAnsi="Calibri"/>
                <w:b w:val="0"/>
                <w:i w:val="0"/>
                <w:sz w:val="19"/>
              </w:rPr>
              <w:t>Linux / Gunicorn / Nginx</w:t>
            </w:r>
          </w:p>
        </w:tc>
      </w:tr>
    </w:tbl>
    <w:p/>
    <w:p>
      <w:pPr>
        <w:spacing w:before="280" w:after="80"/>
        <w:pBdr>
          <w:bottom w:val="single" w:sz="6" w:space="4" w:color="1F6FB8"/>
        </w:pBdr>
      </w:pPr>
      <w:r>
        <w:rPr>
          <w:rFonts w:ascii="Calibri" w:hAnsi="Calibri"/>
          <w:b/>
          <w:i w:val="0"/>
          <w:color w:val="1A376C"/>
          <w:sz w:val="28"/>
        </w:rPr>
        <w:t>4.  POINTS FORTS DE LA SOLUTION</w:t>
      </w:r>
    </w:p>
    <w:p>
      <w:pPr>
        <w:pStyle w:val="ListBullet"/>
        <w:spacing w:after="60"/>
      </w:pPr>
      <w:r>
        <w:rPr>
          <w:rFonts w:ascii="Calibri" w:hAnsi="Calibri"/>
          <w:b/>
          <w:i w:val="0"/>
          <w:color w:val="1A376C"/>
          <w:sz w:val="22"/>
        </w:rPr>
        <w:t xml:space="preserve">Solution 100 % intégrée : </w:t>
      </w:r>
      <w:r>
        <w:rPr>
          <w:rFonts w:ascii="Calibri" w:hAnsi="Calibri"/>
          <w:b w:val="0"/>
          <w:i w:val="0"/>
          <w:sz w:val="22"/>
        </w:rPr>
        <w:t>Toutes les fonctions métier dans un seul système unifié.</w:t>
      </w:r>
    </w:p>
    <w:p>
      <w:pPr>
        <w:pStyle w:val="ListBullet"/>
        <w:spacing w:after="60"/>
      </w:pPr>
      <w:r>
        <w:rPr>
          <w:rFonts w:ascii="Calibri" w:hAnsi="Calibri"/>
          <w:b/>
          <w:i w:val="0"/>
          <w:color w:val="1A376C"/>
          <w:sz w:val="22"/>
        </w:rPr>
        <w:t xml:space="preserve">Interface API REST : </w:t>
      </w:r>
      <w:r>
        <w:rPr>
          <w:rFonts w:ascii="Calibri" w:hAnsi="Calibri"/>
          <w:b w:val="0"/>
          <w:i w:val="0"/>
          <w:sz w:val="22"/>
        </w:rPr>
        <w:t>Intégration facile avec les systèmes existants.</w:t>
      </w:r>
    </w:p>
    <w:p>
      <w:pPr>
        <w:pStyle w:val="ListBullet"/>
        <w:spacing w:after="60"/>
      </w:pPr>
      <w:r>
        <w:rPr>
          <w:rFonts w:ascii="Calibri" w:hAnsi="Calibri"/>
          <w:b/>
          <w:i w:val="0"/>
          <w:color w:val="1A376C"/>
          <w:sz w:val="22"/>
        </w:rPr>
        <w:t xml:space="preserve">Sécurité renforcée : </w:t>
      </w:r>
      <w:r>
        <w:rPr>
          <w:rFonts w:ascii="Calibri" w:hAnsi="Calibri"/>
          <w:b w:val="0"/>
          <w:i w:val="0"/>
          <w:sz w:val="22"/>
        </w:rPr>
        <w:t>Authentification double facteur, chiffrement AES-256 des documents sensibles.</w:t>
      </w:r>
    </w:p>
    <w:p>
      <w:pPr>
        <w:pStyle w:val="ListBullet"/>
        <w:spacing w:after="60"/>
      </w:pPr>
      <w:r>
        <w:rPr>
          <w:rFonts w:ascii="Calibri" w:hAnsi="Calibri"/>
          <w:b/>
          <w:i w:val="0"/>
          <w:color w:val="1A376C"/>
          <w:sz w:val="22"/>
        </w:rPr>
        <w:t xml:space="preserve">IA embarquée : </w:t>
      </w:r>
      <w:r>
        <w:rPr>
          <w:rFonts w:ascii="Calibri" w:hAnsi="Calibri"/>
          <w:b w:val="0"/>
          <w:i w:val="0"/>
          <w:sz w:val="22"/>
        </w:rPr>
        <w:t>Automatisation du traitement documentaire et aide à la décision.</w:t>
      </w:r>
    </w:p>
    <w:p>
      <w:pPr>
        <w:pStyle w:val="ListBullet"/>
        <w:spacing w:after="60"/>
      </w:pPr>
      <w:r>
        <w:rPr>
          <w:rFonts w:ascii="Calibri" w:hAnsi="Calibri"/>
          <w:b/>
          <w:i w:val="0"/>
          <w:color w:val="1A376C"/>
          <w:sz w:val="22"/>
        </w:rPr>
        <w:t xml:space="preserve">Mobile-first : </w:t>
      </w:r>
      <w:r>
        <w:rPr>
          <w:rFonts w:ascii="Calibri" w:hAnsi="Calibri"/>
          <w:b w:val="0"/>
          <w:i w:val="0"/>
          <w:sz w:val="22"/>
        </w:rPr>
        <w:t>Accès terrain depuis smartphone, même sans connexion internet.</w:t>
      </w:r>
    </w:p>
    <w:p>
      <w:pPr>
        <w:pStyle w:val="ListBullet"/>
        <w:spacing w:after="60"/>
      </w:pPr>
      <w:r>
        <w:rPr>
          <w:rFonts w:ascii="Calibri" w:hAnsi="Calibri"/>
          <w:b/>
          <w:i w:val="0"/>
          <w:color w:val="1A376C"/>
          <w:sz w:val="22"/>
        </w:rPr>
        <w:t xml:space="preserve">Tableaux de bord temps réel : </w:t>
      </w:r>
      <w:r>
        <w:rPr>
          <w:rFonts w:ascii="Calibri" w:hAnsi="Calibri"/>
          <w:b w:val="0"/>
          <w:i w:val="0"/>
          <w:sz w:val="22"/>
        </w:rPr>
        <w:t>Visibilité instantanée sur l'ensemble du portefeuille projets.</w:t>
      </w:r>
    </w:p>
    <w:p>
      <w:pPr>
        <w:pStyle w:val="ListBullet"/>
        <w:spacing w:after="60"/>
      </w:pPr>
      <w:r>
        <w:rPr>
          <w:rFonts w:ascii="Calibri" w:hAnsi="Calibri"/>
          <w:b/>
          <w:i w:val="0"/>
          <w:color w:val="1A376C"/>
          <w:sz w:val="22"/>
        </w:rPr>
        <w:t xml:space="preserve">Conformité bailleurs : </w:t>
      </w:r>
      <w:r>
        <w:rPr>
          <w:rFonts w:ascii="Calibri" w:hAnsi="Calibri"/>
          <w:b w:val="0"/>
          <w:i w:val="0"/>
          <w:sz w:val="22"/>
        </w:rPr>
        <w:t>Rapports et indicateurs adaptés aux exigences des bailleurs internationaux.</w:t>
      </w:r>
    </w:p>
    <w:p>
      <w:pPr>
        <w:spacing w:before="280" w:after="80"/>
        <w:pBdr>
          <w:bottom w:val="single" w:sz="6" w:space="4" w:color="1F6FB8"/>
        </w:pBdr>
      </w:pPr>
      <w:r>
        <w:rPr>
          <w:rFonts w:ascii="Calibri" w:hAnsi="Calibri"/>
          <w:b/>
          <w:i w:val="0"/>
          <w:color w:val="1A376C"/>
          <w:sz w:val="28"/>
        </w:rPr>
        <w:t>5.  PROPOSITION TARIFAIRE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376C"/>
            <w:vAlign w:val="center"/>
          </w:tcPr>
          <w:p>
            <w:pPr>
              <w:jc w:val="center"/>
            </w:pPr>
            <w:r>
              <w:rPr>
                <w:rFonts w:ascii="Calibri" w:hAnsi="Calibri"/>
                <w:b/>
                <w:i w:val="0"/>
                <w:color w:val="FFFFFF"/>
                <w:sz w:val="20"/>
              </w:rPr>
              <w:t>Prestation</w:t>
            </w:r>
          </w:p>
        </w:tc>
        <w:tc>
          <w:tcPr>
            <w:tcW w:type="dxa" w:w="5102"/>
            <w:shd w:val="clear" w:color="auto" w:fill="1A376C"/>
            <w:vAlign w:val="center"/>
          </w:tcPr>
          <w:p>
            <w:pPr>
              <w:jc w:val="center"/>
            </w:pPr>
            <w:r>
              <w:rPr>
                <w:rFonts w:ascii="Calibri" w:hAnsi="Calibri"/>
                <w:b/>
                <w:i w:val="0"/>
                <w:color w:val="FFFFFF"/>
                <w:sz w:val="20"/>
              </w:rPr>
              <w:t>Détail</w:t>
            </w:r>
          </w:p>
        </w:tc>
        <w:tc>
          <w:tcPr>
            <w:tcW w:type="dxa" w:w="1701"/>
            <w:shd w:val="clear" w:color="auto" w:fill="1A376C"/>
            <w:vAlign w:val="center"/>
          </w:tcPr>
          <w:p>
            <w:pPr>
              <w:jc w:val="center"/>
            </w:pPr>
            <w:r>
              <w:rPr>
                <w:rFonts w:ascii="Calibri" w:hAnsi="Calibri"/>
                <w:b/>
                <w:i w:val="0"/>
                <w:color w:val="FFFFFF"/>
                <w:sz w:val="20"/>
              </w:rPr>
              <w:t>Montant</w:t>
            </w:r>
          </w:p>
        </w:tc>
      </w:tr>
      <w:tr>
        <w:tc>
          <w:tcPr>
            <w:tcW w:type="dxa" w:w="2835"/>
            <w:shd w:val="clear" w:color="auto" w:fill="F5F5F5"/>
          </w:tcPr>
          <w:p>
            <w:pPr>
              <w:jc w:val="left"/>
            </w:pPr>
            <w:r>
              <w:rPr>
                <w:rFonts w:ascii="Calibri" w:hAnsi="Calibri"/>
                <w:b w:val="0"/>
                <w:i w:val="0"/>
                <w:sz w:val="19"/>
              </w:rPr>
              <w:t>Licence logicielle</w:t>
            </w:r>
          </w:p>
        </w:tc>
        <w:tc>
          <w:tcPr>
            <w:tcW w:type="dxa" w:w="5102"/>
            <w:shd w:val="clear" w:color="auto" w:fill="F5F5F5"/>
          </w:tcPr>
          <w:p>
            <w:pPr>
              <w:jc w:val="left"/>
            </w:pPr>
            <w:r>
              <w:rPr>
                <w:rFonts w:ascii="Calibri" w:hAnsi="Calibri"/>
                <w:b w:val="0"/>
                <w:i w:val="0"/>
                <w:sz w:val="19"/>
              </w:rPr>
              <w:t>Solution complète 18 modules</w:t>
            </w:r>
          </w:p>
        </w:tc>
        <w:tc>
          <w:tcPr>
            <w:tcW w:type="dxa" w:w="1701"/>
            <w:shd w:val="clear" w:color="auto" w:fill="F5F5F5"/>
          </w:tcPr>
          <w:p>
            <w:pPr>
              <w:jc w:val="left"/>
            </w:pPr>
            <w:r>
              <w:rPr>
                <w:rFonts w:ascii="Calibri" w:hAnsi="Calibri"/>
                <w:b w:val="0"/>
                <w:i w:val="0"/>
                <w:sz w:val="19"/>
              </w:rPr>
              <w:t>Sur devis</w:t>
            </w:r>
          </w:p>
        </w:tc>
      </w:tr>
      <w:tr>
        <w:tc>
          <w:tcPr>
            <w:tcW w:type="dxa" w:w="2835"/>
            <w:shd w:val="clear" w:color="auto" w:fill="FFFFFF"/>
          </w:tcPr>
          <w:p>
            <w:pPr>
              <w:jc w:val="left"/>
            </w:pPr>
            <w:r>
              <w:rPr>
                <w:rFonts w:ascii="Calibri" w:hAnsi="Calibri"/>
                <w:b w:val="0"/>
                <w:i w:val="0"/>
                <w:sz w:val="19"/>
              </w:rPr>
              <w:t>Déploiement &amp; configuration</w:t>
            </w:r>
          </w:p>
        </w:tc>
        <w:tc>
          <w:tcPr>
            <w:tcW w:type="dxa" w:w="5102"/>
            <w:shd w:val="clear" w:color="auto" w:fill="FFFFFF"/>
          </w:tcPr>
          <w:p>
            <w:pPr>
              <w:jc w:val="left"/>
            </w:pPr>
            <w:r>
              <w:rPr>
                <w:rFonts w:ascii="Calibri" w:hAnsi="Calibri"/>
                <w:b w:val="0"/>
                <w:i w:val="0"/>
                <w:sz w:val="19"/>
              </w:rPr>
              <w:t>Installation, paramétrage, migration des données</w:t>
            </w:r>
          </w:p>
        </w:tc>
        <w:tc>
          <w:tcPr>
            <w:tcW w:type="dxa" w:w="1701"/>
            <w:shd w:val="clear" w:color="auto" w:fill="FFFFFF"/>
          </w:tcPr>
          <w:p>
            <w:pPr>
              <w:jc w:val="left"/>
            </w:pPr>
            <w:r>
              <w:rPr>
                <w:rFonts w:ascii="Calibri" w:hAnsi="Calibri"/>
                <w:b w:val="0"/>
                <w:i w:val="0"/>
                <w:sz w:val="19"/>
              </w:rPr>
              <w:t>Sur devis</w:t>
            </w:r>
          </w:p>
        </w:tc>
      </w:tr>
      <w:tr>
        <w:tc>
          <w:tcPr>
            <w:tcW w:type="dxa" w:w="2835"/>
            <w:shd w:val="clear" w:color="auto" w:fill="F5F5F5"/>
          </w:tcPr>
          <w:p>
            <w:pPr>
              <w:jc w:val="left"/>
            </w:pPr>
            <w:r>
              <w:rPr>
                <w:rFonts w:ascii="Calibri" w:hAnsi="Calibri"/>
                <w:b w:val="0"/>
                <w:i w:val="0"/>
                <w:sz w:val="19"/>
              </w:rPr>
              <w:t>Formation</w:t>
            </w:r>
          </w:p>
        </w:tc>
        <w:tc>
          <w:tcPr>
            <w:tcW w:type="dxa" w:w="5102"/>
            <w:shd w:val="clear" w:color="auto" w:fill="F5F5F5"/>
          </w:tcPr>
          <w:p>
            <w:pPr>
              <w:jc w:val="left"/>
            </w:pPr>
            <w:r>
              <w:rPr>
                <w:rFonts w:ascii="Calibri" w:hAnsi="Calibri"/>
                <w:b w:val="0"/>
                <w:i w:val="0"/>
                <w:sz w:val="19"/>
              </w:rPr>
              <w:t>Administrateurs + utilisateurs finaux (3 jours)</w:t>
            </w:r>
          </w:p>
        </w:tc>
        <w:tc>
          <w:tcPr>
            <w:tcW w:type="dxa" w:w="1701"/>
            <w:shd w:val="clear" w:color="auto" w:fill="F5F5F5"/>
          </w:tcPr>
          <w:p>
            <w:pPr>
              <w:jc w:val="left"/>
            </w:pPr>
            <w:r>
              <w:rPr>
                <w:rFonts w:ascii="Calibri" w:hAnsi="Calibri"/>
                <w:b w:val="0"/>
                <w:i w:val="0"/>
                <w:sz w:val="19"/>
              </w:rPr>
              <w:t>Sur devis</w:t>
            </w:r>
          </w:p>
        </w:tc>
      </w:tr>
      <w:tr>
        <w:tc>
          <w:tcPr>
            <w:tcW w:type="dxa" w:w="2835"/>
            <w:shd w:val="clear" w:color="auto" w:fill="FFFFFF"/>
          </w:tcPr>
          <w:p>
            <w:pPr>
              <w:jc w:val="left"/>
            </w:pPr>
            <w:r>
              <w:rPr>
                <w:rFonts w:ascii="Calibri" w:hAnsi="Calibri"/>
                <w:b w:val="0"/>
                <w:i w:val="0"/>
                <w:sz w:val="19"/>
              </w:rPr>
              <w:t>Maintenance annuelle</w:t>
            </w:r>
          </w:p>
        </w:tc>
        <w:tc>
          <w:tcPr>
            <w:tcW w:type="dxa" w:w="5102"/>
            <w:shd w:val="clear" w:color="auto" w:fill="FFFFFF"/>
          </w:tcPr>
          <w:p>
            <w:pPr>
              <w:jc w:val="left"/>
            </w:pPr>
            <w:r>
              <w:rPr>
                <w:rFonts w:ascii="Calibri" w:hAnsi="Calibri"/>
                <w:b w:val="0"/>
                <w:i w:val="0"/>
                <w:sz w:val="19"/>
              </w:rPr>
              <w:t>Mises à jour, support technique, hébergement</w:t>
            </w:r>
          </w:p>
        </w:tc>
        <w:tc>
          <w:tcPr>
            <w:tcW w:type="dxa" w:w="1701"/>
            <w:shd w:val="clear" w:color="auto" w:fill="FFFFFF"/>
          </w:tcPr>
          <w:p>
            <w:pPr>
              <w:jc w:val="left"/>
            </w:pPr>
            <w:r>
              <w:rPr>
                <w:rFonts w:ascii="Calibri" w:hAnsi="Calibri"/>
                <w:b w:val="0"/>
                <w:i w:val="0"/>
                <w:sz w:val="19"/>
              </w:rPr>
              <w:t>Sur devis</w:t>
            </w:r>
          </w:p>
        </w:tc>
      </w:tr>
      <w:tr>
        <w:tc>
          <w:tcPr>
            <w:tcW w:type="dxa" w:w="2835"/>
            <w:shd w:val="clear" w:color="auto" w:fill="F5F5F5"/>
          </w:tcPr>
          <w:p>
            <w:pPr>
              <w:jc w:val="left"/>
            </w:pPr>
            <w:r>
              <w:rPr>
                <w:rFonts w:ascii="Calibri" w:hAnsi="Calibri"/>
                <w:b w:val="0"/>
                <w:i w:val="0"/>
                <w:sz w:val="19"/>
              </w:rPr>
              <w:t>Développements spécifiques</w:t>
            </w:r>
          </w:p>
        </w:tc>
        <w:tc>
          <w:tcPr>
            <w:tcW w:type="dxa" w:w="5102"/>
            <w:shd w:val="clear" w:color="auto" w:fill="F5F5F5"/>
          </w:tcPr>
          <w:p>
            <w:pPr>
              <w:jc w:val="left"/>
            </w:pPr>
            <w:r>
              <w:rPr>
                <w:rFonts w:ascii="Calibri" w:hAnsi="Calibri"/>
                <w:b w:val="0"/>
                <w:i w:val="0"/>
                <w:sz w:val="19"/>
              </w:rPr>
              <w:t>Modules sur mesure selon besoins complémentaires</w:t>
            </w:r>
          </w:p>
        </w:tc>
        <w:tc>
          <w:tcPr>
            <w:tcW w:type="dxa" w:w="1701"/>
            <w:shd w:val="clear" w:color="auto" w:fill="F5F5F5"/>
          </w:tcPr>
          <w:p>
            <w:pPr>
              <w:jc w:val="left"/>
            </w:pPr>
            <w:r>
              <w:rPr>
                <w:rFonts w:ascii="Calibri" w:hAnsi="Calibri"/>
                <w:b w:val="0"/>
                <w:i w:val="0"/>
                <w:sz w:val="19"/>
              </w:rPr>
              <w:t>Sur devis</w:t>
            </w:r>
          </w:p>
        </w:tc>
      </w:tr>
    </w:tbl>
    <w:p/>
    <w:p>
      <w:r>
        <w:rPr>
          <w:rFonts w:ascii="Calibri" w:hAnsi="Calibri"/>
          <w:b w:val="0"/>
          <w:i/>
          <w:color w:val="1F6FB8"/>
          <w:sz w:val="20"/>
        </w:rPr>
        <w:t>Un devis détaillé et personnalisé sera transmis après audit de vos besoins spécifiques.</w:t>
      </w:r>
    </w:p>
    <w:p>
      <w:pPr>
        <w:spacing w:before="280" w:after="80"/>
        <w:pBdr>
          <w:bottom w:val="single" w:sz="6" w:space="4" w:color="1F6FB8"/>
        </w:pBdr>
      </w:pPr>
      <w:r>
        <w:rPr>
          <w:rFonts w:ascii="Calibri" w:hAnsi="Calibri"/>
          <w:b/>
          <w:i w:val="0"/>
          <w:color w:val="1A376C"/>
          <w:sz w:val="28"/>
        </w:rPr>
        <w:t>6.  PLAN DE MISE EN ŒUVRE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376C"/>
            <w:vAlign w:val="center"/>
          </w:tcPr>
          <w:p>
            <w:pPr>
              <w:jc w:val="center"/>
            </w:pPr>
            <w:r>
              <w:rPr>
                <w:rFonts w:ascii="Calibri" w:hAnsi="Calibri"/>
                <w:b/>
                <w:i w:val="0"/>
                <w:color w:val="FFFFFF"/>
                <w:sz w:val="20"/>
              </w:rPr>
              <w:t>Phase</w:t>
            </w:r>
          </w:p>
        </w:tc>
        <w:tc>
          <w:tcPr>
            <w:tcW w:type="dxa" w:w="1701"/>
            <w:shd w:val="clear" w:color="auto" w:fill="1A376C"/>
            <w:vAlign w:val="center"/>
          </w:tcPr>
          <w:p>
            <w:pPr>
              <w:jc w:val="center"/>
            </w:pPr>
            <w:r>
              <w:rPr>
                <w:rFonts w:ascii="Calibri" w:hAnsi="Calibri"/>
                <w:b/>
                <w:i w:val="0"/>
                <w:color w:val="FFFFFF"/>
                <w:sz w:val="20"/>
              </w:rPr>
              <w:t>Période</w:t>
            </w:r>
          </w:p>
        </w:tc>
        <w:tc>
          <w:tcPr>
            <w:tcW w:type="dxa" w:w="5386"/>
            <w:shd w:val="clear" w:color="auto" w:fill="1A376C"/>
            <w:vAlign w:val="center"/>
          </w:tcPr>
          <w:p>
            <w:pPr>
              <w:jc w:val="center"/>
            </w:pPr>
            <w:r>
              <w:rPr>
                <w:rFonts w:ascii="Calibri" w:hAnsi="Calibri"/>
                <w:b/>
                <w:i w:val="0"/>
                <w:color w:val="FFFFFF"/>
                <w:sz w:val="20"/>
              </w:rPr>
              <w:t>Activités</w:t>
            </w:r>
          </w:p>
        </w:tc>
      </w:tr>
      <w:tr>
        <w:tc>
          <w:tcPr>
            <w:tcW w:type="dxa" w:w="2551"/>
            <w:shd w:val="clear" w:color="auto" w:fill="F5F5F5"/>
          </w:tcPr>
          <w:p>
            <w:pPr>
              <w:jc w:val="left"/>
            </w:pPr>
            <w:r>
              <w:rPr>
                <w:rFonts w:ascii="Calibri" w:hAnsi="Calibri"/>
                <w:b w:val="0"/>
                <w:i w:val="0"/>
                <w:sz w:val="19"/>
              </w:rPr>
              <w:t>Phase 1 – Cadrage</w:t>
            </w:r>
          </w:p>
        </w:tc>
        <w:tc>
          <w:tcPr>
            <w:tcW w:type="dxa" w:w="1701"/>
            <w:shd w:val="clear" w:color="auto" w:fill="F5F5F5"/>
          </w:tcPr>
          <w:p>
            <w:pPr>
              <w:jc w:val="left"/>
            </w:pPr>
            <w:r>
              <w:rPr>
                <w:rFonts w:ascii="Calibri" w:hAnsi="Calibri"/>
                <w:b w:val="0"/>
                <w:i w:val="0"/>
                <w:sz w:val="19"/>
              </w:rPr>
              <w:t>Semaines 1–2</w:t>
            </w:r>
          </w:p>
        </w:tc>
        <w:tc>
          <w:tcPr>
            <w:tcW w:type="dxa" w:w="5386"/>
            <w:shd w:val="clear" w:color="auto" w:fill="F5F5F5"/>
          </w:tcPr>
          <w:p>
            <w:pPr>
              <w:jc w:val="left"/>
            </w:pPr>
            <w:r>
              <w:rPr>
                <w:rFonts w:ascii="Calibri" w:hAnsi="Calibri"/>
                <w:b w:val="0"/>
                <w:i w:val="0"/>
                <w:sz w:val="19"/>
              </w:rPr>
              <w:t>Audit des besoins, recueil des données existantes</w:t>
            </w:r>
          </w:p>
        </w:tc>
      </w:tr>
      <w:tr>
        <w:tc>
          <w:tcPr>
            <w:tcW w:type="dxa" w:w="2551"/>
            <w:shd w:val="clear" w:color="auto" w:fill="FFFFFF"/>
          </w:tcPr>
          <w:p>
            <w:pPr>
              <w:jc w:val="left"/>
            </w:pPr>
            <w:r>
              <w:rPr>
                <w:rFonts w:ascii="Calibri" w:hAnsi="Calibri"/>
                <w:b w:val="0"/>
                <w:i w:val="0"/>
                <w:sz w:val="19"/>
              </w:rPr>
              <w:t>Phase 2 – Déploiement</w:t>
            </w:r>
          </w:p>
        </w:tc>
        <w:tc>
          <w:tcPr>
            <w:tcW w:type="dxa" w:w="1701"/>
            <w:shd w:val="clear" w:color="auto" w:fill="FFFFFF"/>
          </w:tcPr>
          <w:p>
            <w:pPr>
              <w:jc w:val="left"/>
            </w:pPr>
            <w:r>
              <w:rPr>
                <w:rFonts w:ascii="Calibri" w:hAnsi="Calibri"/>
                <w:b w:val="0"/>
                <w:i w:val="0"/>
                <w:sz w:val="19"/>
              </w:rPr>
              <w:t>Semaines 3–4</w:t>
            </w:r>
          </w:p>
        </w:tc>
        <w:tc>
          <w:tcPr>
            <w:tcW w:type="dxa" w:w="5386"/>
            <w:shd w:val="clear" w:color="auto" w:fill="FFFFFF"/>
          </w:tcPr>
          <w:p>
            <w:pPr>
              <w:jc w:val="left"/>
            </w:pPr>
            <w:r>
              <w:rPr>
                <w:rFonts w:ascii="Calibri" w:hAnsi="Calibri"/>
                <w:b w:val="0"/>
                <w:i w:val="0"/>
                <w:sz w:val="19"/>
              </w:rPr>
              <w:t>Infrastructure, configuration serveur et paramétrage</w:t>
            </w:r>
          </w:p>
        </w:tc>
      </w:tr>
      <w:tr>
        <w:tc>
          <w:tcPr>
            <w:tcW w:type="dxa" w:w="2551"/>
            <w:shd w:val="clear" w:color="auto" w:fill="F5F5F5"/>
          </w:tcPr>
          <w:p>
            <w:pPr>
              <w:jc w:val="left"/>
            </w:pPr>
            <w:r>
              <w:rPr>
                <w:rFonts w:ascii="Calibri" w:hAnsi="Calibri"/>
                <w:b w:val="0"/>
                <w:i w:val="0"/>
                <w:sz w:val="19"/>
              </w:rPr>
              <w:t>Phase 3 – Migration</w:t>
            </w:r>
          </w:p>
        </w:tc>
        <w:tc>
          <w:tcPr>
            <w:tcW w:type="dxa" w:w="1701"/>
            <w:shd w:val="clear" w:color="auto" w:fill="F5F5F5"/>
          </w:tcPr>
          <w:p>
            <w:pPr>
              <w:jc w:val="left"/>
            </w:pPr>
            <w:r>
              <w:rPr>
                <w:rFonts w:ascii="Calibri" w:hAnsi="Calibri"/>
                <w:b w:val="0"/>
                <w:i w:val="0"/>
                <w:sz w:val="19"/>
              </w:rPr>
              <w:t>Semaines 5–6</w:t>
            </w:r>
          </w:p>
        </w:tc>
        <w:tc>
          <w:tcPr>
            <w:tcW w:type="dxa" w:w="5386"/>
            <w:shd w:val="clear" w:color="auto" w:fill="F5F5F5"/>
          </w:tcPr>
          <w:p>
            <w:pPr>
              <w:jc w:val="left"/>
            </w:pPr>
            <w:r>
              <w:rPr>
                <w:rFonts w:ascii="Calibri" w:hAnsi="Calibri"/>
                <w:b w:val="0"/>
                <w:i w:val="0"/>
                <w:sz w:val="19"/>
              </w:rPr>
              <w:t>Migration et validation des données</w:t>
            </w:r>
          </w:p>
        </w:tc>
      </w:tr>
      <w:tr>
        <w:tc>
          <w:tcPr>
            <w:tcW w:type="dxa" w:w="2551"/>
            <w:shd w:val="clear" w:color="auto" w:fill="FFFFFF"/>
          </w:tcPr>
          <w:p>
            <w:pPr>
              <w:jc w:val="left"/>
            </w:pPr>
            <w:r>
              <w:rPr>
                <w:rFonts w:ascii="Calibri" w:hAnsi="Calibri"/>
                <w:b w:val="0"/>
                <w:i w:val="0"/>
                <w:sz w:val="19"/>
              </w:rPr>
              <w:t>Phase 4 – Formation</w:t>
            </w:r>
          </w:p>
        </w:tc>
        <w:tc>
          <w:tcPr>
            <w:tcW w:type="dxa" w:w="1701"/>
            <w:shd w:val="clear" w:color="auto" w:fill="FFFFFF"/>
          </w:tcPr>
          <w:p>
            <w:pPr>
              <w:jc w:val="left"/>
            </w:pPr>
            <w:r>
              <w:rPr>
                <w:rFonts w:ascii="Calibri" w:hAnsi="Calibri"/>
                <w:b w:val="0"/>
                <w:i w:val="0"/>
                <w:sz w:val="19"/>
              </w:rPr>
              <w:t>Semaines 7–8</w:t>
            </w:r>
          </w:p>
        </w:tc>
        <w:tc>
          <w:tcPr>
            <w:tcW w:type="dxa" w:w="5386"/>
            <w:shd w:val="clear" w:color="auto" w:fill="FFFFFF"/>
          </w:tcPr>
          <w:p>
            <w:pPr>
              <w:jc w:val="left"/>
            </w:pPr>
            <w:r>
              <w:rPr>
                <w:rFonts w:ascii="Calibri" w:hAnsi="Calibri"/>
                <w:b w:val="0"/>
                <w:i w:val="0"/>
                <w:sz w:val="19"/>
              </w:rPr>
              <w:t>Formation administrateurs et utilisateurs finaux</w:t>
            </w:r>
          </w:p>
        </w:tc>
      </w:tr>
      <w:tr>
        <w:tc>
          <w:tcPr>
            <w:tcW w:type="dxa" w:w="2551"/>
            <w:shd w:val="clear" w:color="auto" w:fill="F5F5F5"/>
          </w:tcPr>
          <w:p>
            <w:pPr>
              <w:jc w:val="left"/>
            </w:pPr>
            <w:r>
              <w:rPr>
                <w:rFonts w:ascii="Calibri" w:hAnsi="Calibri"/>
                <w:b w:val="0"/>
                <w:i w:val="0"/>
                <w:sz w:val="19"/>
              </w:rPr>
              <w:t>Phase 5 – Recette</w:t>
            </w:r>
          </w:p>
        </w:tc>
        <w:tc>
          <w:tcPr>
            <w:tcW w:type="dxa" w:w="1701"/>
            <w:shd w:val="clear" w:color="auto" w:fill="F5F5F5"/>
          </w:tcPr>
          <w:p>
            <w:pPr>
              <w:jc w:val="left"/>
            </w:pPr>
            <w:r>
              <w:rPr>
                <w:rFonts w:ascii="Calibri" w:hAnsi="Calibri"/>
                <w:b w:val="0"/>
                <w:i w:val="0"/>
                <w:sz w:val="19"/>
              </w:rPr>
              <w:t>Semaine 9</w:t>
            </w:r>
          </w:p>
        </w:tc>
        <w:tc>
          <w:tcPr>
            <w:tcW w:type="dxa" w:w="5386"/>
            <w:shd w:val="clear" w:color="auto" w:fill="F5F5F5"/>
          </w:tcPr>
          <w:p>
            <w:pPr>
              <w:jc w:val="left"/>
            </w:pPr>
            <w:r>
              <w:rPr>
                <w:rFonts w:ascii="Calibri" w:hAnsi="Calibri"/>
                <w:b w:val="0"/>
                <w:i w:val="0"/>
                <w:sz w:val="19"/>
              </w:rPr>
              <w:t>Tests, corrections, validation client</w:t>
            </w:r>
          </w:p>
        </w:tc>
      </w:tr>
      <w:tr>
        <w:tc>
          <w:tcPr>
            <w:tcW w:type="dxa" w:w="2551"/>
            <w:shd w:val="clear" w:color="auto" w:fill="FFFFFF"/>
          </w:tcPr>
          <w:p>
            <w:pPr>
              <w:jc w:val="left"/>
            </w:pPr>
            <w:r>
              <w:rPr>
                <w:rFonts w:ascii="Calibri" w:hAnsi="Calibri"/>
                <w:b w:val="0"/>
                <w:i w:val="0"/>
                <w:sz w:val="19"/>
              </w:rPr>
              <w:t>Phase 6 – Production</w:t>
            </w:r>
          </w:p>
        </w:tc>
        <w:tc>
          <w:tcPr>
            <w:tcW w:type="dxa" w:w="1701"/>
            <w:shd w:val="clear" w:color="auto" w:fill="FFFFFF"/>
          </w:tcPr>
          <w:p>
            <w:pPr>
              <w:jc w:val="left"/>
            </w:pPr>
            <w:r>
              <w:rPr>
                <w:rFonts w:ascii="Calibri" w:hAnsi="Calibri"/>
                <w:b w:val="0"/>
                <w:i w:val="0"/>
                <w:sz w:val="19"/>
              </w:rPr>
              <w:t>Semaine 10</w:t>
            </w:r>
          </w:p>
        </w:tc>
        <w:tc>
          <w:tcPr>
            <w:tcW w:type="dxa" w:w="5386"/>
            <w:shd w:val="clear" w:color="auto" w:fill="FFFFFF"/>
          </w:tcPr>
          <w:p>
            <w:pPr>
              <w:jc w:val="left"/>
            </w:pPr>
            <w:r>
              <w:rPr>
                <w:rFonts w:ascii="Calibri" w:hAnsi="Calibri"/>
                <w:b w:val="0"/>
                <w:i w:val="0"/>
                <w:sz w:val="19"/>
              </w:rPr>
              <w:t>Mise en production et suivi post-déploiement</w:t>
            </w:r>
          </w:p>
        </w:tc>
      </w:tr>
    </w:tbl>
    <w:p/>
    <w:p>
      <w:pPr>
        <w:spacing w:before="280" w:after="80"/>
        <w:pBdr>
          <w:bottom w:val="single" w:sz="6" w:space="4" w:color="1F6FB8"/>
        </w:pBdr>
      </w:pPr>
      <w:r>
        <w:rPr>
          <w:rFonts w:ascii="Calibri" w:hAnsi="Calibri"/>
          <w:b/>
          <w:i w:val="0"/>
          <w:color w:val="1A376C"/>
          <w:sz w:val="28"/>
        </w:rPr>
        <w:t>7.  GARANTIES &amp; SUPPORT</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1A376C"/>
            <w:vAlign w:val="center"/>
          </w:tcPr>
          <w:p>
            <w:pPr>
              <w:jc w:val="center"/>
            </w:pPr>
            <w:r>
              <w:rPr>
                <w:rFonts w:ascii="Calibri" w:hAnsi="Calibri"/>
                <w:b/>
                <w:i w:val="0"/>
                <w:color w:val="FFFFFF"/>
                <w:sz w:val="20"/>
              </w:rPr>
              <w:t>Engagement</w:t>
            </w:r>
          </w:p>
        </w:tc>
        <w:tc>
          <w:tcPr>
            <w:tcW w:type="dxa" w:w="5102"/>
            <w:shd w:val="clear" w:color="auto" w:fill="1A376C"/>
            <w:vAlign w:val="center"/>
          </w:tcPr>
          <w:p>
            <w:pPr>
              <w:jc w:val="center"/>
            </w:pPr>
            <w:r>
              <w:rPr>
                <w:rFonts w:ascii="Calibri" w:hAnsi="Calibri"/>
                <w:b/>
                <w:i w:val="0"/>
                <w:color w:val="FFFFFF"/>
                <w:sz w:val="20"/>
              </w:rPr>
              <w:t>Valeur</w:t>
            </w:r>
          </w:p>
        </w:tc>
      </w:tr>
      <w:tr>
        <w:tc>
          <w:tcPr>
            <w:tcW w:type="dxa" w:w="4535"/>
            <w:shd w:val="clear" w:color="auto" w:fill="F5F5F5"/>
          </w:tcPr>
          <w:p>
            <w:pPr>
              <w:jc w:val="left"/>
            </w:pPr>
            <w:r>
              <w:rPr>
                <w:rFonts w:ascii="Calibri" w:hAnsi="Calibri"/>
                <w:b w:val="0"/>
                <w:i w:val="0"/>
                <w:sz w:val="19"/>
              </w:rPr>
              <w:t>Horaires support</w:t>
            </w:r>
          </w:p>
        </w:tc>
        <w:tc>
          <w:tcPr>
            <w:tcW w:type="dxa" w:w="5102"/>
            <w:shd w:val="clear" w:color="auto" w:fill="F5F5F5"/>
          </w:tcPr>
          <w:p>
            <w:pPr>
              <w:jc w:val="left"/>
            </w:pPr>
            <w:r>
              <w:rPr>
                <w:rFonts w:ascii="Calibri" w:hAnsi="Calibri"/>
                <w:b w:val="0"/>
                <w:i w:val="0"/>
                <w:sz w:val="19"/>
              </w:rPr>
              <w:t>5j/7 – 8h à 18h</w:t>
            </w:r>
          </w:p>
        </w:tc>
      </w:tr>
      <w:tr>
        <w:tc>
          <w:tcPr>
            <w:tcW w:type="dxa" w:w="4535"/>
            <w:shd w:val="clear" w:color="auto" w:fill="FFFFFF"/>
          </w:tcPr>
          <w:p>
            <w:pPr>
              <w:jc w:val="left"/>
            </w:pPr>
            <w:r>
              <w:rPr>
                <w:rFonts w:ascii="Calibri" w:hAnsi="Calibri"/>
                <w:b w:val="0"/>
                <w:i w:val="0"/>
                <w:sz w:val="19"/>
              </w:rPr>
              <w:t>Délai réponse incidents critiques</w:t>
            </w:r>
          </w:p>
        </w:tc>
        <w:tc>
          <w:tcPr>
            <w:tcW w:type="dxa" w:w="5102"/>
            <w:shd w:val="clear" w:color="auto" w:fill="FFFFFF"/>
          </w:tcPr>
          <w:p>
            <w:pPr>
              <w:jc w:val="left"/>
            </w:pPr>
            <w:r>
              <w:rPr>
                <w:rFonts w:ascii="Calibri" w:hAnsi="Calibri"/>
                <w:b w:val="0"/>
                <w:i w:val="0"/>
                <w:sz w:val="19"/>
              </w:rPr>
              <w:t>&lt; 4 heures</w:t>
            </w:r>
          </w:p>
        </w:tc>
      </w:tr>
      <w:tr>
        <w:tc>
          <w:tcPr>
            <w:tcW w:type="dxa" w:w="4535"/>
            <w:shd w:val="clear" w:color="auto" w:fill="F5F5F5"/>
          </w:tcPr>
          <w:p>
            <w:pPr>
              <w:jc w:val="left"/>
            </w:pPr>
            <w:r>
              <w:rPr>
                <w:rFonts w:ascii="Calibri" w:hAnsi="Calibri"/>
                <w:b w:val="0"/>
                <w:i w:val="0"/>
                <w:sz w:val="19"/>
              </w:rPr>
              <w:t>Mises à jour de sécurité</w:t>
            </w:r>
          </w:p>
        </w:tc>
        <w:tc>
          <w:tcPr>
            <w:tcW w:type="dxa" w:w="5102"/>
            <w:shd w:val="clear" w:color="auto" w:fill="F5F5F5"/>
          </w:tcPr>
          <w:p>
            <w:pPr>
              <w:jc w:val="left"/>
            </w:pPr>
            <w:r>
              <w:rPr>
                <w:rFonts w:ascii="Calibri" w:hAnsi="Calibri"/>
                <w:b w:val="0"/>
                <w:i w:val="0"/>
                <w:sz w:val="19"/>
              </w:rPr>
              <w:t>Incluses dans la maintenance</w:t>
            </w:r>
          </w:p>
        </w:tc>
      </w:tr>
      <w:tr>
        <w:tc>
          <w:tcPr>
            <w:tcW w:type="dxa" w:w="4535"/>
            <w:shd w:val="clear" w:color="auto" w:fill="FFFFFF"/>
          </w:tcPr>
          <w:p>
            <w:pPr>
              <w:jc w:val="left"/>
            </w:pPr>
            <w:r>
              <w:rPr>
                <w:rFonts w:ascii="Calibri" w:hAnsi="Calibri"/>
                <w:b w:val="0"/>
                <w:i w:val="0"/>
                <w:sz w:val="19"/>
              </w:rPr>
              <w:t>Sauvegardes automatiques</w:t>
            </w:r>
          </w:p>
        </w:tc>
        <w:tc>
          <w:tcPr>
            <w:tcW w:type="dxa" w:w="5102"/>
            <w:shd w:val="clear" w:color="auto" w:fill="FFFFFF"/>
          </w:tcPr>
          <w:p>
            <w:pPr>
              <w:jc w:val="left"/>
            </w:pPr>
            <w:r>
              <w:rPr>
                <w:rFonts w:ascii="Calibri" w:hAnsi="Calibri"/>
                <w:b w:val="0"/>
                <w:i w:val="0"/>
                <w:sz w:val="19"/>
              </w:rPr>
              <w:t>Quotidiennes</w:t>
            </w:r>
          </w:p>
        </w:tc>
      </w:tr>
      <w:tr>
        <w:tc>
          <w:tcPr>
            <w:tcW w:type="dxa" w:w="4535"/>
            <w:shd w:val="clear" w:color="auto" w:fill="F5F5F5"/>
          </w:tcPr>
          <w:p>
            <w:pPr>
              <w:jc w:val="left"/>
            </w:pPr>
            <w:r>
              <w:rPr>
                <w:rFonts w:ascii="Calibri" w:hAnsi="Calibri"/>
                <w:b w:val="0"/>
                <w:i w:val="0"/>
                <w:sz w:val="19"/>
              </w:rPr>
              <w:t>Disponibilité (SLA)</w:t>
            </w:r>
          </w:p>
        </w:tc>
        <w:tc>
          <w:tcPr>
            <w:tcW w:type="dxa" w:w="5102"/>
            <w:shd w:val="clear" w:color="auto" w:fill="F5F5F5"/>
          </w:tcPr>
          <w:p>
            <w:pPr>
              <w:jc w:val="left"/>
            </w:pPr>
            <w:r>
              <w:rPr>
                <w:rFonts w:ascii="Calibri" w:hAnsi="Calibri"/>
                <w:b w:val="0"/>
                <w:i w:val="0"/>
                <w:sz w:val="19"/>
              </w:rPr>
              <w:t>99,5 %</w:t>
            </w:r>
          </w:p>
        </w:tc>
      </w:tr>
    </w:tbl>
    <w:p/>
    <w:p>
      <w:pPr>
        <w:spacing w:before="280" w:after="80"/>
        <w:pBdr>
          <w:bottom w:val="single" w:sz="6" w:space="4" w:color="1F6FB8"/>
        </w:pBdr>
      </w:pPr>
      <w:r>
        <w:rPr>
          <w:rFonts w:ascii="Calibri" w:hAnsi="Calibri"/>
          <w:b/>
          <w:i w:val="0"/>
          <w:color w:val="1A376C"/>
          <w:sz w:val="28"/>
        </w:rPr>
        <w:t>8.  CONTACT</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A376C"/>
            <w:vAlign w:val="center"/>
          </w:tcPr>
          <w:p>
            <w:pPr>
              <w:jc w:val="center"/>
            </w:pPr>
            <w:r>
              <w:rPr>
                <w:rFonts w:ascii="Calibri" w:hAnsi="Calibri"/>
                <w:b/>
                <w:i w:val="0"/>
                <w:color w:val="FFFFFF"/>
                <w:sz w:val="20"/>
              </w:rPr>
            </w:r>
          </w:p>
        </w:tc>
        <w:tc>
          <w:tcPr>
            <w:tcW w:type="dxa" w:w="6803"/>
            <w:shd w:val="clear" w:color="auto" w:fill="1A376C"/>
            <w:vAlign w:val="center"/>
          </w:tcPr>
          <w:p>
            <w:pPr>
              <w:jc w:val="center"/>
            </w:pPr>
            <w:r>
              <w:rPr>
                <w:rFonts w:ascii="Calibri" w:hAnsi="Calibri"/>
                <w:b/>
                <w:i w:val="0"/>
                <w:color w:val="FFFFFF"/>
                <w:sz w:val="20"/>
              </w:rPr>
            </w:r>
          </w:p>
        </w:tc>
      </w:tr>
      <w:tr>
        <w:tc>
          <w:tcPr>
            <w:tcW w:type="dxa" w:w="2835"/>
            <w:shd w:val="clear" w:color="auto" w:fill="F5F5F5"/>
          </w:tcPr>
          <w:p>
            <w:pPr>
              <w:jc w:val="left"/>
            </w:pPr>
            <w:r>
              <w:rPr>
                <w:rFonts w:ascii="Calibri" w:hAnsi="Calibri"/>
                <w:b w:val="0"/>
                <w:i w:val="0"/>
                <w:sz w:val="19"/>
              </w:rPr>
              <w:t>Email</w:t>
            </w:r>
          </w:p>
        </w:tc>
        <w:tc>
          <w:tcPr>
            <w:tcW w:type="dxa" w:w="6803"/>
            <w:shd w:val="clear" w:color="auto" w:fill="F5F5F5"/>
          </w:tcPr>
          <w:p>
            <w:pPr>
              <w:jc w:val="left"/>
            </w:pPr>
            <w:r>
              <w:rPr>
                <w:rFonts w:ascii="Calibri" w:hAnsi="Calibri"/>
                <w:b w:val="0"/>
                <w:i w:val="0"/>
                <w:sz w:val="19"/>
              </w:rPr>
              <w:t>franckalain.ai@gmail.com</w:t>
            </w:r>
          </w:p>
        </w:tc>
      </w:tr>
      <w:tr>
        <w:tc>
          <w:tcPr>
            <w:tcW w:type="dxa" w:w="2835"/>
            <w:shd w:val="clear" w:color="auto" w:fill="FFFFFF"/>
          </w:tcPr>
          <w:p>
            <w:pPr>
              <w:jc w:val="left"/>
            </w:pPr>
            <w:r>
              <w:rPr>
                <w:rFonts w:ascii="Calibri" w:hAnsi="Calibri"/>
                <w:b w:val="0"/>
                <w:i w:val="0"/>
                <w:sz w:val="19"/>
              </w:rPr>
              <w:t>Référence dossier</w:t>
            </w:r>
          </w:p>
        </w:tc>
        <w:tc>
          <w:tcPr>
            <w:tcW w:type="dxa" w:w="6803"/>
            <w:shd w:val="clear" w:color="auto" w:fill="FFFFFF"/>
          </w:tcPr>
          <w:p>
            <w:pPr>
              <w:jc w:val="left"/>
            </w:pPr>
            <w:r>
              <w:rPr>
                <w:rFonts w:ascii="Calibri" w:hAnsi="Calibri"/>
                <w:b w:val="0"/>
                <w:i w:val="0"/>
                <w:sz w:val="19"/>
              </w:rPr>
              <w:t>OC-2026-001</w:t>
            </w:r>
          </w:p>
        </w:tc>
      </w:tr>
    </w:tbl>
    <w:p/>
    <w:p/>
    <w:p>
      <w:pPr>
        <w:jc w:val="center"/>
      </w:pPr>
      <w:r>
        <w:rPr>
          <w:rFonts w:ascii="Calibri" w:hAnsi="Calibri"/>
          <w:b w:val="0"/>
          <w:i/>
          <w:color w:val="1F6FB8"/>
          <w:sz w:val="20"/>
        </w:rPr>
        <w:t>Cette offre est confidentielle et établie à l'attention exclusive du destinataire.</w:t>
        <w:br/>
        <w:t>Validité : 30 jours à compter de la date d'émission.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