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638"/>
            <w:shd w:val="clear" w:color="auto" w:fill="0A336B"/>
            <w:vAlign w:val="center"/>
          </w:tcPr>
          <w:p>
            <w:pPr>
              <w:spacing w:before="280" w:after="280"/>
              <w:jc w:val="center"/>
            </w:pPr>
            <w:r>
              <w:rPr>
                <w:rFonts w:ascii="Calibri" w:hAnsi="Calibri"/>
                <w:b/>
                <w:color w:val="FFFFFF"/>
                <w:sz w:val="26"/>
              </w:rPr>
              <w:t>RÉPUBLIQUE DU CONGO</w:t>
            </w:r>
          </w:p>
          <w:p>
            <w:pPr>
              <w:spacing w:before="0" w:after="280"/>
              <w:jc w:val="center"/>
            </w:pPr>
            <w:r>
              <w:rPr>
                <w:rFonts w:ascii="Calibri" w:hAnsi="Calibri"/>
                <w:color w:val="CCDDFF"/>
                <w:sz w:val="22"/>
              </w:rPr>
              <w:t>Ministère du Travail et de la Sécurité Sociale</w:t>
            </w:r>
          </w:p>
        </w:tc>
      </w:tr>
    </w:tbl>
    <w:p/>
    <w:p>
      <w:pPr>
        <w:spacing w:before="600" w:after="120"/>
        <w:jc w:val="center"/>
      </w:pPr>
      <w:r>
        <w:rPr>
          <w:rFonts w:ascii="Calibri" w:hAnsi="Calibri"/>
          <w:b/>
          <w:color w:val="0A336B"/>
          <w:sz w:val="56"/>
        </w:rPr>
        <w:t>OFFRE COMMERCIALE</w:t>
      </w:r>
    </w:p>
    <w:p>
      <w:pPr>
        <w:spacing w:before="0" w:after="80"/>
        <w:jc w:val="center"/>
      </w:pPr>
      <w:r>
        <w:rPr>
          <w:rFonts w:ascii="Calibri" w:hAnsi="Calibri"/>
          <w:b/>
          <w:color w:val="1A6FB5"/>
          <w:sz w:val="44"/>
        </w:rPr>
        <w:t>Plateforme Nationale</w:t>
      </w:r>
    </w:p>
    <w:p>
      <w:pPr>
        <w:spacing w:before="0" w:after="600"/>
        <w:jc w:val="center"/>
      </w:pPr>
      <w:r>
        <w:rPr>
          <w:rFonts w:ascii="Calibri" w:hAnsi="Calibri"/>
          <w:b/>
          <w:color w:val="1A6FB5"/>
          <w:sz w:val="44"/>
        </w:rPr>
        <w:t>e-Inspection du Travail</w:t>
      </w:r>
    </w:p>
    <w:p>
      <w:pPr>
        <w:pBdr>
          <w:bottom w:val="single" w:sz="8" w:space="1" w:color="0A336B"/>
        </w:pBdr>
        <w:spacing w:before="40" w:after="40"/>
      </w:pPr>
    </w:p>
    <w:p/>
    <w:tbl>
      <w:tblPr>
        <w:tblW w:type="auto" w:w="0"/>
        <w:jc w:val="center"/>
        <w:tblLook w:firstColumn="1" w:firstRow="1" w:lastColumn="0" w:lastRow="0" w:noHBand="0" w:noVBand="1" w:val="04A0"/>
      </w:tblPr>
      <w:tblGrid>
        <w:gridCol w:w="9406"/>
      </w:tblGrid>
      <w:tr>
        <w:tc>
          <w:tcPr>
            <w:tcW w:type="dxa" w:w="7370"/>
            <w:shd w:val="clear" w:color="auto" w:fill="E8F0FA"/>
            <w:vAlign w:val="center"/>
          </w:tcPr>
          <w:p>
            <w:pPr>
              <w:spacing w:before="200" w:after="200"/>
              <w:jc w:val="center"/>
            </w:pPr>
            <w:r>
              <w:rPr>
                <w:rFonts w:ascii="Calibri" w:hAnsi="Calibri"/>
                <w:i/>
                <w:color w:val="0A336B"/>
                <w:sz w:val="24"/>
              </w:rPr>
              <w:t>Solution digitale de gestion de l'inspection du travail,</w:t>
              <w:br/>
              <w:t>des plaintes sociales et de la conciliation</w:t>
            </w:r>
          </w:p>
        </w:tc>
      </w:tr>
    </w:tbl>
    <w:p/>
    <w:p/>
    <w:tbl>
      <w:tblPr>
        <w:tblW w:type="auto" w:w="0"/>
        <w:jc w:val="center"/>
        <w:tblLook w:firstColumn="1" w:firstRow="1" w:lastColumn="0" w:lastRow="0" w:noHBand="0" w:noVBand="1" w:val="04A0"/>
      </w:tblPr>
      <w:tblGrid>
        <w:gridCol w:w="4703"/>
        <w:gridCol w:w="4703"/>
      </w:tblGrid>
      <w:tr>
        <w:tc>
          <w:tcPr>
            <w:tcW w:type="dxa" w:w="4703"/>
            <w:shd w:val="clear" w:color="auto" w:fill="0A336B"/>
          </w:tcPr>
          <w:p>
            <w:pPr>
              <w:spacing w:before="100" w:after="100"/>
              <w:jc w:val="left"/>
            </w:pPr>
            <w:r>
              <w:rPr>
                <w:rFonts w:ascii="Calibri" w:hAnsi="Calibri"/>
                <w:b/>
                <w:color w:val="FFFFFF"/>
                <w:sz w:val="20"/>
              </w:rPr>
              <w:t>Destinataire</w:t>
            </w:r>
          </w:p>
        </w:tc>
        <w:tc>
          <w:tcPr>
            <w:tcW w:type="dxa" w:w="4703"/>
          </w:tcPr>
          <w:p>
            <w:pPr>
              <w:spacing w:before="100" w:after="100"/>
            </w:pPr>
            <w:r>
              <w:rPr>
                <w:rFonts w:ascii="Calibri" w:hAnsi="Calibri"/>
                <w:color w:val="333333"/>
                <w:sz w:val="20"/>
              </w:rPr>
              <w:t>Direction Générale du Travail – Ministère du Travail et de la Sécurité Sociale</w:t>
            </w:r>
          </w:p>
        </w:tc>
      </w:tr>
      <w:tr>
        <w:tc>
          <w:tcPr>
            <w:tcW w:type="dxa" w:w="4703"/>
            <w:shd w:val="clear" w:color="auto" w:fill="0A336B"/>
          </w:tcPr>
          <w:p>
            <w:pPr>
              <w:spacing w:before="100" w:after="100"/>
              <w:jc w:val="left"/>
            </w:pPr>
            <w:r>
              <w:rPr>
                <w:rFonts w:ascii="Calibri" w:hAnsi="Calibri"/>
                <w:b/>
                <w:color w:val="FFFFFF"/>
                <w:sz w:val="20"/>
              </w:rPr>
              <w:t>Préparé par</w:t>
            </w:r>
          </w:p>
        </w:tc>
        <w:tc>
          <w:tcPr>
            <w:tcW w:type="dxa" w:w="4703"/>
          </w:tcPr>
          <w:p>
            <w:pPr>
              <w:spacing w:before="100" w:after="100"/>
            </w:pPr>
            <w:r>
              <w:rPr>
                <w:rFonts w:ascii="Calibri" w:hAnsi="Calibri"/>
                <w:color w:val="333333"/>
                <w:sz w:val="20"/>
              </w:rPr>
              <w:t>Numerix Digital  |  franckalain.ai@gmail.com</w:t>
            </w:r>
          </w:p>
        </w:tc>
      </w:tr>
      <w:tr>
        <w:tc>
          <w:tcPr>
            <w:tcW w:type="dxa" w:w="4703"/>
            <w:shd w:val="clear" w:color="auto" w:fill="0A336B"/>
          </w:tcPr>
          <w:p>
            <w:pPr>
              <w:spacing w:before="100" w:after="100"/>
              <w:jc w:val="left"/>
            </w:pPr>
            <w:r>
              <w:rPr>
                <w:rFonts w:ascii="Calibri" w:hAnsi="Calibri"/>
                <w:b/>
                <w:color w:val="FFFFFF"/>
                <w:sz w:val="20"/>
              </w:rPr>
              <w:t>Référence</w:t>
            </w:r>
          </w:p>
        </w:tc>
        <w:tc>
          <w:tcPr>
            <w:tcW w:type="dxa" w:w="4703"/>
          </w:tcPr>
          <w:p>
            <w:pPr>
              <w:spacing w:before="100" w:after="100"/>
            </w:pPr>
            <w:r>
              <w:rPr>
                <w:rFonts w:ascii="Calibri" w:hAnsi="Calibri"/>
                <w:color w:val="333333"/>
                <w:sz w:val="20"/>
              </w:rPr>
              <w:t>OC-DGT-2026-001</w:t>
            </w:r>
          </w:p>
        </w:tc>
      </w:tr>
      <w:tr>
        <w:tc>
          <w:tcPr>
            <w:tcW w:type="dxa" w:w="4703"/>
            <w:shd w:val="clear" w:color="auto" w:fill="0A336B"/>
          </w:tcPr>
          <w:p>
            <w:pPr>
              <w:spacing w:before="100" w:after="100"/>
              <w:jc w:val="left"/>
            </w:pPr>
            <w:r>
              <w:rPr>
                <w:rFonts w:ascii="Calibri" w:hAnsi="Calibri"/>
                <w:b/>
                <w:color w:val="FFFFFF"/>
                <w:sz w:val="20"/>
              </w:rPr>
              <w:t>Date</w:t>
            </w:r>
          </w:p>
        </w:tc>
        <w:tc>
          <w:tcPr>
            <w:tcW w:type="dxa" w:w="4703"/>
          </w:tcPr>
          <w:p>
            <w:pPr>
              <w:spacing w:before="100" w:after="100"/>
            </w:pPr>
            <w:r>
              <w:rPr>
                <w:rFonts w:ascii="Calibri" w:hAnsi="Calibri"/>
                <w:color w:val="333333"/>
                <w:sz w:val="20"/>
              </w:rPr>
              <w:t>13 June 2026</w:t>
            </w:r>
          </w:p>
        </w:tc>
      </w:tr>
      <w:tr>
        <w:tc>
          <w:tcPr>
            <w:tcW w:type="dxa" w:w="4703"/>
            <w:shd w:val="clear" w:color="auto" w:fill="0A336B"/>
          </w:tcPr>
          <w:p>
            <w:pPr>
              <w:spacing w:before="100" w:after="100"/>
              <w:jc w:val="left"/>
            </w:pPr>
            <w:r>
              <w:rPr>
                <w:rFonts w:ascii="Calibri" w:hAnsi="Calibri"/>
                <w:b/>
                <w:color w:val="FFFFFF"/>
                <w:sz w:val="20"/>
              </w:rPr>
              <w:t>Version</w:t>
            </w:r>
          </w:p>
        </w:tc>
        <w:tc>
          <w:tcPr>
            <w:tcW w:type="dxa" w:w="4703"/>
          </w:tcPr>
          <w:p>
            <w:pPr>
              <w:spacing w:before="100" w:after="100"/>
            </w:pPr>
            <w:r>
              <w:rPr>
                <w:rFonts w:ascii="Calibri" w:hAnsi="Calibri"/>
                <w:color w:val="333333"/>
                <w:sz w:val="20"/>
              </w:rPr>
              <w:t>1.0 – Confidentiel</w:t>
            </w:r>
          </w:p>
        </w:tc>
      </w:tr>
    </w:tbl>
    <w:p/>
    <w:tbl>
      <w:tblPr>
        <w:tblW w:type="auto" w:w="0"/>
        <w:jc w:val="center"/>
        <w:tblLook w:firstColumn="1" w:firstRow="1" w:lastColumn="0" w:lastRow="0" w:noHBand="0" w:noVBand="1" w:val="04A0"/>
      </w:tblPr>
      <w:tblGrid>
        <w:gridCol w:w="9406"/>
      </w:tblGrid>
      <w:tr>
        <w:tc>
          <w:tcPr>
            <w:tcW w:type="dxa" w:w="9406"/>
            <w:shd w:val="clear" w:color="auto" w:fill="1A6FB5"/>
          </w:tcPr>
          <w:p>
            <w:pPr>
              <w:spacing w:before="160" w:after="160"/>
              <w:jc w:val="center"/>
            </w:pPr>
            <w:r>
              <w:rPr>
                <w:rFonts w:ascii="Calibri" w:hAnsi="Calibri"/>
                <w:i/>
                <w:color w:val="FFFFFF"/>
                <w:sz w:val="18"/>
              </w:rPr>
              <w:t>Document confidentiel – Usage exclusif de la Direction Générale du Travail</w:t>
            </w:r>
          </w:p>
        </w:tc>
      </w:tr>
    </w:tbl>
    <w:p>
      <w:r>
        <w:br w:type="page"/>
      </w:r>
    </w:p>
    <w:p>
      <w:pPr>
        <w:spacing w:before="360" w:after="120"/>
      </w:pPr>
      <w:r>
        <w:rPr>
          <w:rFonts w:ascii="Calibri" w:hAnsi="Calibri"/>
          <w:b/>
          <w:color w:val="0A336B"/>
          <w:sz w:val="32"/>
        </w:rPr>
        <w:t>SOMMAIRE</w:t>
      </w:r>
    </w:p>
    <w:p>
      <w:pPr>
        <w:pBdr>
          <w:bottom w:val="single" w:sz="8" w:space="1" w:color="0A336B"/>
        </w:pBdr>
        <w:spacing w:before="40" w:after="40"/>
      </w:pPr>
    </w:p>
    <w:p/>
    <w:p>
      <w:pPr>
        <w:tabs>
          <w:tab w:pos="8220" w:val="right"/>
        </w:tabs>
        <w:spacing w:before="80" w:after="80"/>
      </w:pPr>
      <w:r>
        <w:rPr>
          <w:rFonts w:ascii="Calibri" w:hAnsi="Calibri"/>
          <w:color w:val="0A336B"/>
          <w:sz w:val="22"/>
        </w:rPr>
        <w:t>1.  Résumé Exécutif</w:t>
      </w:r>
      <w:r>
        <w:rPr>
          <w:rFonts w:ascii="Calibri" w:hAnsi="Calibri"/>
          <w:b/>
          <w:color w:val="1A6FB5"/>
          <w:sz w:val="22"/>
        </w:rPr>
        <w:tab/>
        <w:t>3</w:t>
      </w:r>
    </w:p>
    <w:p>
      <w:pPr>
        <w:tabs>
          <w:tab w:pos="8220" w:val="right"/>
        </w:tabs>
        <w:spacing w:before="80" w:after="80"/>
      </w:pPr>
      <w:r>
        <w:rPr>
          <w:rFonts w:ascii="Calibri" w:hAnsi="Calibri"/>
          <w:color w:val="0A336B"/>
          <w:sz w:val="22"/>
        </w:rPr>
        <w:t>2.  Contexte et Enjeux</w:t>
      </w:r>
      <w:r>
        <w:rPr>
          <w:rFonts w:ascii="Calibri" w:hAnsi="Calibri"/>
          <w:b/>
          <w:color w:val="1A6FB5"/>
          <w:sz w:val="22"/>
        </w:rPr>
        <w:tab/>
        <w:t>4</w:t>
      </w:r>
    </w:p>
    <w:p>
      <w:pPr>
        <w:tabs>
          <w:tab w:pos="8220" w:val="right"/>
        </w:tabs>
        <w:spacing w:before="80" w:after="80"/>
      </w:pPr>
      <w:r>
        <w:rPr>
          <w:rFonts w:ascii="Calibri" w:hAnsi="Calibri"/>
          <w:color w:val="0A336B"/>
          <w:sz w:val="22"/>
        </w:rPr>
        <w:t>3.  Présentation de la Solution</w:t>
      </w:r>
      <w:r>
        <w:rPr>
          <w:rFonts w:ascii="Calibri" w:hAnsi="Calibri"/>
          <w:b/>
          <w:color w:val="1A6FB5"/>
          <w:sz w:val="22"/>
        </w:rPr>
        <w:tab/>
        <w:t>5</w:t>
      </w:r>
    </w:p>
    <w:p>
      <w:pPr>
        <w:tabs>
          <w:tab w:pos="8220" w:val="right"/>
        </w:tabs>
        <w:spacing w:before="80" w:after="80"/>
      </w:pPr>
      <w:r>
        <w:rPr>
          <w:rFonts w:ascii="Calibri" w:hAnsi="Calibri"/>
          <w:color w:val="0A336B"/>
          <w:sz w:val="22"/>
        </w:rPr>
        <w:t>4.  Fonctionnalités Détaillées</w:t>
      </w:r>
      <w:r>
        <w:rPr>
          <w:rFonts w:ascii="Calibri" w:hAnsi="Calibri"/>
          <w:b/>
          <w:color w:val="1A6FB5"/>
          <w:sz w:val="22"/>
        </w:rPr>
        <w:tab/>
        <w:t>6</w:t>
      </w:r>
    </w:p>
    <w:p>
      <w:pPr>
        <w:tabs>
          <w:tab w:pos="8220" w:val="right"/>
        </w:tabs>
        <w:spacing w:before="80" w:after="80"/>
      </w:pPr>
      <w:r>
        <w:rPr>
          <w:rFonts w:ascii="Calibri" w:hAnsi="Calibri"/>
          <w:color w:val="0A336B"/>
          <w:sz w:val="22"/>
        </w:rPr>
        <w:t>5.  Architecture Technique</w:t>
      </w:r>
      <w:r>
        <w:rPr>
          <w:rFonts w:ascii="Calibri" w:hAnsi="Calibri"/>
          <w:b/>
          <w:color w:val="1A6FB5"/>
          <w:sz w:val="22"/>
        </w:rPr>
        <w:tab/>
        <w:t>9</w:t>
      </w:r>
    </w:p>
    <w:p>
      <w:pPr>
        <w:tabs>
          <w:tab w:pos="8220" w:val="right"/>
        </w:tabs>
        <w:spacing w:before="80" w:after="80"/>
      </w:pPr>
      <w:r>
        <w:rPr>
          <w:rFonts w:ascii="Calibri" w:hAnsi="Calibri"/>
          <w:color w:val="0A336B"/>
          <w:sz w:val="22"/>
        </w:rPr>
        <w:t>6.  Plan de Déploiement</w:t>
      </w:r>
      <w:r>
        <w:rPr>
          <w:rFonts w:ascii="Calibri" w:hAnsi="Calibri"/>
          <w:b/>
          <w:color w:val="1A6FB5"/>
          <w:sz w:val="22"/>
        </w:rPr>
        <w:tab/>
        <w:t>10</w:t>
      </w:r>
    </w:p>
    <w:p>
      <w:pPr>
        <w:tabs>
          <w:tab w:pos="8220" w:val="right"/>
        </w:tabs>
        <w:spacing w:before="80" w:after="80"/>
      </w:pPr>
      <w:r>
        <w:rPr>
          <w:rFonts w:ascii="Calibri" w:hAnsi="Calibri"/>
          <w:color w:val="0A336B"/>
          <w:sz w:val="22"/>
        </w:rPr>
        <w:t>7.  Offre Financière</w:t>
      </w:r>
      <w:r>
        <w:rPr>
          <w:rFonts w:ascii="Calibri" w:hAnsi="Calibri"/>
          <w:b/>
          <w:color w:val="1A6FB5"/>
          <w:sz w:val="22"/>
        </w:rPr>
        <w:tab/>
        <w:t>12</w:t>
      </w:r>
    </w:p>
    <w:p>
      <w:pPr>
        <w:tabs>
          <w:tab w:pos="8220" w:val="right"/>
        </w:tabs>
        <w:spacing w:before="80" w:after="80"/>
      </w:pPr>
      <w:r>
        <w:rPr>
          <w:rFonts w:ascii="Calibri" w:hAnsi="Calibri"/>
          <w:color w:val="0A336B"/>
          <w:sz w:val="22"/>
        </w:rPr>
        <w:t>8.  Garanties et Support</w:t>
      </w:r>
      <w:r>
        <w:rPr>
          <w:rFonts w:ascii="Calibri" w:hAnsi="Calibri"/>
          <w:b/>
          <w:color w:val="1A6FB5"/>
          <w:sz w:val="22"/>
        </w:rPr>
        <w:tab/>
        <w:t>13</w:t>
      </w:r>
    </w:p>
    <w:p>
      <w:pPr>
        <w:tabs>
          <w:tab w:pos="8220" w:val="right"/>
        </w:tabs>
        <w:spacing w:before="80" w:after="80"/>
      </w:pPr>
      <w:r>
        <w:rPr>
          <w:rFonts w:ascii="Calibri" w:hAnsi="Calibri"/>
          <w:color w:val="0A336B"/>
          <w:sz w:val="22"/>
        </w:rPr>
        <w:t>9.  Notre Entreprise</w:t>
      </w:r>
      <w:r>
        <w:rPr>
          <w:rFonts w:ascii="Calibri" w:hAnsi="Calibri"/>
          <w:b/>
          <w:color w:val="1A6FB5"/>
          <w:sz w:val="22"/>
        </w:rPr>
        <w:tab/>
        <w:t>14</w:t>
      </w:r>
    </w:p>
    <w:p>
      <w:pPr>
        <w:tabs>
          <w:tab w:pos="8220" w:val="right"/>
        </w:tabs>
        <w:spacing w:before="80" w:after="80"/>
      </w:pPr>
      <w:r>
        <w:rPr>
          <w:rFonts w:ascii="Calibri" w:hAnsi="Calibri"/>
          <w:color w:val="0A336B"/>
          <w:sz w:val="22"/>
        </w:rPr>
        <w:t>10.  Conditions Générales</w:t>
      </w:r>
      <w:r>
        <w:rPr>
          <w:rFonts w:ascii="Calibri" w:hAnsi="Calibri"/>
          <w:b/>
          <w:color w:val="1A6FB5"/>
          <w:sz w:val="22"/>
        </w:rPr>
        <w:tab/>
        <w:t>15</w:t>
      </w:r>
    </w:p>
    <w:p>
      <w:r>
        <w:br w:type="page"/>
      </w:r>
    </w:p>
    <w:p>
      <w:pPr>
        <w:spacing w:before="360" w:after="120"/>
      </w:pPr>
      <w:r>
        <w:rPr>
          <w:rFonts w:ascii="Calibri" w:hAnsi="Calibri"/>
          <w:b/>
          <w:color w:val="0A336B"/>
          <w:sz w:val="30"/>
        </w:rPr>
        <w:t>1.  RÉSUMÉ EXÉCUTIF</w:t>
      </w:r>
    </w:p>
    <w:p>
      <w:pPr>
        <w:pBdr>
          <w:bottom w:val="single" w:sz="8" w:space="1" w:color="0A336B"/>
        </w:pBdr>
        <w:spacing w:before="40" w:after="40"/>
      </w:pPr>
    </w:p>
    <w:p/>
    <w:p>
      <w:pPr>
        <w:spacing w:before="60" w:after="60" w:line="360" w:lineRule="auto"/>
        <w:jc w:val="both"/>
      </w:pPr>
      <w:r>
        <w:rPr>
          <w:rFonts w:ascii="Calibri" w:hAnsi="Calibri"/>
          <w:i w:val="0"/>
          <w:color w:val="333333"/>
          <w:sz w:val="21"/>
        </w:rPr>
        <w:t>Numerix Digital soumet à la Direction Générale du Travail la présente offre commerciale pour la mise en œuvre de la Plateforme Nationale e-Inspection du Travail, solution digitale de bout en bout dédiée à la modernisation des services de l'inspection du travail en République du Congo.</w:t>
      </w:r>
    </w:p>
    <w:p>
      <w:pPr>
        <w:spacing w:before="60" w:after="60" w:line="360" w:lineRule="auto"/>
        <w:jc w:val="both"/>
      </w:pPr>
      <w:r>
        <w:rPr>
          <w:rFonts w:ascii="Calibri" w:hAnsi="Calibri"/>
          <w:i w:val="0"/>
          <w:color w:val="333333"/>
          <w:sz w:val="21"/>
        </w:rPr>
        <w:t>Face à la croissance du marché de l'emploi formel et informel, à la multiplication des litiges sociaux et aux exigences de redevabilité envers les travailleurs et les employeurs, la Direction Générale du Travail a besoin d'un outil numérique robuste, sécurisé et conforme aux standards internationaux du droit du travail.</w:t>
      </w:r>
    </w:p>
    <w:p/>
    <w:tbl>
      <w:tblPr>
        <w:tblW w:type="auto" w:w="0"/>
        <w:jc w:val="center"/>
        <w:tblLook w:firstColumn="1" w:firstRow="1" w:lastColumn="0" w:lastRow="0" w:noHBand="0" w:noVBand="1" w:val="04A0"/>
      </w:tblPr>
      <w:tblGrid>
        <w:gridCol w:w="3135"/>
        <w:gridCol w:w="3135"/>
        <w:gridCol w:w="3135"/>
      </w:tblGrid>
      <w:tr>
        <w:tc>
          <w:tcPr>
            <w:tcW w:type="dxa" w:w="3135"/>
            <w:shd w:val="clear" w:color="auto" w:fill="E8F0FA"/>
          </w:tcPr>
          <w:p>
            <w:pPr>
              <w:spacing w:before="160" w:after="40"/>
            </w:pPr>
            <w:r>
              <w:rPr>
                <w:rFonts w:ascii="Calibri" w:hAnsi="Calibri"/>
                <w:b/>
                <w:color w:val="0A336B"/>
                <w:sz w:val="20"/>
              </w:rPr>
              <w:t>🏛️  Conformité légale</w:t>
            </w:r>
          </w:p>
          <w:p>
            <w:pPr>
              <w:spacing w:before="40" w:after="160"/>
            </w:pPr>
            <w:r>
              <w:rPr>
                <w:rFonts w:ascii="Calibri" w:hAnsi="Calibri"/>
                <w:color w:val="333333"/>
                <w:sz w:val="19"/>
              </w:rPr>
              <w:t>Respect du Code du Travail congolais et des conventions OIT</w:t>
            </w:r>
          </w:p>
        </w:tc>
        <w:tc>
          <w:tcPr>
            <w:tcW w:type="dxa" w:w="3135"/>
            <w:shd w:val="clear" w:color="auto" w:fill="D0E4F5"/>
          </w:tcPr>
          <w:p>
            <w:pPr>
              <w:spacing w:before="160" w:after="40"/>
            </w:pPr>
            <w:r>
              <w:rPr>
                <w:rFonts w:ascii="Calibri" w:hAnsi="Calibri"/>
                <w:b/>
                <w:color w:val="0A336B"/>
                <w:sz w:val="20"/>
              </w:rPr>
              <w:t>⚡  Efficacité opérationnelle</w:t>
            </w:r>
          </w:p>
          <w:p>
            <w:pPr>
              <w:spacing w:before="40" w:after="160"/>
            </w:pPr>
            <w:r>
              <w:rPr>
                <w:rFonts w:ascii="Calibri" w:hAnsi="Calibri"/>
                <w:color w:val="333333"/>
                <w:sz w:val="19"/>
              </w:rPr>
              <w:t>Réduction de 60 % du délai de traitement des plaintes</w:t>
            </w:r>
          </w:p>
        </w:tc>
        <w:tc>
          <w:tcPr>
            <w:tcW w:type="dxa" w:w="3135"/>
            <w:shd w:val="clear" w:color="auto" w:fill="E8F0FA"/>
          </w:tcPr>
          <w:p>
            <w:pPr>
              <w:spacing w:before="160" w:after="40"/>
            </w:pPr>
            <w:r>
              <w:rPr>
                <w:rFonts w:ascii="Calibri" w:hAnsi="Calibri"/>
                <w:b/>
                <w:color w:val="0A336B"/>
                <w:sz w:val="20"/>
              </w:rPr>
              <w:t>📊  Pilotage en temps réel</w:t>
            </w:r>
          </w:p>
          <w:p>
            <w:pPr>
              <w:spacing w:before="40" w:after="160"/>
            </w:pPr>
            <w:r>
              <w:rPr>
                <w:rFonts w:ascii="Calibri" w:hAnsi="Calibri"/>
                <w:color w:val="333333"/>
                <w:sz w:val="19"/>
              </w:rPr>
              <w:t>Tableaux de bord et observatoire des statistiques sociales</w:t>
            </w:r>
          </w:p>
        </w:tc>
      </w:tr>
    </w:tbl>
    <w:p>
      <w:r>
        <w:br w:type="page"/>
      </w:r>
    </w:p>
    <w:p>
      <w:pPr>
        <w:spacing w:before="360" w:after="120"/>
      </w:pPr>
      <w:r>
        <w:rPr>
          <w:rFonts w:ascii="Calibri" w:hAnsi="Calibri"/>
          <w:b/>
          <w:color w:val="0A336B"/>
          <w:sz w:val="30"/>
        </w:rPr>
        <w:t>2.  CONTEXTE ET ENJEUX</w:t>
      </w:r>
    </w:p>
    <w:p>
      <w:pPr>
        <w:pBdr>
          <w:bottom w:val="single" w:sz="8" w:space="1" w:color="0A336B"/>
        </w:pBdr>
        <w:spacing w:before="40" w:after="40"/>
      </w:pPr>
    </w:p>
    <w:p/>
    <w:p>
      <w:pPr>
        <w:spacing w:before="160" w:after="120"/>
      </w:pPr>
      <w:r>
        <w:rPr>
          <w:rFonts w:ascii="Calibri" w:hAnsi="Calibri"/>
          <w:b/>
          <w:color w:val="1A6FB5"/>
          <w:sz w:val="24"/>
        </w:rPr>
        <w:t>2.1  Situation actuelle</w:t>
      </w:r>
    </w:p>
    <w:p>
      <w:pPr>
        <w:spacing w:before="60" w:after="60" w:line="360" w:lineRule="auto"/>
        <w:jc w:val="both"/>
      </w:pPr>
      <w:r>
        <w:rPr>
          <w:rFonts w:ascii="Calibri" w:hAnsi="Calibri"/>
          <w:i w:val="0"/>
          <w:color w:val="333333"/>
          <w:sz w:val="21"/>
        </w:rPr>
        <w:t>La gestion de l'inspection du travail en République du Congo repose encore largement sur des procédures manuelles et des supports papier. Cette situation engendre des délais importants dans le traitement des plaintes, une visibilité réduite sur l'état de conformité des entreprises et des difficultés à consolider les statistiques sociales au niveau national.</w:t>
      </w:r>
    </w:p>
    <w:p>
      <w:pPr>
        <w:spacing w:before="160" w:after="120"/>
      </w:pPr>
      <w:r>
        <w:rPr>
          <w:rFonts w:ascii="Calibri" w:hAnsi="Calibri"/>
          <w:b/>
          <w:color w:val="1A6FB5"/>
          <w:sz w:val="24"/>
        </w:rPr>
        <w:t>2.2  Principaux défis identifiés</w:t>
      </w:r>
    </w:p>
    <w:p>
      <w:pPr>
        <w:pStyle w:val="ListBullet"/>
        <w:spacing w:before="40" w:after="40"/>
      </w:pPr>
      <w:r>
        <w:rPr>
          <w:rFonts w:ascii="Calibri" w:hAnsi="Calibri"/>
          <w:color w:val="333333"/>
          <w:sz w:val="21"/>
        </w:rPr>
        <w:t>Traitement manuel et fragmenté des plaintes de travail (salaires impayés, licenciements abusifs, harcèlement)</w:t>
      </w:r>
    </w:p>
    <w:p>
      <w:pPr>
        <w:pStyle w:val="ListBullet"/>
        <w:spacing w:before="40" w:after="40"/>
      </w:pPr>
      <w:r>
        <w:rPr>
          <w:rFonts w:ascii="Calibri" w:hAnsi="Calibri"/>
          <w:color w:val="333333"/>
          <w:sz w:val="21"/>
        </w:rPr>
        <w:t>Absence d'un registre centralisé et actualisé des entreprises et de leur niveau de conformité</w:t>
      </w:r>
    </w:p>
    <w:p>
      <w:pPr>
        <w:pStyle w:val="ListBullet"/>
        <w:spacing w:before="40" w:after="40"/>
      </w:pPr>
      <w:r>
        <w:rPr>
          <w:rFonts w:ascii="Calibri" w:hAnsi="Calibri"/>
          <w:color w:val="333333"/>
          <w:sz w:val="21"/>
        </w:rPr>
        <w:t>Communication difficile entre les inspecteurs de terrain, les chefs d'inspection et la direction centrale</w:t>
      </w:r>
    </w:p>
    <w:p>
      <w:pPr>
        <w:pStyle w:val="ListBullet"/>
        <w:spacing w:before="40" w:after="40"/>
      </w:pPr>
      <w:r>
        <w:rPr>
          <w:rFonts w:ascii="Calibri" w:hAnsi="Calibri"/>
          <w:color w:val="333333"/>
          <w:sz w:val="21"/>
        </w:rPr>
        <w:t>Manque d'indicateurs fiables pour le pilotage des politiques sociales et du travail</w:t>
      </w:r>
    </w:p>
    <w:p>
      <w:pPr>
        <w:pStyle w:val="ListBullet"/>
        <w:spacing w:before="40" w:after="40"/>
      </w:pPr>
      <w:r>
        <w:rPr>
          <w:rFonts w:ascii="Calibri" w:hAnsi="Calibri"/>
          <w:color w:val="333333"/>
          <w:sz w:val="21"/>
        </w:rPr>
        <w:t>Délais excessifs dans la médiation et la conciliation des conflits collectifs du travail</w:t>
      </w:r>
    </w:p>
    <w:p>
      <w:pPr>
        <w:pStyle w:val="ListBullet"/>
        <w:spacing w:before="40" w:after="40"/>
      </w:pPr>
      <w:r>
        <w:rPr>
          <w:rFonts w:ascii="Calibri" w:hAnsi="Calibri"/>
          <w:color w:val="333333"/>
          <w:sz w:val="21"/>
        </w:rPr>
        <w:t>Absence de traçabilité et d'audit des décisions et actes administratifs liés au travail</w:t>
      </w:r>
    </w:p>
    <w:p>
      <w:pPr>
        <w:spacing w:before="160" w:after="120"/>
      </w:pPr>
      <w:r>
        <w:rPr>
          <w:rFonts w:ascii="Calibri" w:hAnsi="Calibri"/>
          <w:b/>
          <w:color w:val="1A6FB5"/>
          <w:sz w:val="24"/>
        </w:rPr>
        <w:t>2.3  Opportunité de transformation numérique</w:t>
      </w:r>
    </w:p>
    <w:p>
      <w:pPr>
        <w:spacing w:before="60" w:after="60" w:line="360" w:lineRule="auto"/>
        <w:jc w:val="both"/>
      </w:pPr>
      <w:r>
        <w:rPr>
          <w:rFonts w:ascii="Calibri" w:hAnsi="Calibri"/>
          <w:i w:val="0"/>
          <w:color w:val="333333"/>
          <w:sz w:val="21"/>
        </w:rPr>
        <w:t>La digitalisation du service de l'inspection du travail constitue une priorité stratégique alignée sur le Plan National de Développement du Congo et les recommandations du Bureau International du Travail (BIT/OIT). Elle permettra de renforcer l'effectivité du droit du travail, d'améliorer la protection des travailleurs et de promouvoir un environnement des affaires plus transparent et attractif.</w:t>
      </w:r>
    </w:p>
    <w:p>
      <w:r>
        <w:br w:type="page"/>
      </w:r>
    </w:p>
    <w:p>
      <w:pPr>
        <w:spacing w:before="360" w:after="120"/>
      </w:pPr>
      <w:r>
        <w:rPr>
          <w:rFonts w:ascii="Calibri" w:hAnsi="Calibri"/>
          <w:b/>
          <w:color w:val="0A336B"/>
          <w:sz w:val="30"/>
        </w:rPr>
        <w:t>3.  PRÉSENTATION DE LA SOLUTION</w:t>
      </w:r>
    </w:p>
    <w:p>
      <w:pPr>
        <w:pBdr>
          <w:bottom w:val="single" w:sz="8" w:space="1" w:color="0A336B"/>
        </w:pBdr>
        <w:spacing w:before="40" w:after="40"/>
      </w:pPr>
    </w:p>
    <w:p/>
    <w:p>
      <w:pPr>
        <w:spacing w:before="60" w:after="60" w:line="360" w:lineRule="auto"/>
        <w:jc w:val="both"/>
      </w:pPr>
      <w:r>
        <w:rPr>
          <w:rFonts w:ascii="Calibri" w:hAnsi="Calibri"/>
          <w:i w:val="0"/>
          <w:color w:val="333333"/>
          <w:sz w:val="21"/>
        </w:rPr>
        <w:t>La Plateforme Nationale e-Inspection du Travail est une solution web et mobile multi-acteurs qui centralise l'ensemble des processus de l'inspection du travail, de la réception des plaintes à leur résolution judiciaire, en passant par la médiation et la conciliation.</w:t>
      </w:r>
    </w:p>
    <w:p/>
    <w:p>
      <w:pPr>
        <w:spacing w:before="160" w:after="120"/>
      </w:pPr>
      <w:r>
        <w:rPr>
          <w:rFonts w:ascii="Calibri" w:hAnsi="Calibri"/>
          <w:b/>
          <w:color w:val="1A6FB5"/>
          <w:sz w:val="24"/>
        </w:rPr>
        <w:t>3.1  Les acteurs de la plateforme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A336B"/>
          </w:tcPr>
          <w:p>
            <w:pPr>
              <w:spacing w:before="100" w:after="100"/>
            </w:pPr>
            <w:r>
              <w:rPr>
                <w:rFonts w:ascii="Calibri" w:hAnsi="Calibri"/>
                <w:b/>
                <w:color w:val="FFFFFF"/>
                <w:sz w:val="20"/>
              </w:rPr>
              <w:t>Acteur</w:t>
            </w:r>
          </w:p>
        </w:tc>
        <w:tc>
          <w:tcPr>
            <w:tcW w:type="dxa" w:w="3135"/>
            <w:shd w:val="clear" w:color="auto" w:fill="0A336B"/>
          </w:tcPr>
          <w:p>
            <w:pPr>
              <w:spacing w:before="100" w:after="100"/>
            </w:pPr>
            <w:r>
              <w:rPr>
                <w:rFonts w:ascii="Calibri" w:hAnsi="Calibri"/>
                <w:b/>
                <w:color w:val="FFFFFF"/>
                <w:sz w:val="20"/>
              </w:rPr>
              <w:t>Rôle</w:t>
            </w:r>
          </w:p>
        </w:tc>
        <w:tc>
          <w:tcPr>
            <w:tcW w:type="dxa" w:w="3135"/>
            <w:shd w:val="clear" w:color="auto" w:fill="0A336B"/>
          </w:tcPr>
          <w:p>
            <w:pPr>
              <w:spacing w:before="100" w:after="100"/>
            </w:pPr>
            <w:r>
              <w:rPr>
                <w:rFonts w:ascii="Calibri" w:hAnsi="Calibri"/>
                <w:b/>
                <w:color w:val="FFFFFF"/>
                <w:sz w:val="20"/>
              </w:rPr>
              <w:t>Accès</w:t>
            </w:r>
          </w:p>
        </w:tc>
      </w:tr>
      <w:tr>
        <w:tc>
          <w:tcPr>
            <w:tcW w:type="dxa" w:w="3135"/>
            <w:shd w:val="clear" w:color="auto" w:fill="FFFFFF"/>
          </w:tcPr>
          <w:p>
            <w:pPr>
              <w:spacing w:before="80" w:after="80"/>
            </w:pPr>
            <w:r>
              <w:rPr>
                <w:rFonts w:ascii="Calibri" w:hAnsi="Calibri"/>
                <w:b/>
                <w:color w:val="333333"/>
                <w:sz w:val="19"/>
              </w:rPr>
              <w:t>Travailleur / Employé</w:t>
            </w:r>
          </w:p>
        </w:tc>
        <w:tc>
          <w:tcPr>
            <w:tcW w:type="dxa" w:w="3135"/>
            <w:shd w:val="clear" w:color="auto" w:fill="FFFFFF"/>
          </w:tcPr>
          <w:p>
            <w:pPr>
              <w:spacing w:before="80" w:after="80"/>
            </w:pPr>
            <w:r>
              <w:rPr>
                <w:rFonts w:ascii="Calibri" w:hAnsi="Calibri"/>
                <w:color w:val="333333"/>
                <w:sz w:val="19"/>
              </w:rPr>
              <w:t>Dépôt de plaintes, suivi en temps réel</w:t>
            </w:r>
          </w:p>
        </w:tc>
        <w:tc>
          <w:tcPr>
            <w:tcW w:type="dxa" w:w="3135"/>
            <w:shd w:val="clear" w:color="auto" w:fill="FFFFFF"/>
          </w:tcPr>
          <w:p>
            <w:pPr>
              <w:spacing w:before="80" w:after="80"/>
            </w:pPr>
            <w:r>
              <w:rPr>
                <w:rFonts w:ascii="Calibri" w:hAnsi="Calibri"/>
                <w:color w:val="333333"/>
                <w:sz w:val="19"/>
              </w:rPr>
              <w:t>Portail public sécurisé</w:t>
            </w:r>
          </w:p>
        </w:tc>
      </w:tr>
      <w:tr>
        <w:tc>
          <w:tcPr>
            <w:tcW w:type="dxa" w:w="3135"/>
            <w:shd w:val="clear" w:color="auto" w:fill="F2F5FA"/>
          </w:tcPr>
          <w:p>
            <w:pPr>
              <w:spacing w:before="80" w:after="80"/>
            </w:pPr>
            <w:r>
              <w:rPr>
                <w:rFonts w:ascii="Calibri" w:hAnsi="Calibri"/>
                <w:b/>
                <w:color w:val="333333"/>
                <w:sz w:val="19"/>
              </w:rPr>
              <w:t>Employeur / Entreprise</w:t>
            </w:r>
          </w:p>
        </w:tc>
        <w:tc>
          <w:tcPr>
            <w:tcW w:type="dxa" w:w="3135"/>
            <w:shd w:val="clear" w:color="auto" w:fill="F2F5FA"/>
          </w:tcPr>
          <w:p>
            <w:pPr>
              <w:spacing w:before="80" w:after="80"/>
            </w:pPr>
            <w:r>
              <w:rPr>
                <w:rFonts w:ascii="Calibri" w:hAnsi="Calibri"/>
                <w:color w:val="333333"/>
                <w:sz w:val="19"/>
              </w:rPr>
              <w:t>Consultation dossiers, réponses aux plaintes</w:t>
            </w:r>
          </w:p>
        </w:tc>
        <w:tc>
          <w:tcPr>
            <w:tcW w:type="dxa" w:w="3135"/>
            <w:shd w:val="clear" w:color="auto" w:fill="F2F5FA"/>
          </w:tcPr>
          <w:p>
            <w:pPr>
              <w:spacing w:before="80" w:after="80"/>
            </w:pPr>
            <w:r>
              <w:rPr>
                <w:rFonts w:ascii="Calibri" w:hAnsi="Calibri"/>
                <w:color w:val="333333"/>
                <w:sz w:val="19"/>
              </w:rPr>
              <w:t>Espace employeur</w:t>
            </w:r>
          </w:p>
        </w:tc>
      </w:tr>
      <w:tr>
        <w:tc>
          <w:tcPr>
            <w:tcW w:type="dxa" w:w="3135"/>
            <w:shd w:val="clear" w:color="auto" w:fill="FFFFFF"/>
          </w:tcPr>
          <w:p>
            <w:pPr>
              <w:spacing w:before="80" w:after="80"/>
            </w:pPr>
            <w:r>
              <w:rPr>
                <w:rFonts w:ascii="Calibri" w:hAnsi="Calibri"/>
                <w:b/>
                <w:color w:val="333333"/>
                <w:sz w:val="19"/>
              </w:rPr>
              <w:t>Inspecteur du Travail</w:t>
            </w:r>
          </w:p>
        </w:tc>
        <w:tc>
          <w:tcPr>
            <w:tcW w:type="dxa" w:w="3135"/>
            <w:shd w:val="clear" w:color="auto" w:fill="FFFFFF"/>
          </w:tcPr>
          <w:p>
            <w:pPr>
              <w:spacing w:before="80" w:after="80"/>
            </w:pPr>
            <w:r>
              <w:rPr>
                <w:rFonts w:ascii="Calibri" w:hAnsi="Calibri"/>
                <w:color w:val="333333"/>
                <w:sz w:val="19"/>
              </w:rPr>
              <w:t>Enquête, contrôle, rédaction de procès-verbaux</w:t>
            </w:r>
          </w:p>
        </w:tc>
        <w:tc>
          <w:tcPr>
            <w:tcW w:type="dxa" w:w="3135"/>
            <w:shd w:val="clear" w:color="auto" w:fill="FFFFFF"/>
          </w:tcPr>
          <w:p>
            <w:pPr>
              <w:spacing w:before="80" w:after="80"/>
            </w:pPr>
            <w:r>
              <w:rPr>
                <w:rFonts w:ascii="Calibri" w:hAnsi="Calibri"/>
                <w:color w:val="333333"/>
                <w:sz w:val="19"/>
              </w:rPr>
              <w:t>Interface métier dédiée</w:t>
            </w:r>
          </w:p>
        </w:tc>
      </w:tr>
      <w:tr>
        <w:tc>
          <w:tcPr>
            <w:tcW w:type="dxa" w:w="3135"/>
            <w:shd w:val="clear" w:color="auto" w:fill="F2F5FA"/>
          </w:tcPr>
          <w:p>
            <w:pPr>
              <w:spacing w:before="80" w:after="80"/>
            </w:pPr>
            <w:r>
              <w:rPr>
                <w:rFonts w:ascii="Calibri" w:hAnsi="Calibri"/>
                <w:b/>
                <w:color w:val="333333"/>
                <w:sz w:val="19"/>
              </w:rPr>
              <w:t>Chef d'Inspection</w:t>
            </w:r>
          </w:p>
        </w:tc>
        <w:tc>
          <w:tcPr>
            <w:tcW w:type="dxa" w:w="3135"/>
            <w:shd w:val="clear" w:color="auto" w:fill="F2F5FA"/>
          </w:tcPr>
          <w:p>
            <w:pPr>
              <w:spacing w:before="80" w:after="80"/>
            </w:pPr>
            <w:r>
              <w:rPr>
                <w:rFonts w:ascii="Calibri" w:hAnsi="Calibri"/>
                <w:color w:val="333333"/>
                <w:sz w:val="19"/>
              </w:rPr>
              <w:t>Validation, supervision, affectation des cas</w:t>
            </w:r>
          </w:p>
        </w:tc>
        <w:tc>
          <w:tcPr>
            <w:tcW w:type="dxa" w:w="3135"/>
            <w:shd w:val="clear" w:color="auto" w:fill="F2F5FA"/>
          </w:tcPr>
          <w:p>
            <w:pPr>
              <w:spacing w:before="80" w:after="80"/>
            </w:pPr>
            <w:r>
              <w:rPr>
                <w:rFonts w:ascii="Calibri" w:hAnsi="Calibri"/>
                <w:color w:val="333333"/>
                <w:sz w:val="19"/>
              </w:rPr>
              <w:t>Tableau de bord chef</w:t>
            </w:r>
          </w:p>
        </w:tc>
      </w:tr>
      <w:tr>
        <w:tc>
          <w:tcPr>
            <w:tcW w:type="dxa" w:w="3135"/>
            <w:shd w:val="clear" w:color="auto" w:fill="FFFFFF"/>
          </w:tcPr>
          <w:p>
            <w:pPr>
              <w:spacing w:before="80" w:after="80"/>
            </w:pPr>
            <w:r>
              <w:rPr>
                <w:rFonts w:ascii="Calibri" w:hAnsi="Calibri"/>
                <w:b/>
                <w:color w:val="333333"/>
                <w:sz w:val="19"/>
              </w:rPr>
              <w:t>Directeur Régional</w:t>
            </w:r>
          </w:p>
        </w:tc>
        <w:tc>
          <w:tcPr>
            <w:tcW w:type="dxa" w:w="3135"/>
            <w:shd w:val="clear" w:color="auto" w:fill="FFFFFF"/>
          </w:tcPr>
          <w:p>
            <w:pPr>
              <w:spacing w:before="80" w:after="80"/>
            </w:pPr>
            <w:r>
              <w:rPr>
                <w:rFonts w:ascii="Calibri" w:hAnsi="Calibri"/>
                <w:color w:val="333333"/>
                <w:sz w:val="19"/>
              </w:rPr>
              <w:t>Pilotage régional, approbation des escalades</w:t>
            </w:r>
          </w:p>
        </w:tc>
        <w:tc>
          <w:tcPr>
            <w:tcW w:type="dxa" w:w="3135"/>
            <w:shd w:val="clear" w:color="auto" w:fill="FFFFFF"/>
          </w:tcPr>
          <w:p>
            <w:pPr>
              <w:spacing w:before="80" w:after="80"/>
            </w:pPr>
            <w:r>
              <w:rPr>
                <w:rFonts w:ascii="Calibri" w:hAnsi="Calibri"/>
                <w:color w:val="333333"/>
                <w:sz w:val="19"/>
              </w:rPr>
              <w:t>Vue régionale</w:t>
            </w:r>
          </w:p>
        </w:tc>
      </w:tr>
      <w:tr>
        <w:tc>
          <w:tcPr>
            <w:tcW w:type="dxa" w:w="3135"/>
            <w:shd w:val="clear" w:color="auto" w:fill="F2F5FA"/>
          </w:tcPr>
          <w:p>
            <w:pPr>
              <w:spacing w:before="80" w:after="80"/>
            </w:pPr>
            <w:r>
              <w:rPr>
                <w:rFonts w:ascii="Calibri" w:hAnsi="Calibri"/>
                <w:b/>
                <w:color w:val="333333"/>
                <w:sz w:val="19"/>
              </w:rPr>
              <w:t>Directeur Général</w:t>
            </w:r>
          </w:p>
        </w:tc>
        <w:tc>
          <w:tcPr>
            <w:tcW w:type="dxa" w:w="3135"/>
            <w:shd w:val="clear" w:color="auto" w:fill="F2F5FA"/>
          </w:tcPr>
          <w:p>
            <w:pPr>
              <w:spacing w:before="80" w:after="80"/>
            </w:pPr>
            <w:r>
              <w:rPr>
                <w:rFonts w:ascii="Calibri" w:hAnsi="Calibri"/>
                <w:color w:val="333333"/>
                <w:sz w:val="19"/>
              </w:rPr>
              <w:t>Pilotage national, statistiques, reporting</w:t>
            </w:r>
          </w:p>
        </w:tc>
        <w:tc>
          <w:tcPr>
            <w:tcW w:type="dxa" w:w="3135"/>
            <w:shd w:val="clear" w:color="auto" w:fill="F2F5FA"/>
          </w:tcPr>
          <w:p>
            <w:pPr>
              <w:spacing w:before="80" w:after="80"/>
            </w:pPr>
            <w:r>
              <w:rPr>
                <w:rFonts w:ascii="Calibri" w:hAnsi="Calibri"/>
                <w:color w:val="333333"/>
                <w:sz w:val="19"/>
              </w:rPr>
              <w:t>Tableau de bord DG</w:t>
            </w:r>
          </w:p>
        </w:tc>
      </w:tr>
      <w:tr>
        <w:tc>
          <w:tcPr>
            <w:tcW w:type="dxa" w:w="3135"/>
            <w:shd w:val="clear" w:color="auto" w:fill="FFFFFF"/>
          </w:tcPr>
          <w:p>
            <w:pPr>
              <w:spacing w:before="80" w:after="80"/>
            </w:pPr>
            <w:r>
              <w:rPr>
                <w:rFonts w:ascii="Calibri" w:hAnsi="Calibri"/>
                <w:b/>
                <w:color w:val="333333"/>
                <w:sz w:val="19"/>
              </w:rPr>
              <w:t>Médiateur / Conciliateur</w:t>
            </w:r>
          </w:p>
        </w:tc>
        <w:tc>
          <w:tcPr>
            <w:tcW w:type="dxa" w:w="3135"/>
            <w:shd w:val="clear" w:color="auto" w:fill="FFFFFF"/>
          </w:tcPr>
          <w:p>
            <w:pPr>
              <w:spacing w:before="80" w:after="80"/>
            </w:pPr>
            <w:r>
              <w:rPr>
                <w:rFonts w:ascii="Calibri" w:hAnsi="Calibri"/>
                <w:color w:val="333333"/>
                <w:sz w:val="19"/>
              </w:rPr>
              <w:t>Conduite des séances de médiation</w:t>
            </w:r>
          </w:p>
        </w:tc>
        <w:tc>
          <w:tcPr>
            <w:tcW w:type="dxa" w:w="3135"/>
            <w:shd w:val="clear" w:color="auto" w:fill="FFFFFF"/>
          </w:tcPr>
          <w:p>
            <w:pPr>
              <w:spacing w:before="80" w:after="80"/>
            </w:pPr>
            <w:r>
              <w:rPr>
                <w:rFonts w:ascii="Calibri" w:hAnsi="Calibri"/>
                <w:color w:val="333333"/>
                <w:sz w:val="19"/>
              </w:rPr>
              <w:t>Module médiation</w:t>
            </w:r>
          </w:p>
        </w:tc>
      </w:tr>
      <w:tr>
        <w:tc>
          <w:tcPr>
            <w:tcW w:type="dxa" w:w="3135"/>
            <w:shd w:val="clear" w:color="auto" w:fill="F2F5FA"/>
          </w:tcPr>
          <w:p>
            <w:pPr>
              <w:spacing w:before="80" w:after="80"/>
            </w:pPr>
            <w:r>
              <w:rPr>
                <w:rFonts w:ascii="Calibri" w:hAnsi="Calibri"/>
                <w:b/>
                <w:color w:val="333333"/>
                <w:sz w:val="19"/>
              </w:rPr>
              <w:t>Administrateur système</w:t>
            </w:r>
          </w:p>
        </w:tc>
        <w:tc>
          <w:tcPr>
            <w:tcW w:type="dxa" w:w="3135"/>
            <w:shd w:val="clear" w:color="auto" w:fill="F2F5FA"/>
          </w:tcPr>
          <w:p>
            <w:pPr>
              <w:spacing w:before="80" w:after="80"/>
            </w:pPr>
            <w:r>
              <w:rPr>
                <w:rFonts w:ascii="Calibri" w:hAnsi="Calibri"/>
                <w:color w:val="333333"/>
                <w:sz w:val="19"/>
              </w:rPr>
              <w:t>Paramétrage, audit, gestion des utilisateurs</w:t>
            </w:r>
          </w:p>
        </w:tc>
        <w:tc>
          <w:tcPr>
            <w:tcW w:type="dxa" w:w="3135"/>
            <w:shd w:val="clear" w:color="auto" w:fill="F2F5FA"/>
          </w:tcPr>
          <w:p>
            <w:pPr>
              <w:spacing w:before="80" w:after="80"/>
            </w:pPr>
            <w:r>
              <w:rPr>
                <w:rFonts w:ascii="Calibri" w:hAnsi="Calibri"/>
                <w:color w:val="333333"/>
                <w:sz w:val="19"/>
              </w:rPr>
              <w:t>Console d'administration</w:t>
            </w:r>
          </w:p>
        </w:tc>
      </w:tr>
    </w:tbl>
    <w:p>
      <w:r>
        <w:br w:type="page"/>
      </w:r>
    </w:p>
    <w:p>
      <w:pPr>
        <w:spacing w:before="360" w:after="120"/>
      </w:pPr>
      <w:r>
        <w:rPr>
          <w:rFonts w:ascii="Calibri" w:hAnsi="Calibri"/>
          <w:b/>
          <w:color w:val="0A336B"/>
          <w:sz w:val="30"/>
        </w:rPr>
        <w:t>4.  FONCTIONNALITÉS DÉTAILLÉES</w:t>
      </w:r>
    </w:p>
    <w:p>
      <w:pPr>
        <w:pBdr>
          <w:bottom w:val="single" w:sz="8" w:space="1" w:color="0A336B"/>
        </w:pBdr>
        <w:spacing w:before="40" w:after="40"/>
      </w:pPr>
    </w:p>
    <w:p/>
    <w:p>
      <w:pPr>
        <w:spacing w:before="240" w:after="120"/>
      </w:pPr>
      <w:r>
        <w:rPr>
          <w:rFonts w:ascii="Calibri" w:hAnsi="Calibri"/>
          <w:b/>
          <w:color w:val="1A6FB5"/>
          <w:sz w:val="24"/>
        </w:rPr>
        <w:t>4.1  Gestion des Plaintes Sociales</w:t>
      </w:r>
    </w:p>
    <w:p>
      <w:pPr>
        <w:spacing w:before="60" w:after="60" w:line="360" w:lineRule="auto"/>
        <w:jc w:val="both"/>
      </w:pPr>
      <w:r>
        <w:rPr>
          <w:rFonts w:ascii="Calibri" w:hAnsi="Calibri"/>
          <w:i/>
          <w:color w:val="333333"/>
          <w:sz w:val="21"/>
        </w:rPr>
        <w:t>Module central permettant la réception, l'instruction et la résolution de toutes les plaintes liées au droit du travail.</w:t>
      </w:r>
    </w:p>
    <w:p>
      <w:pPr>
        <w:pStyle w:val="ListBullet"/>
        <w:spacing w:before="40" w:after="40"/>
      </w:pPr>
      <w:r>
        <w:rPr>
          <w:rFonts w:ascii="Calibri" w:hAnsi="Calibri"/>
          <w:color w:val="333333"/>
          <w:sz w:val="21"/>
        </w:rPr>
        <w:t>10 types de plaintes : salaires impayés, licenciement abusif, harcèlement moral/sexuel, accidents du travail, heures supplémentaires, congés, contrats, discrimination, conditions de travail</w:t>
      </w:r>
    </w:p>
    <w:p>
      <w:pPr>
        <w:pStyle w:val="ListBullet"/>
        <w:spacing w:before="40" w:after="40"/>
      </w:pPr>
      <w:r>
        <w:rPr>
          <w:rFonts w:ascii="Calibri" w:hAnsi="Calibri"/>
          <w:color w:val="333333"/>
          <w:sz w:val="21"/>
        </w:rPr>
        <w:t>Numérotation automatique unique : PLT-AAAA-XXXXXX</w:t>
      </w:r>
    </w:p>
    <w:p>
      <w:pPr>
        <w:pStyle w:val="ListBullet"/>
        <w:spacing w:before="40" w:after="40"/>
      </w:pPr>
      <w:r>
        <w:rPr>
          <w:rFonts w:ascii="Calibri" w:hAnsi="Calibri"/>
          <w:color w:val="333333"/>
          <w:sz w:val="21"/>
        </w:rPr>
        <w:t>Workflow configurable : Reçue → Assignée → En cours → En investigation → Médiation → Résolue / Escaladée / Judiciaire</w:t>
      </w:r>
    </w:p>
    <w:p>
      <w:pPr>
        <w:pStyle w:val="ListBullet"/>
        <w:spacing w:before="40" w:after="40"/>
      </w:pPr>
      <w:r>
        <w:rPr>
          <w:rFonts w:ascii="Calibri" w:hAnsi="Calibri"/>
          <w:color w:val="333333"/>
          <w:sz w:val="21"/>
        </w:rPr>
        <w:t>Niveaux de priorité : Normal, Moyen, Élevé, Urgent</w:t>
      </w:r>
    </w:p>
    <w:p>
      <w:pPr>
        <w:pStyle w:val="ListBullet"/>
        <w:spacing w:before="40" w:after="40"/>
      </w:pPr>
      <w:r>
        <w:rPr>
          <w:rFonts w:ascii="Calibri" w:hAnsi="Calibri"/>
          <w:color w:val="333333"/>
          <w:sz w:val="21"/>
        </w:rPr>
        <w:t>Pièces jointes multiformats (documents, photos, vidéos, audio)</w:t>
      </w:r>
    </w:p>
    <w:p>
      <w:pPr>
        <w:pStyle w:val="ListBullet"/>
        <w:spacing w:before="40" w:after="40"/>
      </w:pPr>
      <w:r>
        <w:rPr>
          <w:rFonts w:ascii="Calibri" w:hAnsi="Calibri"/>
          <w:color w:val="333333"/>
          <w:sz w:val="21"/>
        </w:rPr>
        <w:t>Suivi en temps réel via SMS et e-mail pour le plaignant</w:t>
      </w:r>
    </w:p>
    <w:p>
      <w:pPr>
        <w:pStyle w:val="ListBullet"/>
        <w:spacing w:before="40" w:after="40"/>
      </w:pPr>
      <w:r>
        <w:rPr>
          <w:rFonts w:ascii="Calibri" w:hAnsi="Calibri"/>
          <w:color w:val="333333"/>
          <w:sz w:val="21"/>
        </w:rPr>
        <w:t>Historique complet des changements d'état avec horodatage</w:t>
      </w:r>
    </w:p>
    <w:p/>
    <w:p>
      <w:pPr>
        <w:spacing w:before="240" w:after="120"/>
      </w:pPr>
      <w:r>
        <w:rPr>
          <w:rFonts w:ascii="Calibri" w:hAnsi="Calibri"/>
          <w:b/>
          <w:color w:val="1A6FB5"/>
          <w:sz w:val="24"/>
        </w:rPr>
        <w:t>4.2  Registre des Entreprises</w:t>
      </w:r>
    </w:p>
    <w:p>
      <w:pPr>
        <w:spacing w:before="60" w:after="60" w:line="360" w:lineRule="auto"/>
        <w:jc w:val="both"/>
      </w:pPr>
      <w:r>
        <w:rPr>
          <w:rFonts w:ascii="Calibri" w:hAnsi="Calibri"/>
          <w:i/>
          <w:color w:val="333333"/>
          <w:sz w:val="21"/>
        </w:rPr>
        <w:t>Base de données nationale unifiée de toutes les entreprises assujetties au Code du Travail.</w:t>
      </w:r>
    </w:p>
    <w:p>
      <w:pPr>
        <w:pStyle w:val="ListBullet"/>
        <w:spacing w:before="40" w:after="40"/>
      </w:pPr>
      <w:r>
        <w:rPr>
          <w:rFonts w:ascii="Calibri" w:hAnsi="Calibri"/>
          <w:color w:val="333333"/>
          <w:sz w:val="21"/>
        </w:rPr>
        <w:t>Enregistrement avec RCCM, NIF, numéro CNPS</w:t>
      </w:r>
    </w:p>
    <w:p>
      <w:pPr>
        <w:pStyle w:val="ListBullet"/>
        <w:spacing w:before="40" w:after="40"/>
      </w:pPr>
      <w:r>
        <w:rPr>
          <w:rFonts w:ascii="Calibri" w:hAnsi="Calibri"/>
          <w:color w:val="333333"/>
          <w:sz w:val="21"/>
        </w:rPr>
        <w:t>Formes juridiques : SARL, SA, SAS, EI, SASU, SNC et autres</w:t>
      </w:r>
    </w:p>
    <w:p>
      <w:pPr>
        <w:pStyle w:val="ListBullet"/>
        <w:spacing w:before="40" w:after="40"/>
      </w:pPr>
      <w:r>
        <w:rPr>
          <w:rFonts w:ascii="Calibri" w:hAnsi="Calibri"/>
          <w:color w:val="333333"/>
          <w:sz w:val="21"/>
        </w:rPr>
        <w:t>Gestion multi-établissements (siège + succursales)</w:t>
      </w:r>
    </w:p>
    <w:p>
      <w:pPr>
        <w:pStyle w:val="ListBullet"/>
        <w:spacing w:before="40" w:after="40"/>
      </w:pPr>
      <w:r>
        <w:rPr>
          <w:rFonts w:ascii="Calibri" w:hAnsi="Calibri"/>
          <w:color w:val="333333"/>
          <w:sz w:val="21"/>
        </w:rPr>
        <w:t>Score de conformité dynamique (0–100) et niveau de risque</w:t>
      </w:r>
    </w:p>
    <w:p>
      <w:pPr>
        <w:pStyle w:val="ListBullet"/>
        <w:spacing w:before="40" w:after="40"/>
      </w:pPr>
      <w:r>
        <w:rPr>
          <w:rFonts w:ascii="Calibri" w:hAnsi="Calibri"/>
          <w:color w:val="333333"/>
          <w:sz w:val="21"/>
        </w:rPr>
        <w:t>Géolocalisation et affectation aux zones d'inspection</w:t>
      </w:r>
    </w:p>
    <w:p>
      <w:pPr>
        <w:pStyle w:val="ListBullet"/>
        <w:spacing w:before="40" w:after="40"/>
      </w:pPr>
      <w:r>
        <w:rPr>
          <w:rFonts w:ascii="Calibri" w:hAnsi="Calibri"/>
          <w:color w:val="333333"/>
          <w:sz w:val="21"/>
        </w:rPr>
        <w:t>Stockage sécurisé des documents légaux (statuts, RCCM, etc.)</w:t>
      </w:r>
    </w:p>
    <w:p>
      <w:pPr>
        <w:pStyle w:val="ListBullet"/>
        <w:spacing w:before="40" w:after="40"/>
      </w:pPr>
      <w:r>
        <w:rPr>
          <w:rFonts w:ascii="Calibri" w:hAnsi="Calibri"/>
          <w:color w:val="333333"/>
          <w:sz w:val="21"/>
        </w:rPr>
        <w:t>Historique des inspections par entreprise</w:t>
      </w:r>
    </w:p>
    <w:p/>
    <w:p>
      <w:pPr>
        <w:spacing w:before="240" w:after="120"/>
      </w:pPr>
      <w:r>
        <w:rPr>
          <w:rFonts w:ascii="Calibri" w:hAnsi="Calibri"/>
          <w:b/>
          <w:color w:val="1A6FB5"/>
          <w:sz w:val="24"/>
        </w:rPr>
        <w:t>4.3  Gestion des Inspections</w:t>
      </w:r>
    </w:p>
    <w:p>
      <w:pPr>
        <w:spacing w:before="60" w:after="60" w:line="360" w:lineRule="auto"/>
        <w:jc w:val="both"/>
      </w:pPr>
      <w:r>
        <w:rPr>
          <w:rFonts w:ascii="Calibri" w:hAnsi="Calibri"/>
          <w:i/>
          <w:color w:val="333333"/>
          <w:sz w:val="21"/>
        </w:rPr>
        <w:t>Planification et suivi des missions d'inspection sur l'ensemble du territoire national.</w:t>
      </w:r>
    </w:p>
    <w:p>
      <w:pPr>
        <w:pStyle w:val="ListBullet"/>
        <w:spacing w:before="40" w:after="40"/>
      </w:pPr>
      <w:r>
        <w:rPr>
          <w:rFonts w:ascii="Calibri" w:hAnsi="Calibri"/>
          <w:color w:val="333333"/>
          <w:sz w:val="21"/>
        </w:rPr>
        <w:t>Découpage géographique en zones d'inspection (communes, sous-préfectures)</w:t>
      </w:r>
    </w:p>
    <w:p>
      <w:pPr>
        <w:pStyle w:val="ListBullet"/>
        <w:spacing w:before="40" w:after="40"/>
      </w:pPr>
      <w:r>
        <w:rPr>
          <w:rFonts w:ascii="Calibri" w:hAnsi="Calibri"/>
          <w:color w:val="333333"/>
          <w:sz w:val="21"/>
        </w:rPr>
        <w:t>Affectation des inspecteurs par zone</w:t>
      </w:r>
    </w:p>
    <w:p>
      <w:pPr>
        <w:pStyle w:val="ListBullet"/>
        <w:spacing w:before="40" w:after="40"/>
      </w:pPr>
      <w:r>
        <w:rPr>
          <w:rFonts w:ascii="Calibri" w:hAnsi="Calibri"/>
          <w:color w:val="333333"/>
          <w:sz w:val="21"/>
        </w:rPr>
        <w:t>Planification des missions et tournées d'inspection</w:t>
      </w:r>
    </w:p>
    <w:p>
      <w:pPr>
        <w:pStyle w:val="ListBullet"/>
        <w:spacing w:before="40" w:after="40"/>
      </w:pPr>
      <w:r>
        <w:rPr>
          <w:rFonts w:ascii="Calibri" w:hAnsi="Calibri"/>
          <w:color w:val="333333"/>
          <w:sz w:val="21"/>
        </w:rPr>
        <w:t>Fiches d'inspection et procès-verbaux numériques</w:t>
      </w:r>
    </w:p>
    <w:p>
      <w:pPr>
        <w:pStyle w:val="ListBullet"/>
        <w:spacing w:before="40" w:after="40"/>
      </w:pPr>
      <w:r>
        <w:rPr>
          <w:rFonts w:ascii="Calibri" w:hAnsi="Calibri"/>
          <w:color w:val="333333"/>
          <w:sz w:val="21"/>
        </w:rPr>
        <w:t>Workflow d'approbation hiérarchique multi-niveaux</w:t>
      </w:r>
    </w:p>
    <w:p>
      <w:pPr>
        <w:pStyle w:val="ListBullet"/>
        <w:spacing w:before="40" w:after="40"/>
      </w:pPr>
      <w:r>
        <w:rPr>
          <w:rFonts w:ascii="Calibri" w:hAnsi="Calibri"/>
          <w:color w:val="333333"/>
          <w:sz w:val="21"/>
        </w:rPr>
        <w:t>Délégation de pouvoirs et substitution d'approbateurs</w:t>
      </w:r>
    </w:p>
    <w:p/>
    <w:p>
      <w:pPr>
        <w:spacing w:before="240" w:after="120"/>
      </w:pPr>
      <w:r>
        <w:rPr>
          <w:rFonts w:ascii="Calibri" w:hAnsi="Calibri"/>
          <w:b/>
          <w:color w:val="1A6FB5"/>
          <w:sz w:val="24"/>
        </w:rPr>
        <w:t>4.4  Médiation et Conciliation</w:t>
      </w:r>
    </w:p>
    <w:p>
      <w:pPr>
        <w:spacing w:before="60" w:after="60" w:line="360" w:lineRule="auto"/>
        <w:jc w:val="both"/>
      </w:pPr>
      <w:r>
        <w:rPr>
          <w:rFonts w:ascii="Calibri" w:hAnsi="Calibri"/>
          <w:i/>
          <w:color w:val="333333"/>
          <w:sz w:val="21"/>
        </w:rPr>
        <w:t>Gestion complète des procédures de médiation et de conciliation des conflits collectifs.</w:t>
      </w:r>
    </w:p>
    <w:p>
      <w:pPr>
        <w:pStyle w:val="ListBullet"/>
        <w:spacing w:before="40" w:after="40"/>
      </w:pPr>
      <w:r>
        <w:rPr>
          <w:rFonts w:ascii="Calibri" w:hAnsi="Calibri"/>
          <w:color w:val="333333"/>
          <w:sz w:val="21"/>
        </w:rPr>
        <w:t>Séances en présentiel, en ligne (visioconférence) ou hybride</w:t>
      </w:r>
    </w:p>
    <w:p>
      <w:pPr>
        <w:pStyle w:val="ListBullet"/>
        <w:spacing w:before="40" w:after="40"/>
      </w:pPr>
      <w:r>
        <w:rPr>
          <w:rFonts w:ascii="Calibri" w:hAnsi="Calibri"/>
          <w:color w:val="333333"/>
          <w:sz w:val="21"/>
        </w:rPr>
        <w:t>Planification et convocations automatiques</w:t>
      </w:r>
    </w:p>
    <w:p>
      <w:pPr>
        <w:pStyle w:val="ListBullet"/>
        <w:spacing w:before="40" w:after="40"/>
      </w:pPr>
      <w:r>
        <w:rPr>
          <w:rFonts w:ascii="Calibri" w:hAnsi="Calibri"/>
          <w:color w:val="333333"/>
          <w:sz w:val="21"/>
        </w:rPr>
        <w:t>Résultats : Accord total, accord partiel, désaccord, en attente</w:t>
      </w:r>
    </w:p>
    <w:p>
      <w:pPr>
        <w:pStyle w:val="ListBullet"/>
        <w:spacing w:before="40" w:after="40"/>
      </w:pPr>
      <w:r>
        <w:rPr>
          <w:rFonts w:ascii="Calibri" w:hAnsi="Calibri"/>
          <w:color w:val="333333"/>
          <w:sz w:val="21"/>
        </w:rPr>
        <w:t>Génération automatique des procès-verbaux de conciliation</w:t>
      </w:r>
    </w:p>
    <w:p>
      <w:pPr>
        <w:pStyle w:val="ListBullet"/>
        <w:spacing w:before="40" w:after="40"/>
      </w:pPr>
      <w:r>
        <w:rPr>
          <w:rFonts w:ascii="Calibri" w:hAnsi="Calibri"/>
          <w:color w:val="333333"/>
          <w:sz w:val="21"/>
        </w:rPr>
        <w:t>Archivage et signature numérique des accords</w:t>
      </w:r>
    </w:p>
    <w:p/>
    <w:p>
      <w:pPr>
        <w:spacing w:before="240" w:after="120"/>
      </w:pPr>
      <w:r>
        <w:rPr>
          <w:rFonts w:ascii="Calibri" w:hAnsi="Calibri"/>
          <w:b/>
          <w:color w:val="1A6FB5"/>
          <w:sz w:val="24"/>
        </w:rPr>
        <w:t>4.5  Procédures Judiciaires</w:t>
      </w:r>
    </w:p>
    <w:p>
      <w:pPr>
        <w:spacing w:before="60" w:after="60" w:line="360" w:lineRule="auto"/>
        <w:jc w:val="both"/>
      </w:pPr>
      <w:r>
        <w:rPr>
          <w:rFonts w:ascii="Calibri" w:hAnsi="Calibri"/>
          <w:i/>
          <w:color w:val="333333"/>
          <w:sz w:val="21"/>
        </w:rPr>
        <w:t>Suivi des dossiers transmis à la justice du travail.</w:t>
      </w:r>
    </w:p>
    <w:p>
      <w:pPr>
        <w:pStyle w:val="ListBullet"/>
        <w:spacing w:before="40" w:after="40"/>
      </w:pPr>
      <w:r>
        <w:rPr>
          <w:rFonts w:ascii="Calibri" w:hAnsi="Calibri"/>
          <w:color w:val="333333"/>
          <w:sz w:val="21"/>
        </w:rPr>
        <w:t>Numérotation des procédures : PROC-AAAA-XXXXXX</w:t>
      </w:r>
    </w:p>
    <w:p>
      <w:pPr>
        <w:pStyle w:val="ListBullet"/>
        <w:spacing w:before="40" w:after="40"/>
      </w:pPr>
      <w:r>
        <w:rPr>
          <w:rFonts w:ascii="Calibri" w:hAnsi="Calibri"/>
          <w:color w:val="333333"/>
          <w:sz w:val="21"/>
        </w:rPr>
        <w:t>Cycle complet : Préparation → Déposé → En examen → Audience → Décision → Appel → Clôture</w:t>
      </w:r>
    </w:p>
    <w:p>
      <w:pPr>
        <w:pStyle w:val="ListBullet"/>
        <w:spacing w:before="40" w:after="40"/>
      </w:pPr>
      <w:r>
        <w:rPr>
          <w:rFonts w:ascii="Calibri" w:hAnsi="Calibri"/>
          <w:color w:val="333333"/>
          <w:sz w:val="21"/>
        </w:rPr>
        <w:t>Gestion des audiences et des convocations</w:t>
      </w:r>
    </w:p>
    <w:p>
      <w:pPr>
        <w:pStyle w:val="ListBullet"/>
        <w:spacing w:before="40" w:after="40"/>
      </w:pPr>
      <w:r>
        <w:rPr>
          <w:rFonts w:ascii="Calibri" w:hAnsi="Calibri"/>
          <w:color w:val="333333"/>
          <w:sz w:val="21"/>
        </w:rPr>
        <w:t>Stockage sécurisé des actes judiciaires et pièces du dossier</w:t>
      </w:r>
    </w:p>
    <w:p/>
    <w:p>
      <w:pPr>
        <w:spacing w:before="240" w:after="120"/>
      </w:pPr>
      <w:r>
        <w:rPr>
          <w:rFonts w:ascii="Calibri" w:hAnsi="Calibri"/>
          <w:b/>
          <w:color w:val="1A6FB5"/>
          <w:sz w:val="24"/>
        </w:rPr>
        <w:t>4.6  Module Travailleurs Domestiques</w:t>
      </w:r>
    </w:p>
    <w:p>
      <w:pPr>
        <w:spacing w:before="60" w:after="60" w:line="360" w:lineRule="auto"/>
        <w:jc w:val="both"/>
      </w:pPr>
      <w:r>
        <w:rPr>
          <w:rFonts w:ascii="Calibri" w:hAnsi="Calibri"/>
          <w:i/>
          <w:color w:val="333333"/>
          <w:sz w:val="21"/>
        </w:rPr>
        <w:t>Module spécialisé pour la formalisation et la protection des travailleurs domestiques.</w:t>
      </w:r>
    </w:p>
    <w:p>
      <w:pPr>
        <w:pStyle w:val="ListBullet"/>
        <w:spacing w:before="40" w:after="40"/>
      </w:pPr>
      <w:r>
        <w:rPr>
          <w:rFonts w:ascii="Calibri" w:hAnsi="Calibri"/>
          <w:color w:val="333333"/>
          <w:sz w:val="21"/>
        </w:rPr>
        <w:t>Profils : employés de maison, cuisiniers, nourrices, chauffeurs, jardiniers, gardes, aides-soignants</w:t>
      </w:r>
    </w:p>
    <w:p>
      <w:pPr>
        <w:pStyle w:val="ListBullet"/>
        <w:spacing w:before="40" w:after="40"/>
      </w:pPr>
      <w:r>
        <w:rPr>
          <w:rFonts w:ascii="Calibri" w:hAnsi="Calibri"/>
          <w:color w:val="333333"/>
          <w:sz w:val="21"/>
        </w:rPr>
        <w:t>Gestion des certifications et qualifications</w:t>
      </w:r>
    </w:p>
    <w:p>
      <w:pPr>
        <w:pStyle w:val="ListBullet"/>
        <w:spacing w:before="40" w:after="40"/>
      </w:pPr>
      <w:r>
        <w:rPr>
          <w:rFonts w:ascii="Calibri" w:hAnsi="Calibri"/>
          <w:color w:val="333333"/>
          <w:sz w:val="21"/>
        </w:rPr>
        <w:t>Suivi des contrats et expériences professionnelles</w:t>
      </w:r>
    </w:p>
    <w:p>
      <w:pPr>
        <w:pStyle w:val="ListBullet"/>
        <w:spacing w:before="40" w:after="40"/>
      </w:pPr>
      <w:r>
        <w:rPr>
          <w:rFonts w:ascii="Calibri" w:hAnsi="Calibri"/>
          <w:color w:val="333333"/>
          <w:sz w:val="21"/>
        </w:rPr>
        <w:t>Carte professionnelle numérique</w:t>
      </w:r>
    </w:p>
    <w:p/>
    <w:p>
      <w:pPr>
        <w:spacing w:before="240" w:after="120"/>
      </w:pPr>
      <w:r>
        <w:rPr>
          <w:rFonts w:ascii="Calibri" w:hAnsi="Calibri"/>
          <w:b/>
          <w:color w:val="1A6FB5"/>
          <w:sz w:val="24"/>
        </w:rPr>
        <w:t>4.7  Intelligence Artificielle et Analyse Documentaire</w:t>
      </w:r>
    </w:p>
    <w:p>
      <w:pPr>
        <w:spacing w:before="60" w:after="60" w:line="360" w:lineRule="auto"/>
        <w:jc w:val="both"/>
      </w:pPr>
      <w:r>
        <w:rPr>
          <w:rFonts w:ascii="Calibri" w:hAnsi="Calibri"/>
          <w:i/>
          <w:color w:val="333333"/>
          <w:sz w:val="21"/>
        </w:rPr>
        <w:t>Assistance intelligente pour les inspecteurs et traitement automatique des documents.</w:t>
      </w:r>
    </w:p>
    <w:p>
      <w:pPr>
        <w:pStyle w:val="ListBullet"/>
        <w:spacing w:before="40" w:after="40"/>
      </w:pPr>
      <w:r>
        <w:rPr>
          <w:rFonts w:ascii="Calibri" w:hAnsi="Calibri"/>
          <w:color w:val="333333"/>
          <w:sz w:val="21"/>
        </w:rPr>
        <w:t>Chatbot juridique pour l'assistance aux inspecteurs et aux plaignants</w:t>
      </w:r>
    </w:p>
    <w:p>
      <w:pPr>
        <w:pStyle w:val="ListBullet"/>
        <w:spacing w:before="40" w:after="40"/>
      </w:pPr>
      <w:r>
        <w:rPr>
          <w:rFonts w:ascii="Calibri" w:hAnsi="Calibri"/>
          <w:color w:val="333333"/>
          <w:sz w:val="21"/>
        </w:rPr>
        <w:t>OCR et analyse automatique des documents (contrats, bulletins de paie, PV)</w:t>
      </w:r>
    </w:p>
    <w:p>
      <w:pPr>
        <w:pStyle w:val="ListBullet"/>
        <w:spacing w:before="40" w:after="40"/>
      </w:pPr>
      <w:r>
        <w:rPr>
          <w:rFonts w:ascii="Calibri" w:hAnsi="Calibri"/>
          <w:color w:val="333333"/>
          <w:sz w:val="21"/>
        </w:rPr>
        <w:t>Transcription audio multilingue (Lingala, Kituba, Français) via Whisper AI</w:t>
      </w:r>
    </w:p>
    <w:p>
      <w:pPr>
        <w:pStyle w:val="ListBullet"/>
        <w:spacing w:before="40" w:after="40"/>
      </w:pPr>
      <w:r>
        <w:rPr>
          <w:rFonts w:ascii="Calibri" w:hAnsi="Calibri"/>
          <w:color w:val="333333"/>
          <w:sz w:val="21"/>
        </w:rPr>
        <w:t>Classification et extraction automatique d'informations clés</w:t>
      </w:r>
    </w:p>
    <w:p>
      <w:pPr>
        <w:pStyle w:val="ListBullet"/>
        <w:spacing w:before="40" w:after="40"/>
      </w:pPr>
      <w:r>
        <w:rPr>
          <w:rFonts w:ascii="Calibri" w:hAnsi="Calibri"/>
          <w:color w:val="333333"/>
          <w:sz w:val="21"/>
        </w:rPr>
        <w:t>Suggestions de qualification juridique des faits</w:t>
      </w:r>
    </w:p>
    <w:p/>
    <w:p>
      <w:pPr>
        <w:spacing w:before="240" w:after="120"/>
      </w:pPr>
      <w:r>
        <w:rPr>
          <w:rFonts w:ascii="Calibri" w:hAnsi="Calibri"/>
          <w:b/>
          <w:color w:val="1A6FB5"/>
          <w:sz w:val="24"/>
        </w:rPr>
        <w:t>4.8  Observatoire et Tableaux de Bord</w:t>
      </w:r>
    </w:p>
    <w:p>
      <w:pPr>
        <w:spacing w:before="60" w:after="60" w:line="360" w:lineRule="auto"/>
        <w:jc w:val="both"/>
      </w:pPr>
      <w:r>
        <w:rPr>
          <w:rFonts w:ascii="Calibri" w:hAnsi="Calibri"/>
          <w:i/>
          <w:color w:val="333333"/>
          <w:sz w:val="21"/>
        </w:rPr>
        <w:t>Pilotage stratégique et production de statistiques sociales pour la prise de décision.</w:t>
      </w:r>
    </w:p>
    <w:p>
      <w:pPr>
        <w:pStyle w:val="ListBullet"/>
        <w:spacing w:before="40" w:after="40"/>
      </w:pPr>
      <w:r>
        <w:rPr>
          <w:rFonts w:ascii="Calibri" w:hAnsi="Calibri"/>
          <w:color w:val="333333"/>
          <w:sz w:val="21"/>
        </w:rPr>
        <w:t>Statistiques quotidiennes et rapports mensuels automatisés</w:t>
      </w:r>
    </w:p>
    <w:p>
      <w:pPr>
        <w:pStyle w:val="ListBullet"/>
        <w:spacing w:before="40" w:after="40"/>
      </w:pPr>
      <w:r>
        <w:rPr>
          <w:rFonts w:ascii="Calibri" w:hAnsi="Calibri"/>
          <w:color w:val="333333"/>
          <w:sz w:val="21"/>
        </w:rPr>
        <w:t>Taux de résolution, délai moyen de traitement, taux de médiation réussie</w:t>
      </w:r>
    </w:p>
    <w:p>
      <w:pPr>
        <w:pStyle w:val="ListBullet"/>
        <w:spacing w:before="40" w:after="40"/>
      </w:pPr>
      <w:r>
        <w:rPr>
          <w:rFonts w:ascii="Calibri" w:hAnsi="Calibri"/>
          <w:color w:val="333333"/>
          <w:sz w:val="21"/>
        </w:rPr>
        <w:t>Cartographie des risques par zone géographique et secteur d'activité</w:t>
      </w:r>
    </w:p>
    <w:p>
      <w:pPr>
        <w:pStyle w:val="ListBullet"/>
        <w:spacing w:before="40" w:after="40"/>
      </w:pPr>
      <w:r>
        <w:rPr>
          <w:rFonts w:ascii="Calibri" w:hAnsi="Calibri"/>
          <w:color w:val="333333"/>
          <w:sz w:val="21"/>
        </w:rPr>
        <w:t>Rapports exportables (PDF, Excel, CSV)</w:t>
      </w:r>
    </w:p>
    <w:p>
      <w:pPr>
        <w:pStyle w:val="ListBullet"/>
        <w:spacing w:before="40" w:after="40"/>
      </w:pPr>
      <w:r>
        <w:rPr>
          <w:rFonts w:ascii="Calibri" w:hAnsi="Calibri"/>
          <w:color w:val="333333"/>
          <w:sz w:val="21"/>
        </w:rPr>
        <w:t>Tableaux de bord personnalisables par profil d'utilisateur</w:t>
      </w:r>
    </w:p>
    <w:p>
      <w:pPr>
        <w:pStyle w:val="ListBullet"/>
        <w:spacing w:before="40" w:after="40"/>
      </w:pPr>
      <w:r>
        <w:rPr>
          <w:rFonts w:ascii="Calibri" w:hAnsi="Calibri"/>
          <w:color w:val="333333"/>
          <w:sz w:val="21"/>
        </w:rPr>
        <w:t>Données alimentant les rapports annuels du Ministère et de l'OIT</w:t>
      </w:r>
    </w:p>
    <w:p/>
    <w:p>
      <w:pPr>
        <w:spacing w:before="240" w:after="120"/>
      </w:pPr>
      <w:r>
        <w:rPr>
          <w:rFonts w:ascii="Calibri" w:hAnsi="Calibri"/>
          <w:b/>
          <w:color w:val="1A6FB5"/>
          <w:sz w:val="24"/>
        </w:rPr>
        <w:t>4.9  GED – Gestion Électronique des Documents</w:t>
      </w:r>
    </w:p>
    <w:p>
      <w:pPr>
        <w:spacing w:before="60" w:after="60" w:line="360" w:lineRule="auto"/>
        <w:jc w:val="both"/>
      </w:pPr>
      <w:r>
        <w:rPr>
          <w:rFonts w:ascii="Calibri" w:hAnsi="Calibri"/>
          <w:i/>
          <w:color w:val="333333"/>
          <w:sz w:val="21"/>
        </w:rPr>
        <w:t>Système d'archivage électronique professionnel pour tous les actes administratifs du travail.</w:t>
      </w:r>
    </w:p>
    <w:p>
      <w:pPr>
        <w:pStyle w:val="ListBullet"/>
        <w:spacing w:before="40" w:after="40"/>
      </w:pPr>
      <w:r>
        <w:rPr>
          <w:rFonts w:ascii="Calibri" w:hAnsi="Calibri"/>
          <w:color w:val="333333"/>
          <w:sz w:val="21"/>
        </w:rPr>
        <w:t>Arborescence documentaire avec politiques de rétention</w:t>
      </w:r>
    </w:p>
    <w:p>
      <w:pPr>
        <w:pStyle w:val="ListBullet"/>
        <w:spacing w:before="40" w:after="40"/>
      </w:pPr>
      <w:r>
        <w:rPr>
          <w:rFonts w:ascii="Calibri" w:hAnsi="Calibri"/>
          <w:color w:val="333333"/>
          <w:sz w:val="21"/>
        </w:rPr>
        <w:t>Cycle de vie : Brouillon → Actif → Archivé → Supprimé</w:t>
      </w:r>
    </w:p>
    <w:p>
      <w:pPr>
        <w:pStyle w:val="ListBullet"/>
        <w:spacing w:before="40" w:after="40"/>
      </w:pPr>
      <w:r>
        <w:rPr>
          <w:rFonts w:ascii="Calibri" w:hAnsi="Calibri"/>
          <w:color w:val="333333"/>
          <w:sz w:val="21"/>
        </w:rPr>
        <w:t>Versionnage complet et traçabilité des modifications</w:t>
      </w:r>
    </w:p>
    <w:p>
      <w:pPr>
        <w:pStyle w:val="ListBullet"/>
        <w:spacing w:before="40" w:after="40"/>
      </w:pPr>
      <w:r>
        <w:rPr>
          <w:rFonts w:ascii="Calibri" w:hAnsi="Calibri"/>
          <w:color w:val="333333"/>
          <w:sz w:val="21"/>
        </w:rPr>
        <w:t>Contrôle d'accès granulaire par document</w:t>
      </w:r>
    </w:p>
    <w:p>
      <w:pPr>
        <w:pStyle w:val="ListBullet"/>
        <w:spacing w:before="40" w:after="40"/>
      </w:pPr>
      <w:r>
        <w:rPr>
          <w:rFonts w:ascii="Calibri" w:hAnsi="Calibri"/>
          <w:color w:val="333333"/>
          <w:sz w:val="21"/>
        </w:rPr>
        <w:t>Piste d'audit exhaustive de toutes les opérations</w:t>
      </w:r>
    </w:p>
    <w:p/>
    <w:p>
      <w:pPr>
        <w:spacing w:before="240" w:after="120"/>
      </w:pPr>
      <w:r>
        <w:rPr>
          <w:rFonts w:ascii="Calibri" w:hAnsi="Calibri"/>
          <w:b/>
          <w:color w:val="1A6FB5"/>
          <w:sz w:val="24"/>
        </w:rPr>
        <w:t>4.10  Notifications Multi-canaux</w:t>
      </w:r>
    </w:p>
    <w:p>
      <w:pPr>
        <w:spacing w:before="60" w:after="60" w:line="360" w:lineRule="auto"/>
        <w:jc w:val="both"/>
      </w:pPr>
      <w:r>
        <w:rPr>
          <w:rFonts w:ascii="Calibri" w:hAnsi="Calibri"/>
          <w:i/>
          <w:color w:val="333333"/>
          <w:sz w:val="21"/>
        </w:rPr>
        <w:t>Système de communication proactif vers tous les acteurs de la plateforme.</w:t>
      </w:r>
    </w:p>
    <w:p>
      <w:pPr>
        <w:pStyle w:val="ListBullet"/>
        <w:spacing w:before="40" w:after="40"/>
      </w:pPr>
      <w:r>
        <w:rPr>
          <w:rFonts w:ascii="Calibri" w:hAnsi="Calibri"/>
          <w:color w:val="333333"/>
          <w:sz w:val="21"/>
        </w:rPr>
        <w:t>Notifications par e-mail avec modèles personnalisés</w:t>
      </w:r>
    </w:p>
    <w:p>
      <w:pPr>
        <w:pStyle w:val="ListBullet"/>
        <w:spacing w:before="40" w:after="40"/>
      </w:pPr>
      <w:r>
        <w:rPr>
          <w:rFonts w:ascii="Calibri" w:hAnsi="Calibri"/>
          <w:color w:val="333333"/>
          <w:sz w:val="21"/>
        </w:rPr>
        <w:t>Notifications SMS (pour les plaignants sans accès internet)</w:t>
      </w:r>
    </w:p>
    <w:p>
      <w:pPr>
        <w:pStyle w:val="ListBullet"/>
        <w:spacing w:before="40" w:after="40"/>
      </w:pPr>
      <w:r>
        <w:rPr>
          <w:rFonts w:ascii="Calibri" w:hAnsi="Calibri"/>
          <w:color w:val="333333"/>
          <w:sz w:val="21"/>
        </w:rPr>
        <w:t>Alertes en temps réel via WebSocket (interface web)</w:t>
      </w:r>
    </w:p>
    <w:p>
      <w:pPr>
        <w:pStyle w:val="ListBullet"/>
        <w:spacing w:before="40" w:after="40"/>
      </w:pPr>
      <w:r>
        <w:rPr>
          <w:rFonts w:ascii="Calibri" w:hAnsi="Calibri"/>
          <w:color w:val="333333"/>
          <w:sz w:val="21"/>
        </w:rPr>
        <w:t>Paramétrage des préférences de notification par utilisateur</w:t>
      </w:r>
    </w:p>
    <w:p/>
    <w:p>
      <w:r>
        <w:br w:type="page"/>
      </w:r>
    </w:p>
    <w:p>
      <w:pPr>
        <w:spacing w:before="360" w:after="120"/>
      </w:pPr>
      <w:r>
        <w:rPr>
          <w:rFonts w:ascii="Calibri" w:hAnsi="Calibri"/>
          <w:b/>
          <w:color w:val="0A336B"/>
          <w:sz w:val="30"/>
        </w:rPr>
        <w:t>5.  ARCHITECTURE TECHNIQUE</w:t>
      </w:r>
    </w:p>
    <w:p>
      <w:pPr>
        <w:pBdr>
          <w:bottom w:val="single" w:sz="8" w:space="1" w:color="0A336B"/>
        </w:pBdr>
        <w:spacing w:before="40" w:after="40"/>
      </w:pPr>
    </w:p>
    <w:p/>
    <w:p>
      <w:pPr>
        <w:spacing w:before="60" w:after="60" w:line="360" w:lineRule="auto"/>
        <w:jc w:val="both"/>
      </w:pPr>
      <w:r>
        <w:rPr>
          <w:rFonts w:ascii="Calibri" w:hAnsi="Calibri"/>
          <w:i w:val="0"/>
          <w:color w:val="333333"/>
          <w:sz w:val="21"/>
        </w:rPr>
        <w:t>La plateforme est conçue selon une architecture en couches découplées, garantissant scalabilité, sécurité et maintenabilité à long terme. Elle peut être hébergée sur infrastructure cloud (AWS, Azure, OVHcloud) ou sur serveurs locaux au sein du Ministère.</w:t>
      </w:r>
    </w:p>
    <w:p>
      <w:pPr>
        <w:spacing w:before="160" w:after="120"/>
      </w:pPr>
      <w:r>
        <w:rPr>
          <w:rFonts w:ascii="Calibri" w:hAnsi="Calibri"/>
          <w:b/>
          <w:color w:val="1A6FB5"/>
          <w:sz w:val="24"/>
        </w:rPr>
        <w:t>5.1  Pile technologique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A336B"/>
          </w:tcPr>
          <w:p>
            <w:pPr>
              <w:spacing w:before="100" w:after="100"/>
            </w:pPr>
            <w:r>
              <w:rPr>
                <w:rFonts w:ascii="Calibri" w:hAnsi="Calibri"/>
                <w:b/>
                <w:color w:val="FFFFFF"/>
                <w:sz w:val="19"/>
              </w:rPr>
              <w:t>Couche</w:t>
            </w:r>
          </w:p>
        </w:tc>
        <w:tc>
          <w:tcPr>
            <w:tcW w:type="dxa" w:w="3135"/>
            <w:shd w:val="clear" w:color="auto" w:fill="0A336B"/>
          </w:tcPr>
          <w:p>
            <w:pPr>
              <w:spacing w:before="100" w:after="100"/>
            </w:pPr>
            <w:r>
              <w:rPr>
                <w:rFonts w:ascii="Calibri" w:hAnsi="Calibri"/>
                <w:b/>
                <w:color w:val="FFFFFF"/>
                <w:sz w:val="19"/>
              </w:rPr>
              <w:t>Technologie</w:t>
            </w:r>
          </w:p>
        </w:tc>
        <w:tc>
          <w:tcPr>
            <w:tcW w:type="dxa" w:w="3135"/>
            <w:shd w:val="clear" w:color="auto" w:fill="0A336B"/>
          </w:tcPr>
          <w:p>
            <w:pPr>
              <w:spacing w:before="100" w:after="100"/>
            </w:pPr>
            <w:r>
              <w:rPr>
                <w:rFonts w:ascii="Calibri" w:hAnsi="Calibri"/>
                <w:b/>
                <w:color w:val="FFFFFF"/>
                <w:sz w:val="19"/>
              </w:rPr>
              <w:t>Rôle</w:t>
            </w:r>
          </w:p>
        </w:tc>
      </w:tr>
      <w:tr>
        <w:tc>
          <w:tcPr>
            <w:tcW w:type="dxa" w:w="3135"/>
            <w:shd w:val="clear" w:color="auto" w:fill="FFFFFF"/>
          </w:tcPr>
          <w:p>
            <w:pPr>
              <w:spacing w:before="100" w:after="100"/>
            </w:pPr>
            <w:r>
              <w:rPr>
                <w:rFonts w:ascii="Calibri" w:hAnsi="Calibri"/>
                <w:b/>
                <w:color w:val="333333"/>
                <w:sz w:val="19"/>
              </w:rPr>
              <w:t>Backend / API</w:t>
            </w:r>
          </w:p>
        </w:tc>
        <w:tc>
          <w:tcPr>
            <w:tcW w:type="dxa" w:w="3135"/>
            <w:shd w:val="clear" w:color="auto" w:fill="FFFFFF"/>
          </w:tcPr>
          <w:p>
            <w:pPr>
              <w:spacing w:before="100" w:after="100"/>
            </w:pPr>
            <w:r>
              <w:rPr>
                <w:rFonts w:ascii="Calibri" w:hAnsi="Calibri"/>
                <w:b w:val="0"/>
                <w:color w:val="333333"/>
                <w:sz w:val="19"/>
              </w:rPr>
              <w:t>Django 5.0 + Django REST Framework</w:t>
            </w:r>
          </w:p>
        </w:tc>
        <w:tc>
          <w:tcPr>
            <w:tcW w:type="dxa" w:w="3135"/>
            <w:shd w:val="clear" w:color="auto" w:fill="FFFFFF"/>
          </w:tcPr>
          <w:p>
            <w:pPr>
              <w:spacing w:before="100" w:after="100"/>
            </w:pPr>
            <w:r>
              <w:rPr>
                <w:rFonts w:ascii="Calibri" w:hAnsi="Calibri"/>
                <w:b w:val="0"/>
                <w:color w:val="333333"/>
                <w:sz w:val="19"/>
              </w:rPr>
              <w:t>API RESTful sécurisée, logique métier</w:t>
            </w:r>
          </w:p>
        </w:tc>
      </w:tr>
      <w:tr>
        <w:tc>
          <w:tcPr>
            <w:tcW w:type="dxa" w:w="3135"/>
            <w:shd w:val="clear" w:color="auto" w:fill="F2F5FA"/>
          </w:tcPr>
          <w:p>
            <w:pPr>
              <w:spacing w:before="100" w:after="100"/>
            </w:pPr>
            <w:r>
              <w:rPr>
                <w:rFonts w:ascii="Calibri" w:hAnsi="Calibri"/>
                <w:b/>
                <w:color w:val="333333"/>
                <w:sz w:val="19"/>
              </w:rPr>
              <w:t>Base de données</w:t>
            </w:r>
          </w:p>
        </w:tc>
        <w:tc>
          <w:tcPr>
            <w:tcW w:type="dxa" w:w="3135"/>
            <w:shd w:val="clear" w:color="auto" w:fill="F2F5FA"/>
          </w:tcPr>
          <w:p>
            <w:pPr>
              <w:spacing w:before="100" w:after="100"/>
            </w:pPr>
            <w:r>
              <w:rPr>
                <w:rFonts w:ascii="Calibri" w:hAnsi="Calibri"/>
                <w:b w:val="0"/>
                <w:color w:val="333333"/>
                <w:sz w:val="19"/>
              </w:rPr>
              <w:t>MySQL / MariaDB</w:t>
            </w:r>
          </w:p>
        </w:tc>
        <w:tc>
          <w:tcPr>
            <w:tcW w:type="dxa" w:w="3135"/>
            <w:shd w:val="clear" w:color="auto" w:fill="F2F5FA"/>
          </w:tcPr>
          <w:p>
            <w:pPr>
              <w:spacing w:before="100" w:after="100"/>
            </w:pPr>
            <w:r>
              <w:rPr>
                <w:rFonts w:ascii="Calibri" w:hAnsi="Calibri"/>
                <w:b w:val="0"/>
                <w:color w:val="333333"/>
                <w:sz w:val="19"/>
              </w:rPr>
              <w:t>Stockage relationnel des données</w:t>
            </w:r>
          </w:p>
        </w:tc>
      </w:tr>
      <w:tr>
        <w:tc>
          <w:tcPr>
            <w:tcW w:type="dxa" w:w="3135"/>
            <w:shd w:val="clear" w:color="auto" w:fill="FFFFFF"/>
          </w:tcPr>
          <w:p>
            <w:pPr>
              <w:spacing w:before="100" w:after="100"/>
            </w:pPr>
            <w:r>
              <w:rPr>
                <w:rFonts w:ascii="Calibri" w:hAnsi="Calibri"/>
                <w:b/>
                <w:color w:val="333333"/>
                <w:sz w:val="19"/>
              </w:rPr>
              <w:t>Authentification</w:t>
            </w:r>
          </w:p>
        </w:tc>
        <w:tc>
          <w:tcPr>
            <w:tcW w:type="dxa" w:w="3135"/>
            <w:shd w:val="clear" w:color="auto" w:fill="FFFFFF"/>
          </w:tcPr>
          <w:p>
            <w:pPr>
              <w:spacing w:before="100" w:after="100"/>
            </w:pPr>
            <w:r>
              <w:rPr>
                <w:rFonts w:ascii="Calibri" w:hAnsi="Calibri"/>
                <w:b w:val="0"/>
                <w:color w:val="333333"/>
                <w:sz w:val="19"/>
              </w:rPr>
              <w:t>JWT (Simple JWT) + OTP/2FA</w:t>
            </w:r>
          </w:p>
        </w:tc>
        <w:tc>
          <w:tcPr>
            <w:tcW w:type="dxa" w:w="3135"/>
            <w:shd w:val="clear" w:color="auto" w:fill="FFFFFF"/>
          </w:tcPr>
          <w:p>
            <w:pPr>
              <w:spacing w:before="100" w:after="100"/>
            </w:pPr>
            <w:r>
              <w:rPr>
                <w:rFonts w:ascii="Calibri" w:hAnsi="Calibri"/>
                <w:b w:val="0"/>
                <w:color w:val="333333"/>
                <w:sz w:val="19"/>
              </w:rPr>
              <w:t>Sécurité renforcée des accès</w:t>
            </w:r>
          </w:p>
        </w:tc>
      </w:tr>
      <w:tr>
        <w:tc>
          <w:tcPr>
            <w:tcW w:type="dxa" w:w="3135"/>
            <w:shd w:val="clear" w:color="auto" w:fill="F2F5FA"/>
          </w:tcPr>
          <w:p>
            <w:pPr>
              <w:spacing w:before="100" w:after="100"/>
            </w:pPr>
            <w:r>
              <w:rPr>
                <w:rFonts w:ascii="Calibri" w:hAnsi="Calibri"/>
                <w:b/>
                <w:color w:val="333333"/>
                <w:sz w:val="19"/>
              </w:rPr>
              <w:t>Tâches asynchrones</w:t>
            </w:r>
          </w:p>
        </w:tc>
        <w:tc>
          <w:tcPr>
            <w:tcW w:type="dxa" w:w="3135"/>
            <w:shd w:val="clear" w:color="auto" w:fill="F2F5FA"/>
          </w:tcPr>
          <w:p>
            <w:pPr>
              <w:spacing w:before="100" w:after="100"/>
            </w:pPr>
            <w:r>
              <w:rPr>
                <w:rFonts w:ascii="Calibri" w:hAnsi="Calibri"/>
                <w:b w:val="0"/>
                <w:color w:val="333333"/>
                <w:sz w:val="19"/>
              </w:rPr>
              <w:t>Celery + Redis</w:t>
            </w:r>
          </w:p>
        </w:tc>
        <w:tc>
          <w:tcPr>
            <w:tcW w:type="dxa" w:w="3135"/>
            <w:shd w:val="clear" w:color="auto" w:fill="F2F5FA"/>
          </w:tcPr>
          <w:p>
            <w:pPr>
              <w:spacing w:before="100" w:after="100"/>
            </w:pPr>
            <w:r>
              <w:rPr>
                <w:rFonts w:ascii="Calibri" w:hAnsi="Calibri"/>
                <w:b w:val="0"/>
                <w:color w:val="333333"/>
                <w:sz w:val="19"/>
              </w:rPr>
              <w:t>Envoi d'emails, calcul de stats, notifications</w:t>
            </w:r>
          </w:p>
        </w:tc>
      </w:tr>
      <w:tr>
        <w:tc>
          <w:tcPr>
            <w:tcW w:type="dxa" w:w="3135"/>
            <w:shd w:val="clear" w:color="auto" w:fill="FFFFFF"/>
          </w:tcPr>
          <w:p>
            <w:pPr>
              <w:spacing w:before="100" w:after="100"/>
            </w:pPr>
            <w:r>
              <w:rPr>
                <w:rFonts w:ascii="Calibri" w:hAnsi="Calibri"/>
                <w:b/>
                <w:color w:val="333333"/>
                <w:sz w:val="19"/>
              </w:rPr>
              <w:t>Temps réel</w:t>
            </w:r>
          </w:p>
        </w:tc>
        <w:tc>
          <w:tcPr>
            <w:tcW w:type="dxa" w:w="3135"/>
            <w:shd w:val="clear" w:color="auto" w:fill="FFFFFF"/>
          </w:tcPr>
          <w:p>
            <w:pPr>
              <w:spacing w:before="100" w:after="100"/>
            </w:pPr>
            <w:r>
              <w:rPr>
                <w:rFonts w:ascii="Calibri" w:hAnsi="Calibri"/>
                <w:b w:val="0"/>
                <w:color w:val="333333"/>
                <w:sz w:val="19"/>
              </w:rPr>
              <w:t>Django Channels + WebSocket</w:t>
            </w:r>
          </w:p>
        </w:tc>
        <w:tc>
          <w:tcPr>
            <w:tcW w:type="dxa" w:w="3135"/>
            <w:shd w:val="clear" w:color="auto" w:fill="FFFFFF"/>
          </w:tcPr>
          <w:p>
            <w:pPr>
              <w:spacing w:before="100" w:after="100"/>
            </w:pPr>
            <w:r>
              <w:rPr>
                <w:rFonts w:ascii="Calibri" w:hAnsi="Calibri"/>
                <w:b w:val="0"/>
                <w:color w:val="333333"/>
                <w:sz w:val="19"/>
              </w:rPr>
              <w:t>Notifications instantanées</w:t>
            </w:r>
          </w:p>
        </w:tc>
      </w:tr>
      <w:tr>
        <w:tc>
          <w:tcPr>
            <w:tcW w:type="dxa" w:w="3135"/>
            <w:shd w:val="clear" w:color="auto" w:fill="F2F5FA"/>
          </w:tcPr>
          <w:p>
            <w:pPr>
              <w:spacing w:before="100" w:after="100"/>
            </w:pPr>
            <w:r>
              <w:rPr>
                <w:rFonts w:ascii="Calibri" w:hAnsi="Calibri"/>
                <w:b/>
                <w:color w:val="333333"/>
                <w:sz w:val="19"/>
              </w:rPr>
              <w:t>Stockage fichiers</w:t>
            </w:r>
          </w:p>
        </w:tc>
        <w:tc>
          <w:tcPr>
            <w:tcW w:type="dxa" w:w="3135"/>
            <w:shd w:val="clear" w:color="auto" w:fill="F2F5FA"/>
          </w:tcPr>
          <w:p>
            <w:pPr>
              <w:spacing w:before="100" w:after="100"/>
            </w:pPr>
            <w:r>
              <w:rPr>
                <w:rFonts w:ascii="Calibri" w:hAnsi="Calibri"/>
                <w:b w:val="0"/>
                <w:color w:val="333333"/>
                <w:sz w:val="19"/>
              </w:rPr>
              <w:t>AWS S3 / Stockage local</w:t>
            </w:r>
          </w:p>
        </w:tc>
        <w:tc>
          <w:tcPr>
            <w:tcW w:type="dxa" w:w="3135"/>
            <w:shd w:val="clear" w:color="auto" w:fill="F2F5FA"/>
          </w:tcPr>
          <w:p>
            <w:pPr>
              <w:spacing w:before="100" w:after="100"/>
            </w:pPr>
            <w:r>
              <w:rPr>
                <w:rFonts w:ascii="Calibri" w:hAnsi="Calibri"/>
                <w:b w:val="0"/>
                <w:color w:val="333333"/>
                <w:sz w:val="19"/>
              </w:rPr>
              <w:t>Documents, photos, vidéos</w:t>
            </w:r>
          </w:p>
        </w:tc>
      </w:tr>
      <w:tr>
        <w:tc>
          <w:tcPr>
            <w:tcW w:type="dxa" w:w="3135"/>
            <w:shd w:val="clear" w:color="auto" w:fill="FFFFFF"/>
          </w:tcPr>
          <w:p>
            <w:pPr>
              <w:spacing w:before="100" w:after="100"/>
            </w:pPr>
            <w:r>
              <w:rPr>
                <w:rFonts w:ascii="Calibri" w:hAnsi="Calibri"/>
                <w:b/>
                <w:color w:val="333333"/>
                <w:sz w:val="19"/>
              </w:rPr>
              <w:t>IA / OCR</w:t>
            </w:r>
          </w:p>
        </w:tc>
        <w:tc>
          <w:tcPr>
            <w:tcW w:type="dxa" w:w="3135"/>
            <w:shd w:val="clear" w:color="auto" w:fill="FFFFFF"/>
          </w:tcPr>
          <w:p>
            <w:pPr>
              <w:spacing w:before="100" w:after="100"/>
            </w:pPr>
            <w:r>
              <w:rPr>
                <w:rFonts w:ascii="Calibri" w:hAnsi="Calibri"/>
                <w:b w:val="0"/>
                <w:color w:val="333333"/>
                <w:sz w:val="19"/>
              </w:rPr>
              <w:t>OpenAI (GPT + Whisper)</w:t>
            </w:r>
          </w:p>
        </w:tc>
        <w:tc>
          <w:tcPr>
            <w:tcW w:type="dxa" w:w="3135"/>
            <w:shd w:val="clear" w:color="auto" w:fill="FFFFFF"/>
          </w:tcPr>
          <w:p>
            <w:pPr>
              <w:spacing w:before="100" w:after="100"/>
            </w:pPr>
            <w:r>
              <w:rPr>
                <w:rFonts w:ascii="Calibri" w:hAnsi="Calibri"/>
                <w:b w:val="0"/>
                <w:color w:val="333333"/>
                <w:sz w:val="19"/>
              </w:rPr>
              <w:t>Analyse documentaire, chatbot, transcription</w:t>
            </w:r>
          </w:p>
        </w:tc>
      </w:tr>
      <w:tr>
        <w:tc>
          <w:tcPr>
            <w:tcW w:type="dxa" w:w="3135"/>
            <w:shd w:val="clear" w:color="auto" w:fill="F2F5FA"/>
          </w:tcPr>
          <w:p>
            <w:pPr>
              <w:spacing w:before="100" w:after="100"/>
            </w:pPr>
            <w:r>
              <w:rPr>
                <w:rFonts w:ascii="Calibri" w:hAnsi="Calibri"/>
                <w:b/>
                <w:color w:val="333333"/>
                <w:sz w:val="19"/>
              </w:rPr>
              <w:t>Documentation API</w:t>
            </w:r>
          </w:p>
        </w:tc>
        <w:tc>
          <w:tcPr>
            <w:tcW w:type="dxa" w:w="3135"/>
            <w:shd w:val="clear" w:color="auto" w:fill="F2F5FA"/>
          </w:tcPr>
          <w:p>
            <w:pPr>
              <w:spacing w:before="100" w:after="100"/>
            </w:pPr>
            <w:r>
              <w:rPr>
                <w:rFonts w:ascii="Calibri" w:hAnsi="Calibri"/>
                <w:b w:val="0"/>
                <w:color w:val="333333"/>
                <w:sz w:val="19"/>
              </w:rPr>
              <w:t>Swagger / ReDoc (drf-spectacular)</w:t>
            </w:r>
          </w:p>
        </w:tc>
        <w:tc>
          <w:tcPr>
            <w:tcW w:type="dxa" w:w="3135"/>
            <w:shd w:val="clear" w:color="auto" w:fill="F2F5FA"/>
          </w:tcPr>
          <w:p>
            <w:pPr>
              <w:spacing w:before="100" w:after="100"/>
            </w:pPr>
            <w:r>
              <w:rPr>
                <w:rFonts w:ascii="Calibri" w:hAnsi="Calibri"/>
                <w:b w:val="0"/>
                <w:color w:val="333333"/>
                <w:sz w:val="19"/>
              </w:rPr>
              <w:t>Documentation interactive des APIs</w:t>
            </w:r>
          </w:p>
        </w:tc>
      </w:tr>
      <w:tr>
        <w:tc>
          <w:tcPr>
            <w:tcW w:type="dxa" w:w="3135"/>
            <w:shd w:val="clear" w:color="auto" w:fill="FFFFFF"/>
          </w:tcPr>
          <w:p>
            <w:pPr>
              <w:spacing w:before="100" w:after="100"/>
            </w:pPr>
            <w:r>
              <w:rPr>
                <w:rFonts w:ascii="Calibri" w:hAnsi="Calibri"/>
                <w:b/>
                <w:color w:val="333333"/>
                <w:sz w:val="19"/>
              </w:rPr>
              <w:t>Sécurité</w:t>
            </w:r>
          </w:p>
        </w:tc>
        <w:tc>
          <w:tcPr>
            <w:tcW w:type="dxa" w:w="3135"/>
            <w:shd w:val="clear" w:color="auto" w:fill="FFFFFF"/>
          </w:tcPr>
          <w:p>
            <w:pPr>
              <w:spacing w:before="100" w:after="100"/>
            </w:pPr>
            <w:r>
              <w:rPr>
                <w:rFonts w:ascii="Calibri" w:hAnsi="Calibri"/>
                <w:b w:val="0"/>
                <w:color w:val="333333"/>
                <w:sz w:val="19"/>
              </w:rPr>
              <w:t>CORS, RBAC, chiffrement AES-256</w:t>
            </w:r>
          </w:p>
        </w:tc>
        <w:tc>
          <w:tcPr>
            <w:tcW w:type="dxa" w:w="3135"/>
            <w:shd w:val="clear" w:color="auto" w:fill="FFFFFF"/>
          </w:tcPr>
          <w:p>
            <w:pPr>
              <w:spacing w:before="100" w:after="100"/>
            </w:pPr>
            <w:r>
              <w:rPr>
                <w:rFonts w:ascii="Calibri" w:hAnsi="Calibri"/>
                <w:b w:val="0"/>
                <w:color w:val="333333"/>
                <w:sz w:val="19"/>
              </w:rPr>
              <w:t>Protection des données sensibles</w:t>
            </w:r>
          </w:p>
        </w:tc>
      </w:tr>
      <w:tr>
        <w:tc>
          <w:tcPr>
            <w:tcW w:type="dxa" w:w="3135"/>
            <w:shd w:val="clear" w:color="auto" w:fill="F2F5FA"/>
          </w:tcPr>
          <w:p>
            <w:pPr>
              <w:spacing w:before="100" w:after="100"/>
            </w:pPr>
            <w:r>
              <w:rPr>
                <w:rFonts w:ascii="Calibri" w:hAnsi="Calibri"/>
                <w:b/>
                <w:color w:val="333333"/>
                <w:sz w:val="19"/>
              </w:rPr>
              <w:t>Frontend (optionnel)</w:t>
            </w:r>
          </w:p>
        </w:tc>
        <w:tc>
          <w:tcPr>
            <w:tcW w:type="dxa" w:w="3135"/>
            <w:shd w:val="clear" w:color="auto" w:fill="F2F5FA"/>
          </w:tcPr>
          <w:p>
            <w:pPr>
              <w:spacing w:before="100" w:after="100"/>
            </w:pPr>
            <w:r>
              <w:rPr>
                <w:rFonts w:ascii="Calibri" w:hAnsi="Calibri"/>
                <w:b w:val="0"/>
                <w:color w:val="333333"/>
                <w:sz w:val="19"/>
              </w:rPr>
              <w:t>React.js / Vue.js</w:t>
            </w:r>
          </w:p>
        </w:tc>
        <w:tc>
          <w:tcPr>
            <w:tcW w:type="dxa" w:w="3135"/>
            <w:shd w:val="clear" w:color="auto" w:fill="F2F5FA"/>
          </w:tcPr>
          <w:p>
            <w:pPr>
              <w:spacing w:before="100" w:after="100"/>
            </w:pPr>
            <w:r>
              <w:rPr>
                <w:rFonts w:ascii="Calibri" w:hAnsi="Calibri"/>
                <w:b w:val="0"/>
                <w:color w:val="333333"/>
                <w:sz w:val="19"/>
              </w:rPr>
              <w:t>Interface utilisateur moderne</w:t>
            </w:r>
          </w:p>
        </w:tc>
      </w:tr>
    </w:tbl>
    <w:p>
      <w:pPr>
        <w:spacing w:before="240" w:after="120"/>
      </w:pPr>
      <w:r>
        <w:rPr>
          <w:rFonts w:ascii="Calibri" w:hAnsi="Calibri"/>
          <w:b/>
          <w:color w:val="1A6FB5"/>
          <w:sz w:val="24"/>
        </w:rPr>
        <w:t>5.2  Sécurité et Conformité</w:t>
      </w:r>
    </w:p>
    <w:p>
      <w:pPr>
        <w:pStyle w:val="ListBullet"/>
        <w:spacing w:before="40" w:after="40"/>
      </w:pPr>
      <w:r>
        <w:rPr>
          <w:rFonts w:ascii="Calibri" w:hAnsi="Calibri"/>
          <w:color w:val="333333"/>
          <w:sz w:val="21"/>
        </w:rPr>
        <w:t>Authentification forte : JWT + OTP à deux facteurs pour tous les agents publics</w:t>
      </w:r>
    </w:p>
    <w:p>
      <w:pPr>
        <w:pStyle w:val="ListBullet"/>
        <w:spacing w:before="40" w:after="40"/>
      </w:pPr>
      <w:r>
        <w:rPr>
          <w:rFonts w:ascii="Calibri" w:hAnsi="Calibri"/>
          <w:color w:val="333333"/>
          <w:sz w:val="21"/>
        </w:rPr>
        <w:t>Chiffrement des données sensibles au repos (AES-256) et en transit (TLS 1.3)</w:t>
      </w:r>
    </w:p>
    <w:p>
      <w:pPr>
        <w:pStyle w:val="ListBullet"/>
        <w:spacing w:before="40" w:after="40"/>
      </w:pPr>
      <w:r>
        <w:rPr>
          <w:rFonts w:ascii="Calibri" w:hAnsi="Calibri"/>
          <w:color w:val="333333"/>
          <w:sz w:val="21"/>
        </w:rPr>
        <w:t>Piste d'audit complète et immuable de toutes les actions utilisateurs</w:t>
      </w:r>
    </w:p>
    <w:p>
      <w:pPr>
        <w:pStyle w:val="ListBullet"/>
        <w:spacing w:before="40" w:after="40"/>
      </w:pPr>
      <w:r>
        <w:rPr>
          <w:rFonts w:ascii="Calibri" w:hAnsi="Calibri"/>
          <w:color w:val="333333"/>
          <w:sz w:val="21"/>
        </w:rPr>
        <w:t>Gestion fine des droits d'accès basée sur les rôles (RBAC)</w:t>
      </w:r>
    </w:p>
    <w:p>
      <w:pPr>
        <w:pStyle w:val="ListBullet"/>
        <w:spacing w:before="40" w:after="40"/>
      </w:pPr>
      <w:r>
        <w:rPr>
          <w:rFonts w:ascii="Calibri" w:hAnsi="Calibri"/>
          <w:color w:val="333333"/>
          <w:sz w:val="21"/>
        </w:rPr>
        <w:t>Sauvegardes automatiques quotidiennes avec rétention de 30 jours</w:t>
      </w:r>
    </w:p>
    <w:p>
      <w:pPr>
        <w:pStyle w:val="ListBullet"/>
        <w:spacing w:before="40" w:after="40"/>
      </w:pPr>
      <w:r>
        <w:rPr>
          <w:rFonts w:ascii="Calibri" w:hAnsi="Calibri"/>
          <w:color w:val="333333"/>
          <w:sz w:val="21"/>
        </w:rPr>
        <w:t>Tests de pénétration et audit de sécurité avant mise en production</w:t>
      </w:r>
    </w:p>
    <w:p>
      <w:pPr>
        <w:pStyle w:val="ListBullet"/>
        <w:spacing w:before="40" w:after="40"/>
      </w:pPr>
      <w:r>
        <w:rPr>
          <w:rFonts w:ascii="Calibri" w:hAnsi="Calibri"/>
          <w:color w:val="333333"/>
          <w:sz w:val="21"/>
        </w:rPr>
        <w:t>Conformité RGPD pour la protection des données personnelles des travailleurs</w:t>
      </w:r>
    </w:p>
    <w:p>
      <w:r>
        <w:br w:type="page"/>
      </w:r>
    </w:p>
    <w:p>
      <w:pPr>
        <w:spacing w:before="360" w:after="120"/>
      </w:pPr>
      <w:r>
        <w:rPr>
          <w:rFonts w:ascii="Calibri" w:hAnsi="Calibri"/>
          <w:b/>
          <w:color w:val="0A336B"/>
          <w:sz w:val="30"/>
        </w:rPr>
        <w:t>6.  PLAN DE DÉPLOIEMENT</w:t>
      </w:r>
    </w:p>
    <w:p>
      <w:pPr>
        <w:pBdr>
          <w:bottom w:val="single" w:sz="8" w:space="1" w:color="0A336B"/>
        </w:pBdr>
        <w:spacing w:before="40" w:after="40"/>
      </w:pPr>
    </w:p>
    <w:p/>
    <w:p>
      <w:pPr>
        <w:spacing w:before="60" w:after="60" w:line="360" w:lineRule="auto"/>
        <w:jc w:val="both"/>
      </w:pPr>
      <w:r>
        <w:rPr>
          <w:rFonts w:ascii="Calibri" w:hAnsi="Calibri"/>
          <w:i w:val="0"/>
          <w:color w:val="333333"/>
          <w:sz w:val="21"/>
        </w:rPr>
        <w:t>Le projet est structuré en quatre phases progressives permettant une montée en charge maîtrisée et une adoption progressive par les équipes de la Direction Générale du Travail.</w:t>
      </w:r>
    </w:p>
    <w:tbl>
      <w:tblPr>
        <w:tblW w:type="auto" w:w="0"/>
        <w:jc w:val="center"/>
        <w:tblLook w:firstColumn="1" w:firstRow="1" w:lastColumn="0" w:lastRow="0" w:noHBand="0" w:noVBand="1" w:val="04A0"/>
      </w:tblPr>
      <w:tblGrid>
        <w:gridCol w:w="9406"/>
      </w:tblGrid>
      <w:tr>
        <w:tc>
          <w:tcPr>
            <w:tcW w:type="dxa" w:w="9406"/>
            <w:shd w:val="clear" w:color="auto" w:fill="0A336B"/>
          </w:tcPr>
          <w:p>
            <w:pPr>
              <w:spacing w:before="140" w:after="140"/>
            </w:pPr>
            <w:r>
              <w:rPr>
                <w:rFonts w:ascii="Calibri" w:hAnsi="Calibri"/>
                <w:b/>
                <w:color w:val="FFFFFF"/>
                <w:sz w:val="22"/>
              </w:rPr>
              <w:t xml:space="preserve">  Phase 1 – Cadrage et Configuration (Mois 1–2)</w:t>
            </w:r>
          </w:p>
        </w:tc>
      </w:tr>
    </w:tbl>
    <w:p>
      <w:pPr>
        <w:pStyle w:val="ListBullet"/>
        <w:spacing w:before="40" w:after="40"/>
      </w:pPr>
      <w:r>
        <w:rPr>
          <w:rFonts w:ascii="Calibri" w:hAnsi="Calibri"/>
          <w:color w:val="333333"/>
          <w:sz w:val="21"/>
        </w:rPr>
        <w:t>Atelier de lancement et validation des besoins fonctionnels avec la DGT</w:t>
      </w:r>
    </w:p>
    <w:p>
      <w:pPr>
        <w:pStyle w:val="ListBullet"/>
        <w:spacing w:before="40" w:after="40"/>
      </w:pPr>
      <w:r>
        <w:rPr>
          <w:rFonts w:ascii="Calibri" w:hAnsi="Calibri"/>
          <w:color w:val="333333"/>
          <w:sz w:val="21"/>
        </w:rPr>
        <w:t>Configuration de l'environnement de développement et de recette</w:t>
      </w:r>
    </w:p>
    <w:p>
      <w:pPr>
        <w:pStyle w:val="ListBullet"/>
        <w:spacing w:before="40" w:after="40"/>
      </w:pPr>
      <w:r>
        <w:rPr>
          <w:rFonts w:ascii="Calibri" w:hAnsi="Calibri"/>
          <w:color w:val="333333"/>
          <w:sz w:val="21"/>
        </w:rPr>
        <w:t>Paramétrage du référentiel : zones d'inspection, rôles, types de plaintes</w:t>
      </w:r>
    </w:p>
    <w:p>
      <w:pPr>
        <w:pStyle w:val="ListBullet"/>
        <w:spacing w:before="40" w:after="40"/>
      </w:pPr>
      <w:r>
        <w:rPr>
          <w:rFonts w:ascii="Calibri" w:hAnsi="Calibri"/>
          <w:color w:val="333333"/>
          <w:sz w:val="21"/>
        </w:rPr>
        <w:t>Intégration du référentiel des entreprises existant (import CSV/Excel)</w:t>
      </w:r>
    </w:p>
    <w:p>
      <w:pPr>
        <w:pStyle w:val="ListBullet"/>
        <w:spacing w:before="40" w:after="40"/>
      </w:pPr>
      <w:r>
        <w:rPr>
          <w:rFonts w:ascii="Calibri" w:hAnsi="Calibri"/>
          <w:color w:val="333333"/>
          <w:sz w:val="21"/>
        </w:rPr>
        <w:t>Formation de l'équipe technique du Ministère</w:t>
      </w:r>
    </w:p>
    <w:p/>
    <w:tbl>
      <w:tblPr>
        <w:tblW w:type="auto" w:w="0"/>
        <w:jc w:val="center"/>
        <w:tblLook w:firstColumn="1" w:firstRow="1" w:lastColumn="0" w:lastRow="0" w:noHBand="0" w:noVBand="1" w:val="04A0"/>
      </w:tblPr>
      <w:tblGrid>
        <w:gridCol w:w="9406"/>
      </w:tblGrid>
      <w:tr>
        <w:tc>
          <w:tcPr>
            <w:tcW w:type="dxa" w:w="9406"/>
            <w:shd w:val="clear" w:color="auto" w:fill="1A6FB5"/>
          </w:tcPr>
          <w:p>
            <w:pPr>
              <w:spacing w:before="140" w:after="140"/>
            </w:pPr>
            <w:r>
              <w:rPr>
                <w:rFonts w:ascii="Calibri" w:hAnsi="Calibri"/>
                <w:b/>
                <w:color w:val="FFFFFF"/>
                <w:sz w:val="22"/>
              </w:rPr>
              <w:t xml:space="preserve">  Phase 2 – Déploiement pilote – Brazzaville (Mois 3–5)</w:t>
            </w:r>
          </w:p>
        </w:tc>
      </w:tr>
    </w:tbl>
    <w:p>
      <w:pPr>
        <w:pStyle w:val="ListBullet"/>
        <w:spacing w:before="40" w:after="40"/>
      </w:pPr>
      <w:r>
        <w:rPr>
          <w:rFonts w:ascii="Calibri" w:hAnsi="Calibri"/>
          <w:color w:val="333333"/>
          <w:sz w:val="21"/>
        </w:rPr>
        <w:t>Mise en production sur le périmètre de Brazzaville et sa région</w:t>
      </w:r>
    </w:p>
    <w:p>
      <w:pPr>
        <w:pStyle w:val="ListBullet"/>
        <w:spacing w:before="40" w:after="40"/>
      </w:pPr>
      <w:r>
        <w:rPr>
          <w:rFonts w:ascii="Calibri" w:hAnsi="Calibri"/>
          <w:color w:val="333333"/>
          <w:sz w:val="21"/>
        </w:rPr>
        <w:t>Formation des inspecteurs du travail (présentiel + guides utilisateur)</w:t>
      </w:r>
    </w:p>
    <w:p>
      <w:pPr>
        <w:pStyle w:val="ListBullet"/>
        <w:spacing w:before="40" w:after="40"/>
      </w:pPr>
      <w:r>
        <w:rPr>
          <w:rFonts w:ascii="Calibri" w:hAnsi="Calibri"/>
          <w:color w:val="333333"/>
          <w:sz w:val="21"/>
        </w:rPr>
        <w:t>Formation des agents chargés de la saisie des plaintes</w:t>
      </w:r>
    </w:p>
    <w:p>
      <w:pPr>
        <w:pStyle w:val="ListBullet"/>
        <w:spacing w:before="40" w:after="40"/>
      </w:pPr>
      <w:r>
        <w:rPr>
          <w:rFonts w:ascii="Calibri" w:hAnsi="Calibri"/>
          <w:color w:val="333333"/>
          <w:sz w:val="21"/>
        </w:rPr>
        <w:t>Accompagnement au changement et support renforcé</w:t>
      </w:r>
    </w:p>
    <w:p>
      <w:pPr>
        <w:pStyle w:val="ListBullet"/>
        <w:spacing w:before="40" w:after="40"/>
      </w:pPr>
      <w:r>
        <w:rPr>
          <w:rFonts w:ascii="Calibri" w:hAnsi="Calibri"/>
          <w:color w:val="333333"/>
          <w:sz w:val="21"/>
        </w:rPr>
        <w:t>Collecte des retours utilisateurs et ajustements</w:t>
      </w:r>
    </w:p>
    <w:p/>
    <w:tbl>
      <w:tblPr>
        <w:tblW w:type="auto" w:w="0"/>
        <w:jc w:val="center"/>
        <w:tblLook w:firstColumn="1" w:firstRow="1" w:lastColumn="0" w:lastRow="0" w:noHBand="0" w:noVBand="1" w:val="04A0"/>
      </w:tblPr>
      <w:tblGrid>
        <w:gridCol w:w="9406"/>
      </w:tblGrid>
      <w:tr>
        <w:tc>
          <w:tcPr>
            <w:tcW w:type="dxa" w:w="9406"/>
            <w:shd w:val="clear" w:color="auto" w:fill="1E8B4C"/>
          </w:tcPr>
          <w:p>
            <w:pPr>
              <w:spacing w:before="140" w:after="140"/>
            </w:pPr>
            <w:r>
              <w:rPr>
                <w:rFonts w:ascii="Calibri" w:hAnsi="Calibri"/>
                <w:b/>
                <w:color w:val="FFFFFF"/>
                <w:sz w:val="22"/>
              </w:rPr>
              <w:t xml:space="preserve">  Phase 3 – Déploiement national (Mois 6–9)</w:t>
            </w:r>
          </w:p>
        </w:tc>
      </w:tr>
    </w:tbl>
    <w:p>
      <w:pPr>
        <w:pStyle w:val="ListBullet"/>
        <w:spacing w:before="40" w:after="40"/>
      </w:pPr>
      <w:r>
        <w:rPr>
          <w:rFonts w:ascii="Calibri" w:hAnsi="Calibri"/>
          <w:color w:val="333333"/>
          <w:sz w:val="21"/>
        </w:rPr>
        <w:t>Extension à toutes les directions régionales du travail</w:t>
      </w:r>
    </w:p>
    <w:p>
      <w:pPr>
        <w:pStyle w:val="ListBullet"/>
        <w:spacing w:before="40" w:after="40"/>
      </w:pPr>
      <w:r>
        <w:rPr>
          <w:rFonts w:ascii="Calibri" w:hAnsi="Calibri"/>
          <w:color w:val="333333"/>
          <w:sz w:val="21"/>
        </w:rPr>
        <w:t>Activation des modules avancés : IA, GED, observatoire</w:t>
      </w:r>
    </w:p>
    <w:p>
      <w:pPr>
        <w:pStyle w:val="ListBullet"/>
        <w:spacing w:before="40" w:after="40"/>
      </w:pPr>
      <w:r>
        <w:rPr>
          <w:rFonts w:ascii="Calibri" w:hAnsi="Calibri"/>
          <w:color w:val="333333"/>
          <w:sz w:val="21"/>
        </w:rPr>
        <w:t>Formation des directeurs régionaux et chefs d'inspection</w:t>
      </w:r>
    </w:p>
    <w:p>
      <w:pPr>
        <w:pStyle w:val="ListBullet"/>
        <w:spacing w:before="40" w:after="40"/>
      </w:pPr>
      <w:r>
        <w:rPr>
          <w:rFonts w:ascii="Calibri" w:hAnsi="Calibri"/>
          <w:color w:val="333333"/>
          <w:sz w:val="21"/>
        </w:rPr>
        <w:t>Interconnexion avec les systèmes existants (CNSS, DRGSS)</w:t>
      </w:r>
    </w:p>
    <w:p>
      <w:pPr>
        <w:pStyle w:val="ListBullet"/>
        <w:spacing w:before="40" w:after="40"/>
      </w:pPr>
      <w:r>
        <w:rPr>
          <w:rFonts w:ascii="Calibri" w:hAnsi="Calibri"/>
          <w:color w:val="333333"/>
          <w:sz w:val="21"/>
        </w:rPr>
        <w:t>Activation du portail citoyen pour les plaintes en ligne</w:t>
      </w:r>
    </w:p>
    <w:p/>
    <w:tbl>
      <w:tblPr>
        <w:tblW w:type="auto" w:w="0"/>
        <w:jc w:val="center"/>
        <w:tblLook w:firstColumn="1" w:firstRow="1" w:lastColumn="0" w:lastRow="0" w:noHBand="0" w:noVBand="1" w:val="04A0"/>
      </w:tblPr>
      <w:tblGrid>
        <w:gridCol w:w="9406"/>
      </w:tblGrid>
      <w:tr>
        <w:tc>
          <w:tcPr>
            <w:tcW w:type="dxa" w:w="9406"/>
            <w:shd w:val="clear" w:color="auto" w:fill="5B2D8E"/>
          </w:tcPr>
          <w:p>
            <w:pPr>
              <w:spacing w:before="140" w:after="140"/>
            </w:pPr>
            <w:r>
              <w:rPr>
                <w:rFonts w:ascii="Calibri" w:hAnsi="Calibri"/>
                <w:b/>
                <w:color w:val="FFFFFF"/>
                <w:sz w:val="22"/>
              </w:rPr>
              <w:t xml:space="preserve">  Phase 4 – Stabilisation et Optimisation (Mois 10–12)</w:t>
            </w:r>
          </w:p>
        </w:tc>
      </w:tr>
    </w:tbl>
    <w:p>
      <w:pPr>
        <w:pStyle w:val="ListBullet"/>
        <w:spacing w:before="40" w:after="40"/>
      </w:pPr>
      <w:r>
        <w:rPr>
          <w:rFonts w:ascii="Calibri" w:hAnsi="Calibri"/>
          <w:color w:val="333333"/>
          <w:sz w:val="21"/>
        </w:rPr>
        <w:t>Audit de performance et optimisation technique</w:t>
      </w:r>
    </w:p>
    <w:p>
      <w:pPr>
        <w:pStyle w:val="ListBullet"/>
        <w:spacing w:before="40" w:after="40"/>
      </w:pPr>
      <w:r>
        <w:rPr>
          <w:rFonts w:ascii="Calibri" w:hAnsi="Calibri"/>
          <w:color w:val="333333"/>
          <w:sz w:val="21"/>
        </w:rPr>
        <w:t>Production du premier rapport annuel numérique de l'inspection</w:t>
      </w:r>
    </w:p>
    <w:p>
      <w:pPr>
        <w:pStyle w:val="ListBullet"/>
        <w:spacing w:before="40" w:after="40"/>
      </w:pPr>
      <w:r>
        <w:rPr>
          <w:rFonts w:ascii="Calibri" w:hAnsi="Calibri"/>
          <w:color w:val="333333"/>
          <w:sz w:val="21"/>
        </w:rPr>
        <w:t>Transfert de compétences complet à l'équipe IT du Ministère</w:t>
      </w:r>
    </w:p>
    <w:p>
      <w:pPr>
        <w:pStyle w:val="ListBullet"/>
        <w:spacing w:before="40" w:after="40"/>
      </w:pPr>
      <w:r>
        <w:rPr>
          <w:rFonts w:ascii="Calibri" w:hAnsi="Calibri"/>
          <w:color w:val="333333"/>
          <w:sz w:val="21"/>
        </w:rPr>
        <w:t>Mise en place du SLA de support et maintenance</w:t>
      </w:r>
    </w:p>
    <w:p>
      <w:pPr>
        <w:pStyle w:val="ListBullet"/>
        <w:spacing w:before="40" w:after="40"/>
      </w:pPr>
      <w:r>
        <w:rPr>
          <w:rFonts w:ascii="Calibri" w:hAnsi="Calibri"/>
          <w:color w:val="333333"/>
          <w:sz w:val="21"/>
        </w:rPr>
        <w:t>Bilan et roadmap des évolutions futures</w:t>
      </w:r>
    </w:p>
    <w:p/>
    <w:p>
      <w:r>
        <w:br w:type="page"/>
      </w:r>
    </w:p>
    <w:p>
      <w:pPr>
        <w:spacing w:before="360" w:after="120"/>
      </w:pPr>
      <w:r>
        <w:rPr>
          <w:rFonts w:ascii="Calibri" w:hAnsi="Calibri"/>
          <w:b/>
          <w:color w:val="0A336B"/>
          <w:sz w:val="30"/>
        </w:rPr>
        <w:t>7.  OFFRE FINANCIÈRE</w:t>
      </w:r>
    </w:p>
    <w:p>
      <w:pPr>
        <w:pBdr>
          <w:bottom w:val="single" w:sz="8" w:space="1" w:color="0A336B"/>
        </w:pBdr>
        <w:spacing w:before="40" w:after="40"/>
      </w:pPr>
    </w:p>
    <w:p/>
    <w:p>
      <w:pPr>
        <w:spacing w:before="60" w:after="60" w:line="360" w:lineRule="auto"/>
        <w:jc w:val="both"/>
      </w:pPr>
      <w:r>
        <w:rPr>
          <w:rFonts w:ascii="Calibri" w:hAnsi="Calibri"/>
          <w:i w:val="0"/>
          <w:color w:val="333333"/>
          <w:sz w:val="21"/>
        </w:rPr>
        <w:t>L'offre financière est présentée en deux composantes : un investissement initial de mise en œuvre (licence + déploiement + formation) et un abonnement annuel de maintenance et d'exploitation.</w:t>
      </w:r>
    </w:p>
    <w:p>
      <w:pPr>
        <w:spacing w:before="160" w:after="120"/>
      </w:pPr>
      <w:r>
        <w:rPr>
          <w:rFonts w:ascii="Calibri" w:hAnsi="Calibri"/>
          <w:b/>
          <w:color w:val="1A6FB5"/>
          <w:sz w:val="24"/>
        </w:rPr>
        <w:t>7.1  Récapitulatif des prestations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0A336B"/>
          </w:tcPr>
          <w:p>
            <w:pPr>
              <w:spacing w:before="100" w:after="100"/>
              <w:jc w:val="left"/>
            </w:pPr>
            <w:r>
              <w:rPr>
                <w:rFonts w:ascii="Calibri" w:hAnsi="Calibri"/>
                <w:b/>
                <w:color w:val="FFFFFF"/>
                <w:sz w:val="18"/>
              </w:rPr>
              <w:t>Réf.</w:t>
            </w:r>
          </w:p>
        </w:tc>
        <w:tc>
          <w:tcPr>
            <w:tcW w:type="dxa" w:w="1568"/>
            <w:shd w:val="clear" w:color="auto" w:fill="0A336B"/>
          </w:tcPr>
          <w:p>
            <w:pPr>
              <w:spacing w:before="100" w:after="100"/>
              <w:jc w:val="left"/>
            </w:pPr>
            <w:r>
              <w:rPr>
                <w:rFonts w:ascii="Calibri" w:hAnsi="Calibri"/>
                <w:b/>
                <w:color w:val="FFFFFF"/>
                <w:sz w:val="18"/>
              </w:rPr>
              <w:t>Prestation</w:t>
            </w:r>
          </w:p>
        </w:tc>
        <w:tc>
          <w:tcPr>
            <w:tcW w:type="dxa" w:w="1568"/>
            <w:shd w:val="clear" w:color="auto" w:fill="0A336B"/>
          </w:tcPr>
          <w:p>
            <w:pPr>
              <w:spacing w:before="100" w:after="100"/>
              <w:jc w:val="left"/>
            </w:pPr>
            <w:r>
              <w:rPr>
                <w:rFonts w:ascii="Calibri" w:hAnsi="Calibri"/>
                <w:b/>
                <w:color w:val="FFFFFF"/>
                <w:sz w:val="18"/>
              </w:rPr>
              <w:t>Unité</w:t>
            </w:r>
          </w:p>
        </w:tc>
        <w:tc>
          <w:tcPr>
            <w:tcW w:type="dxa" w:w="1568"/>
            <w:shd w:val="clear" w:color="auto" w:fill="0A336B"/>
          </w:tcPr>
          <w:p>
            <w:pPr>
              <w:spacing w:before="100" w:after="100"/>
              <w:jc w:val="left"/>
            </w:pPr>
            <w:r>
              <w:rPr>
                <w:rFonts w:ascii="Calibri" w:hAnsi="Calibri"/>
                <w:b/>
                <w:color w:val="FFFFFF"/>
                <w:sz w:val="18"/>
              </w:rPr>
              <w:t>Qté</w:t>
            </w:r>
          </w:p>
        </w:tc>
        <w:tc>
          <w:tcPr>
            <w:tcW w:type="dxa" w:w="1568"/>
            <w:shd w:val="clear" w:color="auto" w:fill="0A336B"/>
          </w:tcPr>
          <w:p>
            <w:pPr>
              <w:spacing w:before="100" w:after="100"/>
              <w:jc w:val="right"/>
            </w:pPr>
            <w:r>
              <w:rPr>
                <w:rFonts w:ascii="Calibri" w:hAnsi="Calibri"/>
                <w:b/>
                <w:color w:val="FFFFFF"/>
                <w:sz w:val="18"/>
              </w:rPr>
              <w:t>P.U. (FCFA HT)</w:t>
            </w:r>
          </w:p>
        </w:tc>
        <w:tc>
          <w:tcPr>
            <w:tcW w:type="dxa" w:w="1568"/>
            <w:shd w:val="clear" w:color="auto" w:fill="0A336B"/>
          </w:tcPr>
          <w:p>
            <w:pPr>
              <w:spacing w:before="100" w:after="100"/>
              <w:jc w:val="right"/>
            </w:pPr>
            <w:r>
              <w:rPr>
                <w:rFonts w:ascii="Calibri" w:hAnsi="Calibri"/>
                <w:b/>
                <w:color w:val="FFFFFF"/>
                <w:sz w:val="18"/>
              </w:rPr>
              <w:t>Total (FCFA HT)</w:t>
            </w:r>
          </w:p>
        </w:tc>
      </w:tr>
      <w:tr>
        <w:tc>
          <w:tcPr>
            <w:tcW w:type="dxa" w:w="1568"/>
            <w:shd w:val="clear" w:color="auto" w:fill="FFFFFF"/>
          </w:tcPr>
          <w:p>
            <w:pPr>
              <w:spacing w:before="100" w:after="100"/>
              <w:jc w:val="left"/>
            </w:pPr>
            <w:r>
              <w:rPr>
                <w:rFonts w:ascii="Calibri" w:hAnsi="Calibri"/>
                <w:b w:val="0"/>
                <w:color w:val="333333"/>
                <w:sz w:val="18"/>
              </w:rPr>
              <w:t>LOT-01</w:t>
            </w:r>
          </w:p>
        </w:tc>
        <w:tc>
          <w:tcPr>
            <w:tcW w:type="dxa" w:w="1568"/>
            <w:shd w:val="clear" w:color="auto" w:fill="FFFFFF"/>
          </w:tcPr>
          <w:p>
            <w:pPr>
              <w:spacing w:before="100" w:after="100"/>
              <w:jc w:val="left"/>
            </w:pPr>
            <w:r>
              <w:rPr>
                <w:rFonts w:ascii="Calibri" w:hAnsi="Calibri"/>
                <w:b w:val="0"/>
                <w:color w:val="333333"/>
                <w:sz w:val="18"/>
              </w:rPr>
              <w:t>Licence logicielle plateforme e-Inspection (perpétuelle)</w:t>
            </w:r>
          </w:p>
        </w:tc>
        <w:tc>
          <w:tcPr>
            <w:tcW w:type="dxa" w:w="1568"/>
            <w:shd w:val="clear" w:color="auto" w:fill="FFFFFF"/>
          </w:tcPr>
          <w:p>
            <w:pPr>
              <w:spacing w:before="100" w:after="100"/>
              <w:jc w:val="left"/>
            </w:pPr>
            <w:r>
              <w:rPr>
                <w:rFonts w:ascii="Calibri" w:hAnsi="Calibri"/>
                <w:b w:val="0"/>
                <w:color w:val="333333"/>
                <w:sz w:val="18"/>
              </w:rPr>
              <w:t>Forfait</w:t>
            </w:r>
          </w:p>
        </w:tc>
        <w:tc>
          <w:tcPr>
            <w:tcW w:type="dxa" w:w="1568"/>
            <w:shd w:val="clear" w:color="auto" w:fill="FFFFFF"/>
          </w:tcPr>
          <w:p>
            <w:pPr>
              <w:spacing w:before="100" w:after="100"/>
              <w:jc w:val="left"/>
            </w:pPr>
            <w:r>
              <w:rPr>
                <w:rFonts w:ascii="Calibri" w:hAnsi="Calibri"/>
                <w:b w:val="0"/>
                <w:color w:val="333333"/>
                <w:sz w:val="18"/>
              </w:rPr>
              <w:t>1</w:t>
            </w:r>
          </w:p>
        </w:tc>
        <w:tc>
          <w:tcPr>
            <w:tcW w:type="dxa" w:w="1568"/>
            <w:shd w:val="clear" w:color="auto" w:fill="FFFFFF"/>
          </w:tcPr>
          <w:p>
            <w:pPr>
              <w:spacing w:before="100" w:after="100"/>
              <w:jc w:val="right"/>
            </w:pPr>
            <w:r>
              <w:rPr>
                <w:rFonts w:ascii="Calibri" w:hAnsi="Calibri"/>
                <w:b w:val="0"/>
                <w:color w:val="333333"/>
                <w:sz w:val="18"/>
              </w:rPr>
              <w:t>15 000 000</w:t>
            </w:r>
          </w:p>
        </w:tc>
        <w:tc>
          <w:tcPr>
            <w:tcW w:type="dxa" w:w="1568"/>
            <w:shd w:val="clear" w:color="auto" w:fill="FFFFFF"/>
          </w:tcPr>
          <w:p>
            <w:pPr>
              <w:spacing w:before="100" w:after="100"/>
              <w:jc w:val="right"/>
            </w:pPr>
            <w:r>
              <w:rPr>
                <w:rFonts w:ascii="Calibri" w:hAnsi="Calibri"/>
                <w:b w:val="0"/>
                <w:color w:val="333333"/>
                <w:sz w:val="18"/>
              </w:rPr>
              <w:t>15 000 000</w:t>
            </w:r>
          </w:p>
        </w:tc>
      </w:tr>
      <w:tr>
        <w:tc>
          <w:tcPr>
            <w:tcW w:type="dxa" w:w="1568"/>
            <w:shd w:val="clear" w:color="auto" w:fill="F2F5FA"/>
          </w:tcPr>
          <w:p>
            <w:pPr>
              <w:spacing w:before="100" w:after="100"/>
              <w:jc w:val="left"/>
            </w:pPr>
            <w:r>
              <w:rPr>
                <w:rFonts w:ascii="Calibri" w:hAnsi="Calibri"/>
                <w:b w:val="0"/>
                <w:color w:val="333333"/>
                <w:sz w:val="18"/>
              </w:rPr>
              <w:t>LOT-02</w:t>
            </w:r>
          </w:p>
        </w:tc>
        <w:tc>
          <w:tcPr>
            <w:tcW w:type="dxa" w:w="1568"/>
            <w:shd w:val="clear" w:color="auto" w:fill="F2F5FA"/>
          </w:tcPr>
          <w:p>
            <w:pPr>
              <w:spacing w:before="100" w:after="100"/>
              <w:jc w:val="left"/>
            </w:pPr>
            <w:r>
              <w:rPr>
                <w:rFonts w:ascii="Calibri" w:hAnsi="Calibri"/>
                <w:b w:val="0"/>
                <w:color w:val="333333"/>
                <w:sz w:val="18"/>
              </w:rPr>
              <w:t>Déploiement, configuration et paramétrage</w:t>
            </w:r>
          </w:p>
        </w:tc>
        <w:tc>
          <w:tcPr>
            <w:tcW w:type="dxa" w:w="1568"/>
            <w:shd w:val="clear" w:color="auto" w:fill="F2F5FA"/>
          </w:tcPr>
          <w:p>
            <w:pPr>
              <w:spacing w:before="100" w:after="100"/>
              <w:jc w:val="left"/>
            </w:pPr>
            <w:r>
              <w:rPr>
                <w:rFonts w:ascii="Calibri" w:hAnsi="Calibri"/>
                <w:b w:val="0"/>
                <w:color w:val="333333"/>
                <w:sz w:val="18"/>
              </w:rPr>
              <w:t>Forfait</w:t>
            </w:r>
          </w:p>
        </w:tc>
        <w:tc>
          <w:tcPr>
            <w:tcW w:type="dxa" w:w="1568"/>
            <w:shd w:val="clear" w:color="auto" w:fill="F2F5FA"/>
          </w:tcPr>
          <w:p>
            <w:pPr>
              <w:spacing w:before="100" w:after="100"/>
              <w:jc w:val="left"/>
            </w:pPr>
            <w:r>
              <w:rPr>
                <w:rFonts w:ascii="Calibri" w:hAnsi="Calibri"/>
                <w:b w:val="0"/>
                <w:color w:val="333333"/>
                <w:sz w:val="18"/>
              </w:rPr>
              <w:t>1</w:t>
            </w:r>
          </w:p>
        </w:tc>
        <w:tc>
          <w:tcPr>
            <w:tcW w:type="dxa" w:w="1568"/>
            <w:shd w:val="clear" w:color="auto" w:fill="F2F5FA"/>
          </w:tcPr>
          <w:p>
            <w:pPr>
              <w:spacing w:before="100" w:after="100"/>
              <w:jc w:val="right"/>
            </w:pPr>
            <w:r>
              <w:rPr>
                <w:rFonts w:ascii="Calibri" w:hAnsi="Calibri"/>
                <w:b w:val="0"/>
                <w:color w:val="333333"/>
                <w:sz w:val="18"/>
              </w:rPr>
              <w:t>8 000 000</w:t>
            </w:r>
          </w:p>
        </w:tc>
        <w:tc>
          <w:tcPr>
            <w:tcW w:type="dxa" w:w="1568"/>
            <w:shd w:val="clear" w:color="auto" w:fill="F2F5FA"/>
          </w:tcPr>
          <w:p>
            <w:pPr>
              <w:spacing w:before="100" w:after="100"/>
              <w:jc w:val="right"/>
            </w:pPr>
            <w:r>
              <w:rPr>
                <w:rFonts w:ascii="Calibri" w:hAnsi="Calibri"/>
                <w:b w:val="0"/>
                <w:color w:val="333333"/>
                <w:sz w:val="18"/>
              </w:rPr>
              <w:t>8 000 000</w:t>
            </w:r>
          </w:p>
        </w:tc>
      </w:tr>
      <w:tr>
        <w:tc>
          <w:tcPr>
            <w:tcW w:type="dxa" w:w="1568"/>
            <w:shd w:val="clear" w:color="auto" w:fill="FFFFFF"/>
          </w:tcPr>
          <w:p>
            <w:pPr>
              <w:spacing w:before="100" w:after="100"/>
              <w:jc w:val="left"/>
            </w:pPr>
            <w:r>
              <w:rPr>
                <w:rFonts w:ascii="Calibri" w:hAnsi="Calibri"/>
                <w:b w:val="0"/>
                <w:color w:val="333333"/>
                <w:sz w:val="18"/>
              </w:rPr>
              <w:t>LOT-03</w:t>
            </w:r>
          </w:p>
        </w:tc>
        <w:tc>
          <w:tcPr>
            <w:tcW w:type="dxa" w:w="1568"/>
            <w:shd w:val="clear" w:color="auto" w:fill="FFFFFF"/>
          </w:tcPr>
          <w:p>
            <w:pPr>
              <w:spacing w:before="100" w:after="100"/>
              <w:jc w:val="left"/>
            </w:pPr>
            <w:r>
              <w:rPr>
                <w:rFonts w:ascii="Calibri" w:hAnsi="Calibri"/>
                <w:b w:val="0"/>
                <w:color w:val="333333"/>
                <w:sz w:val="18"/>
              </w:rPr>
              <w:t>Migration et import des données existantes</w:t>
            </w:r>
          </w:p>
        </w:tc>
        <w:tc>
          <w:tcPr>
            <w:tcW w:type="dxa" w:w="1568"/>
            <w:shd w:val="clear" w:color="auto" w:fill="FFFFFF"/>
          </w:tcPr>
          <w:p>
            <w:pPr>
              <w:spacing w:before="100" w:after="100"/>
              <w:jc w:val="left"/>
            </w:pPr>
            <w:r>
              <w:rPr>
                <w:rFonts w:ascii="Calibri" w:hAnsi="Calibri"/>
                <w:b w:val="0"/>
                <w:color w:val="333333"/>
                <w:sz w:val="18"/>
              </w:rPr>
              <w:t>Forfait</w:t>
            </w:r>
          </w:p>
        </w:tc>
        <w:tc>
          <w:tcPr>
            <w:tcW w:type="dxa" w:w="1568"/>
            <w:shd w:val="clear" w:color="auto" w:fill="FFFFFF"/>
          </w:tcPr>
          <w:p>
            <w:pPr>
              <w:spacing w:before="100" w:after="100"/>
              <w:jc w:val="left"/>
            </w:pPr>
            <w:r>
              <w:rPr>
                <w:rFonts w:ascii="Calibri" w:hAnsi="Calibri"/>
                <w:b w:val="0"/>
                <w:color w:val="333333"/>
                <w:sz w:val="18"/>
              </w:rPr>
              <w:t>1</w:t>
            </w:r>
          </w:p>
        </w:tc>
        <w:tc>
          <w:tcPr>
            <w:tcW w:type="dxa" w:w="1568"/>
            <w:shd w:val="clear" w:color="auto" w:fill="FFFFFF"/>
          </w:tcPr>
          <w:p>
            <w:pPr>
              <w:spacing w:before="100" w:after="100"/>
              <w:jc w:val="right"/>
            </w:pPr>
            <w:r>
              <w:rPr>
                <w:rFonts w:ascii="Calibri" w:hAnsi="Calibri"/>
                <w:b w:val="0"/>
                <w:color w:val="333333"/>
                <w:sz w:val="18"/>
              </w:rPr>
              <w:t>3 500 000</w:t>
            </w:r>
          </w:p>
        </w:tc>
        <w:tc>
          <w:tcPr>
            <w:tcW w:type="dxa" w:w="1568"/>
            <w:shd w:val="clear" w:color="auto" w:fill="FFFFFF"/>
          </w:tcPr>
          <w:p>
            <w:pPr>
              <w:spacing w:before="100" w:after="100"/>
              <w:jc w:val="right"/>
            </w:pPr>
            <w:r>
              <w:rPr>
                <w:rFonts w:ascii="Calibri" w:hAnsi="Calibri"/>
                <w:b w:val="0"/>
                <w:color w:val="333333"/>
                <w:sz w:val="18"/>
              </w:rPr>
              <w:t>3 500 000</w:t>
            </w:r>
          </w:p>
        </w:tc>
      </w:tr>
      <w:tr>
        <w:tc>
          <w:tcPr>
            <w:tcW w:type="dxa" w:w="1568"/>
            <w:shd w:val="clear" w:color="auto" w:fill="F2F5FA"/>
          </w:tcPr>
          <w:p>
            <w:pPr>
              <w:spacing w:before="100" w:after="100"/>
              <w:jc w:val="left"/>
            </w:pPr>
            <w:r>
              <w:rPr>
                <w:rFonts w:ascii="Calibri" w:hAnsi="Calibri"/>
                <w:b w:val="0"/>
                <w:color w:val="333333"/>
                <w:sz w:val="18"/>
              </w:rPr>
              <w:t>LOT-04</w:t>
            </w:r>
          </w:p>
        </w:tc>
        <w:tc>
          <w:tcPr>
            <w:tcW w:type="dxa" w:w="1568"/>
            <w:shd w:val="clear" w:color="auto" w:fill="F2F5FA"/>
          </w:tcPr>
          <w:p>
            <w:pPr>
              <w:spacing w:before="100" w:after="100"/>
              <w:jc w:val="left"/>
            </w:pPr>
            <w:r>
              <w:rPr>
                <w:rFonts w:ascii="Calibri" w:hAnsi="Calibri"/>
                <w:b w:val="0"/>
                <w:color w:val="333333"/>
                <w:sz w:val="18"/>
              </w:rPr>
              <w:t>Formation des utilisateurs et administrateurs</w:t>
            </w:r>
          </w:p>
        </w:tc>
        <w:tc>
          <w:tcPr>
            <w:tcW w:type="dxa" w:w="1568"/>
            <w:shd w:val="clear" w:color="auto" w:fill="F2F5FA"/>
          </w:tcPr>
          <w:p>
            <w:pPr>
              <w:spacing w:before="100" w:after="100"/>
              <w:jc w:val="left"/>
            </w:pPr>
            <w:r>
              <w:rPr>
                <w:rFonts w:ascii="Calibri" w:hAnsi="Calibri"/>
                <w:b w:val="0"/>
                <w:color w:val="333333"/>
                <w:sz w:val="18"/>
              </w:rPr>
              <w:t>Session</w:t>
            </w:r>
          </w:p>
        </w:tc>
        <w:tc>
          <w:tcPr>
            <w:tcW w:type="dxa" w:w="1568"/>
            <w:shd w:val="clear" w:color="auto" w:fill="F2F5FA"/>
          </w:tcPr>
          <w:p>
            <w:pPr>
              <w:spacing w:before="100" w:after="100"/>
              <w:jc w:val="left"/>
            </w:pPr>
            <w:r>
              <w:rPr>
                <w:rFonts w:ascii="Calibri" w:hAnsi="Calibri"/>
                <w:b w:val="0"/>
                <w:color w:val="333333"/>
                <w:sz w:val="18"/>
              </w:rPr>
              <w:t>5</w:t>
            </w:r>
          </w:p>
        </w:tc>
        <w:tc>
          <w:tcPr>
            <w:tcW w:type="dxa" w:w="1568"/>
            <w:shd w:val="clear" w:color="auto" w:fill="F2F5FA"/>
          </w:tcPr>
          <w:p>
            <w:pPr>
              <w:spacing w:before="100" w:after="100"/>
              <w:jc w:val="right"/>
            </w:pPr>
            <w:r>
              <w:rPr>
                <w:rFonts w:ascii="Calibri" w:hAnsi="Calibri"/>
                <w:b w:val="0"/>
                <w:color w:val="333333"/>
                <w:sz w:val="18"/>
              </w:rPr>
              <w:t>1 200 000</w:t>
            </w:r>
          </w:p>
        </w:tc>
        <w:tc>
          <w:tcPr>
            <w:tcW w:type="dxa" w:w="1568"/>
            <w:shd w:val="clear" w:color="auto" w:fill="F2F5FA"/>
          </w:tcPr>
          <w:p>
            <w:pPr>
              <w:spacing w:before="100" w:after="100"/>
              <w:jc w:val="right"/>
            </w:pPr>
            <w:r>
              <w:rPr>
                <w:rFonts w:ascii="Calibri" w:hAnsi="Calibri"/>
                <w:b w:val="0"/>
                <w:color w:val="333333"/>
                <w:sz w:val="18"/>
              </w:rPr>
              <w:t>6 000 000</w:t>
            </w:r>
          </w:p>
        </w:tc>
      </w:tr>
      <w:tr>
        <w:tc>
          <w:tcPr>
            <w:tcW w:type="dxa" w:w="1568"/>
            <w:shd w:val="clear" w:color="auto" w:fill="FFFFFF"/>
          </w:tcPr>
          <w:p>
            <w:pPr>
              <w:spacing w:before="100" w:after="100"/>
              <w:jc w:val="left"/>
            </w:pPr>
            <w:r>
              <w:rPr>
                <w:rFonts w:ascii="Calibri" w:hAnsi="Calibri"/>
                <w:b w:val="0"/>
                <w:color w:val="333333"/>
                <w:sz w:val="18"/>
              </w:rPr>
              <w:t>LOT-05</w:t>
            </w:r>
          </w:p>
        </w:tc>
        <w:tc>
          <w:tcPr>
            <w:tcW w:type="dxa" w:w="1568"/>
            <w:shd w:val="clear" w:color="auto" w:fill="FFFFFF"/>
          </w:tcPr>
          <w:p>
            <w:pPr>
              <w:spacing w:before="100" w:after="100"/>
              <w:jc w:val="left"/>
            </w:pPr>
            <w:r>
              <w:rPr>
                <w:rFonts w:ascii="Calibri" w:hAnsi="Calibri"/>
                <w:b w:val="0"/>
                <w:color w:val="333333"/>
                <w:sz w:val="18"/>
              </w:rPr>
              <w:t>Accompagnement au changement (12 mois)</w:t>
            </w:r>
          </w:p>
        </w:tc>
        <w:tc>
          <w:tcPr>
            <w:tcW w:type="dxa" w:w="1568"/>
            <w:shd w:val="clear" w:color="auto" w:fill="FFFFFF"/>
          </w:tcPr>
          <w:p>
            <w:pPr>
              <w:spacing w:before="100" w:after="100"/>
              <w:jc w:val="left"/>
            </w:pPr>
            <w:r>
              <w:rPr>
                <w:rFonts w:ascii="Calibri" w:hAnsi="Calibri"/>
                <w:b w:val="0"/>
                <w:color w:val="333333"/>
                <w:sz w:val="18"/>
              </w:rPr>
              <w:t>Forfait</w:t>
            </w:r>
          </w:p>
        </w:tc>
        <w:tc>
          <w:tcPr>
            <w:tcW w:type="dxa" w:w="1568"/>
            <w:shd w:val="clear" w:color="auto" w:fill="FFFFFF"/>
          </w:tcPr>
          <w:p>
            <w:pPr>
              <w:spacing w:before="100" w:after="100"/>
              <w:jc w:val="left"/>
            </w:pPr>
            <w:r>
              <w:rPr>
                <w:rFonts w:ascii="Calibri" w:hAnsi="Calibri"/>
                <w:b w:val="0"/>
                <w:color w:val="333333"/>
                <w:sz w:val="18"/>
              </w:rPr>
              <w:t>1</w:t>
            </w:r>
          </w:p>
        </w:tc>
        <w:tc>
          <w:tcPr>
            <w:tcW w:type="dxa" w:w="1568"/>
            <w:shd w:val="clear" w:color="auto" w:fill="FFFFFF"/>
          </w:tcPr>
          <w:p>
            <w:pPr>
              <w:spacing w:before="100" w:after="100"/>
              <w:jc w:val="right"/>
            </w:pPr>
            <w:r>
              <w:rPr>
                <w:rFonts w:ascii="Calibri" w:hAnsi="Calibri"/>
                <w:b w:val="0"/>
                <w:color w:val="333333"/>
                <w:sz w:val="18"/>
              </w:rPr>
              <w:t>4 500 000</w:t>
            </w:r>
          </w:p>
        </w:tc>
        <w:tc>
          <w:tcPr>
            <w:tcW w:type="dxa" w:w="1568"/>
            <w:shd w:val="clear" w:color="auto" w:fill="FFFFFF"/>
          </w:tcPr>
          <w:p>
            <w:pPr>
              <w:spacing w:before="100" w:after="100"/>
              <w:jc w:val="right"/>
            </w:pPr>
            <w:r>
              <w:rPr>
                <w:rFonts w:ascii="Calibri" w:hAnsi="Calibri"/>
                <w:b w:val="0"/>
                <w:color w:val="333333"/>
                <w:sz w:val="18"/>
              </w:rPr>
              <w:t>4 500 000</w:t>
            </w:r>
          </w:p>
        </w:tc>
      </w:tr>
      <w:tr>
        <w:tc>
          <w:tcPr>
            <w:tcW w:type="dxa" w:w="1568"/>
            <w:shd w:val="clear" w:color="auto" w:fill="F2F5FA"/>
          </w:tcPr>
          <w:p>
            <w:pPr>
              <w:spacing w:before="100" w:after="100"/>
              <w:jc w:val="left"/>
            </w:pPr>
            <w:r>
              <w:rPr>
                <w:rFonts w:ascii="Calibri" w:hAnsi="Calibri"/>
                <w:b w:val="0"/>
                <w:color w:val="333333"/>
                <w:sz w:val="18"/>
              </w:rPr>
              <w:t>LOT-06</w:t>
            </w:r>
          </w:p>
        </w:tc>
        <w:tc>
          <w:tcPr>
            <w:tcW w:type="dxa" w:w="1568"/>
            <w:shd w:val="clear" w:color="auto" w:fill="F2F5FA"/>
          </w:tcPr>
          <w:p>
            <w:pPr>
              <w:spacing w:before="100" w:after="100"/>
              <w:jc w:val="left"/>
            </w:pPr>
            <w:r>
              <w:rPr>
                <w:rFonts w:ascii="Calibri" w:hAnsi="Calibri"/>
                <w:b w:val="0"/>
                <w:color w:val="333333"/>
                <w:sz w:val="18"/>
              </w:rPr>
              <w:t>Infrastructure cloud (hébergement 1 an)</w:t>
            </w:r>
          </w:p>
        </w:tc>
        <w:tc>
          <w:tcPr>
            <w:tcW w:type="dxa" w:w="1568"/>
            <w:shd w:val="clear" w:color="auto" w:fill="F2F5FA"/>
          </w:tcPr>
          <w:p>
            <w:pPr>
              <w:spacing w:before="100" w:after="100"/>
              <w:jc w:val="left"/>
            </w:pPr>
            <w:r>
              <w:rPr>
                <w:rFonts w:ascii="Calibri" w:hAnsi="Calibri"/>
                <w:b w:val="0"/>
                <w:color w:val="333333"/>
                <w:sz w:val="18"/>
              </w:rPr>
              <w:t>An</w:t>
            </w:r>
          </w:p>
        </w:tc>
        <w:tc>
          <w:tcPr>
            <w:tcW w:type="dxa" w:w="1568"/>
            <w:shd w:val="clear" w:color="auto" w:fill="F2F5FA"/>
          </w:tcPr>
          <w:p>
            <w:pPr>
              <w:spacing w:before="100" w:after="100"/>
              <w:jc w:val="left"/>
            </w:pPr>
            <w:r>
              <w:rPr>
                <w:rFonts w:ascii="Calibri" w:hAnsi="Calibri"/>
                <w:b w:val="0"/>
                <w:color w:val="333333"/>
                <w:sz w:val="18"/>
              </w:rPr>
              <w:t>1</w:t>
            </w:r>
          </w:p>
        </w:tc>
        <w:tc>
          <w:tcPr>
            <w:tcW w:type="dxa" w:w="1568"/>
            <w:shd w:val="clear" w:color="auto" w:fill="F2F5FA"/>
          </w:tcPr>
          <w:p>
            <w:pPr>
              <w:spacing w:before="100" w:after="100"/>
              <w:jc w:val="right"/>
            </w:pPr>
            <w:r>
              <w:rPr>
                <w:rFonts w:ascii="Calibri" w:hAnsi="Calibri"/>
                <w:b w:val="0"/>
                <w:color w:val="333333"/>
                <w:sz w:val="18"/>
              </w:rPr>
              <w:t>6 000 000</w:t>
            </w:r>
          </w:p>
        </w:tc>
        <w:tc>
          <w:tcPr>
            <w:tcW w:type="dxa" w:w="1568"/>
            <w:shd w:val="clear" w:color="auto" w:fill="F2F5FA"/>
          </w:tcPr>
          <w:p>
            <w:pPr>
              <w:spacing w:before="100" w:after="100"/>
              <w:jc w:val="right"/>
            </w:pPr>
            <w:r>
              <w:rPr>
                <w:rFonts w:ascii="Calibri" w:hAnsi="Calibri"/>
                <w:b w:val="0"/>
                <w:color w:val="333333"/>
                <w:sz w:val="18"/>
              </w:rPr>
              <w:t>6 000 000</w:t>
            </w:r>
          </w:p>
        </w:tc>
      </w:tr>
      <w:tr>
        <w:tc>
          <w:tcPr>
            <w:tcW w:type="dxa" w:w="1568"/>
            <w:shd w:val="clear" w:color="auto" w:fill="D0E4F5"/>
          </w:tcPr>
          <w:p>
            <w:pPr>
              <w:spacing w:before="100" w:after="100"/>
              <w:jc w:val="left"/>
            </w:pPr>
            <w:r>
              <w:rPr>
                <w:rFonts w:ascii="Calibri" w:hAnsi="Calibri"/>
                <w:b/>
                <w:color w:val="0A336B"/>
                <w:sz w:val="18"/>
              </w:rPr>
            </w:r>
          </w:p>
        </w:tc>
        <w:tc>
          <w:tcPr>
            <w:tcW w:type="dxa" w:w="1568"/>
            <w:shd w:val="clear" w:color="auto" w:fill="D0E4F5"/>
          </w:tcPr>
          <w:p>
            <w:pPr>
              <w:spacing w:before="100" w:after="100"/>
              <w:jc w:val="left"/>
            </w:pPr>
            <w:r>
              <w:rPr>
                <w:rFonts w:ascii="Calibri" w:hAnsi="Calibri"/>
                <w:b/>
                <w:color w:val="0A336B"/>
                <w:sz w:val="18"/>
              </w:rPr>
              <w:t>SOUS-TOTAL INVESTISSEMENT (HT)</w:t>
            </w:r>
          </w:p>
        </w:tc>
        <w:tc>
          <w:tcPr>
            <w:tcW w:type="dxa" w:w="1568"/>
            <w:shd w:val="clear" w:color="auto" w:fill="D0E4F5"/>
          </w:tcPr>
          <w:p>
            <w:pPr>
              <w:spacing w:before="100" w:after="100"/>
              <w:jc w:val="left"/>
            </w:pPr>
            <w:r>
              <w:rPr>
                <w:rFonts w:ascii="Calibri" w:hAnsi="Calibri"/>
                <w:b/>
                <w:color w:val="0A336B"/>
                <w:sz w:val="18"/>
              </w:rPr>
            </w:r>
          </w:p>
        </w:tc>
        <w:tc>
          <w:tcPr>
            <w:tcW w:type="dxa" w:w="1568"/>
            <w:shd w:val="clear" w:color="auto" w:fill="D0E4F5"/>
          </w:tcPr>
          <w:p>
            <w:pPr>
              <w:spacing w:before="100" w:after="100"/>
              <w:jc w:val="left"/>
            </w:pPr>
            <w:r>
              <w:rPr>
                <w:rFonts w:ascii="Calibri" w:hAnsi="Calibri"/>
                <w:b/>
                <w:color w:val="0A336B"/>
                <w:sz w:val="18"/>
              </w:rPr>
            </w:r>
          </w:p>
        </w:tc>
        <w:tc>
          <w:tcPr>
            <w:tcW w:type="dxa" w:w="1568"/>
            <w:shd w:val="clear" w:color="auto" w:fill="D0E4F5"/>
          </w:tcPr>
          <w:p>
            <w:pPr>
              <w:spacing w:before="100" w:after="100"/>
              <w:jc w:val="right"/>
            </w:pPr>
            <w:r>
              <w:rPr>
                <w:rFonts w:ascii="Calibri" w:hAnsi="Calibri"/>
                <w:b/>
                <w:color w:val="0A336B"/>
                <w:sz w:val="18"/>
              </w:rPr>
            </w:r>
          </w:p>
        </w:tc>
        <w:tc>
          <w:tcPr>
            <w:tcW w:type="dxa" w:w="1568"/>
            <w:shd w:val="clear" w:color="auto" w:fill="D0E4F5"/>
          </w:tcPr>
          <w:p>
            <w:pPr>
              <w:spacing w:before="100" w:after="100"/>
              <w:jc w:val="right"/>
            </w:pPr>
            <w:r>
              <w:rPr>
                <w:rFonts w:ascii="Calibri" w:hAnsi="Calibri"/>
                <w:b/>
                <w:color w:val="0A336B"/>
                <w:sz w:val="18"/>
              </w:rPr>
              <w:t>43 000 000</w:t>
            </w:r>
          </w:p>
        </w:tc>
      </w:tr>
      <w:tr>
        <w:tc>
          <w:tcPr>
            <w:tcW w:type="dxa" w:w="1568"/>
            <w:shd w:val="clear" w:color="auto" w:fill="D0E4F5"/>
          </w:tcPr>
          <w:p>
            <w:pPr>
              <w:spacing w:before="100" w:after="100"/>
              <w:jc w:val="left"/>
            </w:pPr>
            <w:r>
              <w:rPr>
                <w:rFonts w:ascii="Calibri" w:hAnsi="Calibri"/>
                <w:b/>
                <w:color w:val="0A336B"/>
                <w:sz w:val="18"/>
              </w:rPr>
            </w:r>
          </w:p>
        </w:tc>
        <w:tc>
          <w:tcPr>
            <w:tcW w:type="dxa" w:w="1568"/>
            <w:shd w:val="clear" w:color="auto" w:fill="D0E4F5"/>
          </w:tcPr>
          <w:p>
            <w:pPr>
              <w:spacing w:before="100" w:after="100"/>
              <w:jc w:val="left"/>
            </w:pPr>
            <w:r>
              <w:rPr>
                <w:rFonts w:ascii="Calibri" w:hAnsi="Calibri"/>
                <w:b/>
                <w:color w:val="0A336B"/>
                <w:sz w:val="18"/>
              </w:rPr>
              <w:t>TVA (18 %)</w:t>
            </w:r>
          </w:p>
        </w:tc>
        <w:tc>
          <w:tcPr>
            <w:tcW w:type="dxa" w:w="1568"/>
            <w:shd w:val="clear" w:color="auto" w:fill="D0E4F5"/>
          </w:tcPr>
          <w:p>
            <w:pPr>
              <w:spacing w:before="100" w:after="100"/>
              <w:jc w:val="left"/>
            </w:pPr>
            <w:r>
              <w:rPr>
                <w:rFonts w:ascii="Calibri" w:hAnsi="Calibri"/>
                <w:b/>
                <w:color w:val="0A336B"/>
                <w:sz w:val="18"/>
              </w:rPr>
            </w:r>
          </w:p>
        </w:tc>
        <w:tc>
          <w:tcPr>
            <w:tcW w:type="dxa" w:w="1568"/>
            <w:shd w:val="clear" w:color="auto" w:fill="D0E4F5"/>
          </w:tcPr>
          <w:p>
            <w:pPr>
              <w:spacing w:before="100" w:after="100"/>
              <w:jc w:val="left"/>
            </w:pPr>
            <w:r>
              <w:rPr>
                <w:rFonts w:ascii="Calibri" w:hAnsi="Calibri"/>
                <w:b/>
                <w:color w:val="0A336B"/>
                <w:sz w:val="18"/>
              </w:rPr>
            </w:r>
          </w:p>
        </w:tc>
        <w:tc>
          <w:tcPr>
            <w:tcW w:type="dxa" w:w="1568"/>
            <w:shd w:val="clear" w:color="auto" w:fill="D0E4F5"/>
          </w:tcPr>
          <w:p>
            <w:pPr>
              <w:spacing w:before="100" w:after="100"/>
              <w:jc w:val="right"/>
            </w:pPr>
            <w:r>
              <w:rPr>
                <w:rFonts w:ascii="Calibri" w:hAnsi="Calibri"/>
                <w:b/>
                <w:color w:val="0A336B"/>
                <w:sz w:val="18"/>
              </w:rPr>
            </w:r>
          </w:p>
        </w:tc>
        <w:tc>
          <w:tcPr>
            <w:tcW w:type="dxa" w:w="1568"/>
            <w:shd w:val="clear" w:color="auto" w:fill="D0E4F5"/>
          </w:tcPr>
          <w:p>
            <w:pPr>
              <w:spacing w:before="100" w:after="100"/>
              <w:jc w:val="right"/>
            </w:pPr>
            <w:r>
              <w:rPr>
                <w:rFonts w:ascii="Calibri" w:hAnsi="Calibri"/>
                <w:b/>
                <w:color w:val="0A336B"/>
                <w:sz w:val="18"/>
              </w:rPr>
              <w:t>7 740 000</w:t>
            </w:r>
          </w:p>
        </w:tc>
      </w:tr>
      <w:tr>
        <w:tc>
          <w:tcPr>
            <w:tcW w:type="dxa" w:w="1568"/>
            <w:shd w:val="clear" w:color="auto" w:fill="1A6FB5"/>
          </w:tcPr>
          <w:p>
            <w:pPr>
              <w:spacing w:before="100" w:after="100"/>
              <w:jc w:val="left"/>
            </w:pPr>
            <w:r>
              <w:rPr>
                <w:rFonts w:ascii="Calibri" w:hAnsi="Calibri"/>
                <w:b/>
                <w:color w:val="FFFFFF"/>
                <w:sz w:val="18"/>
              </w:rPr>
            </w:r>
          </w:p>
        </w:tc>
        <w:tc>
          <w:tcPr>
            <w:tcW w:type="dxa" w:w="1568"/>
            <w:shd w:val="clear" w:color="auto" w:fill="1A6FB5"/>
          </w:tcPr>
          <w:p>
            <w:pPr>
              <w:spacing w:before="100" w:after="100"/>
              <w:jc w:val="left"/>
            </w:pPr>
            <w:r>
              <w:rPr>
                <w:rFonts w:ascii="Calibri" w:hAnsi="Calibri"/>
                <w:b/>
                <w:color w:val="FFFFFF"/>
                <w:sz w:val="18"/>
              </w:rPr>
              <w:t>TOTAL INVESTISSEMENT (TTC)</w:t>
            </w:r>
          </w:p>
        </w:tc>
        <w:tc>
          <w:tcPr>
            <w:tcW w:type="dxa" w:w="1568"/>
            <w:shd w:val="clear" w:color="auto" w:fill="1A6FB5"/>
          </w:tcPr>
          <w:p>
            <w:pPr>
              <w:spacing w:before="100" w:after="100"/>
              <w:jc w:val="left"/>
            </w:pPr>
            <w:r>
              <w:rPr>
                <w:rFonts w:ascii="Calibri" w:hAnsi="Calibri"/>
                <w:b/>
                <w:color w:val="FFFFFF"/>
                <w:sz w:val="18"/>
              </w:rPr>
            </w:r>
          </w:p>
        </w:tc>
        <w:tc>
          <w:tcPr>
            <w:tcW w:type="dxa" w:w="1568"/>
            <w:shd w:val="clear" w:color="auto" w:fill="1A6FB5"/>
          </w:tcPr>
          <w:p>
            <w:pPr>
              <w:spacing w:before="100" w:after="100"/>
              <w:jc w:val="left"/>
            </w:pPr>
            <w:r>
              <w:rPr>
                <w:rFonts w:ascii="Calibri" w:hAnsi="Calibri"/>
                <w:b/>
                <w:color w:val="FFFFFF"/>
                <w:sz w:val="18"/>
              </w:rPr>
            </w:r>
          </w:p>
        </w:tc>
        <w:tc>
          <w:tcPr>
            <w:tcW w:type="dxa" w:w="1568"/>
            <w:shd w:val="clear" w:color="auto" w:fill="1A6FB5"/>
          </w:tcPr>
          <w:p>
            <w:pPr>
              <w:spacing w:before="100" w:after="100"/>
              <w:jc w:val="right"/>
            </w:pPr>
            <w:r>
              <w:rPr>
                <w:rFonts w:ascii="Calibri" w:hAnsi="Calibri"/>
                <w:b/>
                <w:color w:val="FFFFFF"/>
                <w:sz w:val="18"/>
              </w:rPr>
            </w:r>
          </w:p>
        </w:tc>
        <w:tc>
          <w:tcPr>
            <w:tcW w:type="dxa" w:w="1568"/>
            <w:shd w:val="clear" w:color="auto" w:fill="1A6FB5"/>
          </w:tcPr>
          <w:p>
            <w:pPr>
              <w:spacing w:before="100" w:after="100"/>
              <w:jc w:val="right"/>
            </w:pPr>
            <w:r>
              <w:rPr>
                <w:rFonts w:ascii="Calibri" w:hAnsi="Calibri"/>
                <w:b/>
                <w:color w:val="FFFFFF"/>
                <w:sz w:val="18"/>
              </w:rPr>
              <w:t>50 740 000</w:t>
            </w:r>
          </w:p>
        </w:tc>
      </w:tr>
    </w:tbl>
    <w:p/>
    <w:p>
      <w:pPr>
        <w:spacing w:before="160" w:after="120"/>
      </w:pPr>
      <w:r>
        <w:rPr>
          <w:rFonts w:ascii="Calibri" w:hAnsi="Calibri"/>
          <w:b/>
          <w:color w:val="1A6FB5"/>
          <w:sz w:val="24"/>
        </w:rPr>
        <w:t>7.2  Maintenance et support annuel (après 1re année)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A336B"/>
          </w:tcPr>
          <w:p>
            <w:pPr>
              <w:spacing w:before="100" w:after="100"/>
              <w:jc w:val="left"/>
            </w:pPr>
            <w:r>
              <w:rPr>
                <w:rFonts w:ascii="Calibri" w:hAnsi="Calibri"/>
                <w:b/>
                <w:color w:val="FFFFFF"/>
                <w:sz w:val="19"/>
              </w:rPr>
              <w:t>Prestation</w:t>
            </w:r>
          </w:p>
        </w:tc>
        <w:tc>
          <w:tcPr>
            <w:tcW w:type="dxa" w:w="3135"/>
            <w:shd w:val="clear" w:color="auto" w:fill="0A336B"/>
          </w:tcPr>
          <w:p>
            <w:pPr>
              <w:spacing w:before="100" w:after="100"/>
              <w:jc w:val="left"/>
            </w:pPr>
            <w:r>
              <w:rPr>
                <w:rFonts w:ascii="Calibri" w:hAnsi="Calibri"/>
                <w:b/>
                <w:color w:val="FFFFFF"/>
                <w:sz w:val="19"/>
              </w:rPr>
              <w:t>Détail</w:t>
            </w:r>
          </w:p>
        </w:tc>
        <w:tc>
          <w:tcPr>
            <w:tcW w:type="dxa" w:w="3135"/>
            <w:shd w:val="clear" w:color="auto" w:fill="0A336B"/>
          </w:tcPr>
          <w:p>
            <w:pPr>
              <w:spacing w:before="100" w:after="100"/>
              <w:jc w:val="right"/>
            </w:pPr>
            <w:r>
              <w:rPr>
                <w:rFonts w:ascii="Calibri" w:hAnsi="Calibri"/>
                <w:b/>
                <w:color w:val="FFFFFF"/>
                <w:sz w:val="19"/>
              </w:rPr>
              <w:t>Montant annuel (FCFA HT)</w:t>
            </w:r>
          </w:p>
        </w:tc>
      </w:tr>
      <w:tr>
        <w:tc>
          <w:tcPr>
            <w:tcW w:type="dxa" w:w="3135"/>
            <w:shd w:val="clear" w:color="auto" w:fill="FFFFFF"/>
          </w:tcPr>
          <w:p>
            <w:pPr>
              <w:spacing w:before="100" w:after="100"/>
              <w:jc w:val="left"/>
            </w:pPr>
            <w:r>
              <w:rPr>
                <w:rFonts w:ascii="Calibri" w:hAnsi="Calibri"/>
                <w:b w:val="0"/>
                <w:color w:val="333333"/>
                <w:sz w:val="19"/>
              </w:rPr>
              <w:t>Maintenance corrective</w:t>
            </w:r>
          </w:p>
        </w:tc>
        <w:tc>
          <w:tcPr>
            <w:tcW w:type="dxa" w:w="3135"/>
            <w:shd w:val="clear" w:color="auto" w:fill="FFFFFF"/>
          </w:tcPr>
          <w:p>
            <w:pPr>
              <w:spacing w:before="100" w:after="100"/>
              <w:jc w:val="left"/>
            </w:pPr>
            <w:r>
              <w:rPr>
                <w:rFonts w:ascii="Calibri" w:hAnsi="Calibri"/>
                <w:b w:val="0"/>
                <w:color w:val="333333"/>
                <w:sz w:val="19"/>
              </w:rPr>
              <w:t>Correction des anomalies et bugs</w:t>
            </w:r>
          </w:p>
        </w:tc>
        <w:tc>
          <w:tcPr>
            <w:tcW w:type="dxa" w:w="3135"/>
            <w:shd w:val="clear" w:color="auto" w:fill="FFFFFF"/>
          </w:tcPr>
          <w:p>
            <w:pPr>
              <w:spacing w:before="100" w:after="100"/>
              <w:jc w:val="right"/>
            </w:pPr>
            <w:r>
              <w:rPr>
                <w:rFonts w:ascii="Calibri" w:hAnsi="Calibri"/>
                <w:b w:val="0"/>
                <w:color w:val="333333"/>
                <w:sz w:val="19"/>
              </w:rPr>
              <w:t>3 500 000</w:t>
            </w:r>
          </w:p>
        </w:tc>
      </w:tr>
      <w:tr>
        <w:tc>
          <w:tcPr>
            <w:tcW w:type="dxa" w:w="3135"/>
            <w:shd w:val="clear" w:color="auto" w:fill="F2F5FA"/>
          </w:tcPr>
          <w:p>
            <w:pPr>
              <w:spacing w:before="100" w:after="100"/>
              <w:jc w:val="left"/>
            </w:pPr>
            <w:r>
              <w:rPr>
                <w:rFonts w:ascii="Calibri" w:hAnsi="Calibri"/>
                <w:b w:val="0"/>
                <w:color w:val="333333"/>
                <w:sz w:val="19"/>
              </w:rPr>
              <w:t>Maintenance évolutive</w:t>
            </w:r>
          </w:p>
        </w:tc>
        <w:tc>
          <w:tcPr>
            <w:tcW w:type="dxa" w:w="3135"/>
            <w:shd w:val="clear" w:color="auto" w:fill="F2F5FA"/>
          </w:tcPr>
          <w:p>
            <w:pPr>
              <w:spacing w:before="100" w:after="100"/>
              <w:jc w:val="left"/>
            </w:pPr>
            <w:r>
              <w:rPr>
                <w:rFonts w:ascii="Calibri" w:hAnsi="Calibri"/>
                <w:b w:val="0"/>
                <w:color w:val="333333"/>
                <w:sz w:val="19"/>
              </w:rPr>
              <w:t>Mises à jour et nouvelles fonctionnalités mineures</w:t>
            </w:r>
          </w:p>
        </w:tc>
        <w:tc>
          <w:tcPr>
            <w:tcW w:type="dxa" w:w="3135"/>
            <w:shd w:val="clear" w:color="auto" w:fill="F2F5FA"/>
          </w:tcPr>
          <w:p>
            <w:pPr>
              <w:spacing w:before="100" w:after="100"/>
              <w:jc w:val="right"/>
            </w:pPr>
            <w:r>
              <w:rPr>
                <w:rFonts w:ascii="Calibri" w:hAnsi="Calibri"/>
                <w:b w:val="0"/>
                <w:color w:val="333333"/>
                <w:sz w:val="19"/>
              </w:rPr>
              <w:t>4 000 000</w:t>
            </w:r>
          </w:p>
        </w:tc>
      </w:tr>
      <w:tr>
        <w:tc>
          <w:tcPr>
            <w:tcW w:type="dxa" w:w="3135"/>
            <w:shd w:val="clear" w:color="auto" w:fill="FFFFFF"/>
          </w:tcPr>
          <w:p>
            <w:pPr>
              <w:spacing w:before="100" w:after="100"/>
              <w:jc w:val="left"/>
            </w:pPr>
            <w:r>
              <w:rPr>
                <w:rFonts w:ascii="Calibri" w:hAnsi="Calibri"/>
                <w:b w:val="0"/>
                <w:color w:val="333333"/>
                <w:sz w:val="19"/>
              </w:rPr>
              <w:t>Hébergement cloud</w:t>
            </w:r>
          </w:p>
        </w:tc>
        <w:tc>
          <w:tcPr>
            <w:tcW w:type="dxa" w:w="3135"/>
            <w:shd w:val="clear" w:color="auto" w:fill="FFFFFF"/>
          </w:tcPr>
          <w:p>
            <w:pPr>
              <w:spacing w:before="100" w:after="100"/>
              <w:jc w:val="left"/>
            </w:pPr>
            <w:r>
              <w:rPr>
                <w:rFonts w:ascii="Calibri" w:hAnsi="Calibri"/>
                <w:b w:val="0"/>
                <w:color w:val="333333"/>
                <w:sz w:val="19"/>
              </w:rPr>
              <w:t>Serveurs, bande passante, sauvegarde</w:t>
            </w:r>
          </w:p>
        </w:tc>
        <w:tc>
          <w:tcPr>
            <w:tcW w:type="dxa" w:w="3135"/>
            <w:shd w:val="clear" w:color="auto" w:fill="FFFFFF"/>
          </w:tcPr>
          <w:p>
            <w:pPr>
              <w:spacing w:before="100" w:after="100"/>
              <w:jc w:val="right"/>
            </w:pPr>
            <w:r>
              <w:rPr>
                <w:rFonts w:ascii="Calibri" w:hAnsi="Calibri"/>
                <w:b w:val="0"/>
                <w:color w:val="333333"/>
                <w:sz w:val="19"/>
              </w:rPr>
              <w:t>6 000 000</w:t>
            </w:r>
          </w:p>
        </w:tc>
      </w:tr>
      <w:tr>
        <w:tc>
          <w:tcPr>
            <w:tcW w:type="dxa" w:w="3135"/>
            <w:shd w:val="clear" w:color="auto" w:fill="F2F5FA"/>
          </w:tcPr>
          <w:p>
            <w:pPr>
              <w:spacing w:before="100" w:after="100"/>
              <w:jc w:val="left"/>
            </w:pPr>
            <w:r>
              <w:rPr>
                <w:rFonts w:ascii="Calibri" w:hAnsi="Calibri"/>
                <w:b w:val="0"/>
                <w:color w:val="333333"/>
                <w:sz w:val="19"/>
              </w:rPr>
              <w:t>Support utilisateurs</w:t>
            </w:r>
          </w:p>
        </w:tc>
        <w:tc>
          <w:tcPr>
            <w:tcW w:type="dxa" w:w="3135"/>
            <w:shd w:val="clear" w:color="auto" w:fill="F2F5FA"/>
          </w:tcPr>
          <w:p>
            <w:pPr>
              <w:spacing w:before="100" w:after="100"/>
              <w:jc w:val="left"/>
            </w:pPr>
            <w:r>
              <w:rPr>
                <w:rFonts w:ascii="Calibri" w:hAnsi="Calibri"/>
                <w:b w:val="0"/>
                <w:color w:val="333333"/>
                <w:sz w:val="19"/>
              </w:rPr>
              <w:t>Hotline, tickets, formations complémentaires</w:t>
            </w:r>
          </w:p>
        </w:tc>
        <w:tc>
          <w:tcPr>
            <w:tcW w:type="dxa" w:w="3135"/>
            <w:shd w:val="clear" w:color="auto" w:fill="F2F5FA"/>
          </w:tcPr>
          <w:p>
            <w:pPr>
              <w:spacing w:before="100" w:after="100"/>
              <w:jc w:val="right"/>
            </w:pPr>
            <w:r>
              <w:rPr>
                <w:rFonts w:ascii="Calibri" w:hAnsi="Calibri"/>
                <w:b w:val="0"/>
                <w:color w:val="333333"/>
                <w:sz w:val="19"/>
              </w:rPr>
              <w:t>2 500 000</w:t>
            </w:r>
          </w:p>
        </w:tc>
      </w:tr>
      <w:tr>
        <w:tc>
          <w:tcPr>
            <w:tcW w:type="dxa" w:w="3135"/>
            <w:shd w:val="clear" w:color="auto" w:fill="D0E4F5"/>
          </w:tcPr>
          <w:p>
            <w:pPr>
              <w:spacing w:before="100" w:after="100"/>
              <w:jc w:val="left"/>
            </w:pPr>
            <w:r>
              <w:rPr>
                <w:rFonts w:ascii="Calibri" w:hAnsi="Calibri"/>
                <w:b/>
                <w:color w:val="0A336B"/>
                <w:sz w:val="19"/>
              </w:rPr>
              <w:t>TOTAL ANNUEL (HT)</w:t>
            </w:r>
          </w:p>
        </w:tc>
        <w:tc>
          <w:tcPr>
            <w:tcW w:type="dxa" w:w="3135"/>
            <w:shd w:val="clear" w:color="auto" w:fill="D0E4F5"/>
          </w:tcPr>
          <w:p>
            <w:pPr>
              <w:spacing w:before="100" w:after="100"/>
              <w:jc w:val="left"/>
            </w:pPr>
            <w:r>
              <w:rPr>
                <w:rFonts w:ascii="Calibri" w:hAnsi="Calibri"/>
                <w:b/>
                <w:color w:val="0A336B"/>
                <w:sz w:val="19"/>
              </w:rPr>
            </w:r>
          </w:p>
        </w:tc>
        <w:tc>
          <w:tcPr>
            <w:tcW w:type="dxa" w:w="3135"/>
            <w:shd w:val="clear" w:color="auto" w:fill="D0E4F5"/>
          </w:tcPr>
          <w:p>
            <w:pPr>
              <w:spacing w:before="100" w:after="100"/>
              <w:jc w:val="right"/>
            </w:pPr>
            <w:r>
              <w:rPr>
                <w:rFonts w:ascii="Calibri" w:hAnsi="Calibri"/>
                <w:b/>
                <w:color w:val="0A336B"/>
                <w:sz w:val="19"/>
              </w:rPr>
              <w:t>16 000 000</w:t>
            </w:r>
          </w:p>
        </w:tc>
      </w:tr>
      <w:tr>
        <w:tc>
          <w:tcPr>
            <w:tcW w:type="dxa" w:w="3135"/>
            <w:shd w:val="clear" w:color="auto" w:fill="1A6FB5"/>
          </w:tcPr>
          <w:p>
            <w:pPr>
              <w:spacing w:before="100" w:after="100"/>
              <w:jc w:val="left"/>
            </w:pPr>
            <w:r>
              <w:rPr>
                <w:rFonts w:ascii="Calibri" w:hAnsi="Calibri"/>
                <w:b/>
                <w:color w:val="FFFFFF"/>
                <w:sz w:val="19"/>
              </w:rPr>
              <w:t>TOTAL ANNUEL (TTC – 18%)</w:t>
            </w:r>
          </w:p>
        </w:tc>
        <w:tc>
          <w:tcPr>
            <w:tcW w:type="dxa" w:w="3135"/>
            <w:shd w:val="clear" w:color="auto" w:fill="1A6FB5"/>
          </w:tcPr>
          <w:p>
            <w:pPr>
              <w:spacing w:before="100" w:after="100"/>
              <w:jc w:val="left"/>
            </w:pPr>
            <w:r>
              <w:rPr>
                <w:rFonts w:ascii="Calibri" w:hAnsi="Calibri"/>
                <w:b/>
                <w:color w:val="FFFFFF"/>
                <w:sz w:val="19"/>
              </w:rPr>
            </w:r>
          </w:p>
        </w:tc>
        <w:tc>
          <w:tcPr>
            <w:tcW w:type="dxa" w:w="3135"/>
            <w:shd w:val="clear" w:color="auto" w:fill="1A6FB5"/>
          </w:tcPr>
          <w:p>
            <w:pPr>
              <w:spacing w:before="100" w:after="100"/>
              <w:jc w:val="right"/>
            </w:pPr>
            <w:r>
              <w:rPr>
                <w:rFonts w:ascii="Calibri" w:hAnsi="Calibri"/>
                <w:b/>
                <w:color w:val="FFFFFF"/>
                <w:sz w:val="19"/>
              </w:rPr>
              <w:t>18 880 000</w:t>
            </w:r>
          </w:p>
        </w:tc>
      </w:tr>
    </w:tbl>
    <w:p/>
    <w:p>
      <w:pPr>
        <w:spacing w:before="160" w:after="120"/>
      </w:pPr>
      <w:r>
        <w:rPr>
          <w:rFonts w:ascii="Calibri" w:hAnsi="Calibri"/>
          <w:b/>
          <w:color w:val="1A6FB5"/>
          <w:sz w:val="24"/>
        </w:rPr>
        <w:t>7.3  Modalités de paiement</w:t>
      </w:r>
    </w:p>
    <w:p>
      <w:pPr>
        <w:pStyle w:val="ListBullet"/>
        <w:spacing w:before="40" w:after="40"/>
      </w:pPr>
      <w:r>
        <w:rPr>
          <w:rFonts w:ascii="Calibri" w:hAnsi="Calibri"/>
          <w:color w:val="333333"/>
          <w:sz w:val="21"/>
        </w:rPr>
        <w:t>30 % à la signature du contrat : 15 222 000 FCFA TTC</w:t>
      </w:r>
    </w:p>
    <w:p>
      <w:pPr>
        <w:pStyle w:val="ListBullet"/>
        <w:spacing w:before="40" w:after="40"/>
      </w:pPr>
      <w:r>
        <w:rPr>
          <w:rFonts w:ascii="Calibri" w:hAnsi="Calibri"/>
          <w:color w:val="333333"/>
          <w:sz w:val="21"/>
        </w:rPr>
        <w:t>40 % à la livraison de la Phase 2 (déploiement pilote validé) : 20 296 000 FCFA TTC</w:t>
      </w:r>
    </w:p>
    <w:p>
      <w:pPr>
        <w:pStyle w:val="ListBullet"/>
        <w:spacing w:before="40" w:after="40"/>
      </w:pPr>
      <w:r>
        <w:rPr>
          <w:rFonts w:ascii="Calibri" w:hAnsi="Calibri"/>
          <w:color w:val="333333"/>
          <w:sz w:val="21"/>
        </w:rPr>
        <w:t>30 % à la réception définitive (Phase 4 – rapport final) : 15 222 000 FCFA TTC</w:t>
      </w:r>
    </w:p>
    <w:p>
      <w:pPr>
        <w:spacing w:before="60" w:after="60" w:line="360" w:lineRule="auto"/>
        <w:jc w:val="both"/>
      </w:pPr>
      <w:r>
        <w:rPr>
          <w:rFonts w:ascii="Calibri" w:hAnsi="Calibri"/>
          <w:i/>
          <w:color w:val="1A6FB5"/>
          <w:sz w:val="21"/>
        </w:rPr>
        <w:t>Validité de l'offre : 90 jours à compter de la date d'émission. Paiement par virement bancaire. Devise : Franc CFA (FCFA). Les prix s'entendent hors taxes. La TVA applicable est de 18 %.</w:t>
      </w:r>
    </w:p>
    <w:p>
      <w:r>
        <w:br w:type="page"/>
      </w:r>
    </w:p>
    <w:p>
      <w:pPr>
        <w:spacing w:before="360" w:after="120"/>
      </w:pPr>
      <w:r>
        <w:rPr>
          <w:rFonts w:ascii="Calibri" w:hAnsi="Calibri"/>
          <w:b/>
          <w:color w:val="0A336B"/>
          <w:sz w:val="30"/>
        </w:rPr>
        <w:t>8.  GARANTIES ET SUPPORT</w:t>
      </w:r>
    </w:p>
    <w:p>
      <w:pPr>
        <w:pBdr>
          <w:bottom w:val="single" w:sz="8" w:space="1" w:color="0A336B"/>
        </w:pBdr>
        <w:spacing w:before="40" w:after="40"/>
      </w:pP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A336B"/>
          </w:tcPr>
          <w:p>
            <w:pPr>
              <w:spacing w:before="100" w:after="100"/>
            </w:pPr>
            <w:r>
              <w:rPr>
                <w:rFonts w:ascii="Calibri" w:hAnsi="Calibri"/>
                <w:b/>
                <w:color w:val="FFFFFF"/>
                <w:sz w:val="20"/>
              </w:rPr>
              <w:t>Indicateur</w:t>
            </w:r>
          </w:p>
        </w:tc>
        <w:tc>
          <w:tcPr>
            <w:tcW w:type="dxa" w:w="4703"/>
            <w:shd w:val="clear" w:color="auto" w:fill="0A336B"/>
          </w:tcPr>
          <w:p>
            <w:pPr>
              <w:spacing w:before="100" w:after="100"/>
            </w:pPr>
            <w:r>
              <w:rPr>
                <w:rFonts w:ascii="Calibri" w:hAnsi="Calibri"/>
                <w:b/>
                <w:color w:val="FFFFFF"/>
                <w:sz w:val="20"/>
              </w:rPr>
              <w:t>Engagement</w:t>
            </w:r>
          </w:p>
        </w:tc>
      </w:tr>
      <w:tr>
        <w:tc>
          <w:tcPr>
            <w:tcW w:type="dxa" w:w="4703"/>
            <w:shd w:val="clear" w:color="auto" w:fill="FFFFFF"/>
          </w:tcPr>
          <w:p>
            <w:pPr>
              <w:spacing w:before="100" w:after="100"/>
            </w:pPr>
            <w:r>
              <w:rPr>
                <w:rFonts w:ascii="Calibri" w:hAnsi="Calibri"/>
                <w:b/>
                <w:color w:val="333333"/>
                <w:sz w:val="20"/>
              </w:rPr>
              <w:t>Disponibilité de la plateforme</w:t>
            </w:r>
          </w:p>
        </w:tc>
        <w:tc>
          <w:tcPr>
            <w:tcW w:type="dxa" w:w="4703"/>
            <w:shd w:val="clear" w:color="auto" w:fill="FFFFFF"/>
          </w:tcPr>
          <w:p>
            <w:pPr>
              <w:spacing w:before="100" w:after="100"/>
            </w:pPr>
            <w:r>
              <w:rPr>
                <w:rFonts w:ascii="Calibri" w:hAnsi="Calibri"/>
                <w:b w:val="0"/>
                <w:color w:val="333333"/>
                <w:sz w:val="20"/>
              </w:rPr>
              <w:t>99,5 % / mois (hors maintenance planifiée)</w:t>
            </w:r>
          </w:p>
        </w:tc>
      </w:tr>
      <w:tr>
        <w:tc>
          <w:tcPr>
            <w:tcW w:type="dxa" w:w="4703"/>
            <w:shd w:val="clear" w:color="auto" w:fill="F2F5FA"/>
          </w:tcPr>
          <w:p>
            <w:pPr>
              <w:spacing w:before="100" w:after="100"/>
            </w:pPr>
            <w:r>
              <w:rPr>
                <w:rFonts w:ascii="Calibri" w:hAnsi="Calibri"/>
                <w:b/>
                <w:color w:val="333333"/>
                <w:sz w:val="20"/>
              </w:rPr>
              <w:t>Temps de réponse aux incidents critiques</w:t>
            </w:r>
          </w:p>
        </w:tc>
        <w:tc>
          <w:tcPr>
            <w:tcW w:type="dxa" w:w="4703"/>
            <w:shd w:val="clear" w:color="auto" w:fill="F2F5FA"/>
          </w:tcPr>
          <w:p>
            <w:pPr>
              <w:spacing w:before="100" w:after="100"/>
            </w:pPr>
            <w:r>
              <w:rPr>
                <w:rFonts w:ascii="Calibri" w:hAnsi="Calibri"/>
                <w:b w:val="0"/>
                <w:color w:val="333333"/>
                <w:sz w:val="20"/>
              </w:rPr>
              <w:t>Moins de 4 heures</w:t>
            </w:r>
          </w:p>
        </w:tc>
      </w:tr>
      <w:tr>
        <w:tc>
          <w:tcPr>
            <w:tcW w:type="dxa" w:w="4703"/>
            <w:shd w:val="clear" w:color="auto" w:fill="FFFFFF"/>
          </w:tcPr>
          <w:p>
            <w:pPr>
              <w:spacing w:before="100" w:after="100"/>
            </w:pPr>
            <w:r>
              <w:rPr>
                <w:rFonts w:ascii="Calibri" w:hAnsi="Calibri"/>
                <w:b/>
                <w:color w:val="333333"/>
                <w:sz w:val="20"/>
              </w:rPr>
              <w:t>Temps de réponse aux incidents majeurs</w:t>
            </w:r>
          </w:p>
        </w:tc>
        <w:tc>
          <w:tcPr>
            <w:tcW w:type="dxa" w:w="4703"/>
            <w:shd w:val="clear" w:color="auto" w:fill="FFFFFF"/>
          </w:tcPr>
          <w:p>
            <w:pPr>
              <w:spacing w:before="100" w:after="100"/>
            </w:pPr>
            <w:r>
              <w:rPr>
                <w:rFonts w:ascii="Calibri" w:hAnsi="Calibri"/>
                <w:b w:val="0"/>
                <w:color w:val="333333"/>
                <w:sz w:val="20"/>
              </w:rPr>
              <w:t>Moins de 8 heures ouvrées</w:t>
            </w:r>
          </w:p>
        </w:tc>
      </w:tr>
      <w:tr>
        <w:tc>
          <w:tcPr>
            <w:tcW w:type="dxa" w:w="4703"/>
            <w:shd w:val="clear" w:color="auto" w:fill="F2F5FA"/>
          </w:tcPr>
          <w:p>
            <w:pPr>
              <w:spacing w:before="100" w:after="100"/>
            </w:pPr>
            <w:r>
              <w:rPr>
                <w:rFonts w:ascii="Calibri" w:hAnsi="Calibri"/>
                <w:b/>
                <w:color w:val="333333"/>
                <w:sz w:val="20"/>
              </w:rPr>
              <w:t>Temps de résolution des bugs bloquants</w:t>
            </w:r>
          </w:p>
        </w:tc>
        <w:tc>
          <w:tcPr>
            <w:tcW w:type="dxa" w:w="4703"/>
            <w:shd w:val="clear" w:color="auto" w:fill="F2F5FA"/>
          </w:tcPr>
          <w:p>
            <w:pPr>
              <w:spacing w:before="100" w:after="100"/>
            </w:pPr>
            <w:r>
              <w:rPr>
                <w:rFonts w:ascii="Calibri" w:hAnsi="Calibri"/>
                <w:b w:val="0"/>
                <w:color w:val="333333"/>
                <w:sz w:val="20"/>
              </w:rPr>
              <w:t>Moins de 2 jours ouvrés</w:t>
            </w:r>
          </w:p>
        </w:tc>
      </w:tr>
      <w:tr>
        <w:tc>
          <w:tcPr>
            <w:tcW w:type="dxa" w:w="4703"/>
            <w:shd w:val="clear" w:color="auto" w:fill="FFFFFF"/>
          </w:tcPr>
          <w:p>
            <w:pPr>
              <w:spacing w:before="100" w:after="100"/>
            </w:pPr>
            <w:r>
              <w:rPr>
                <w:rFonts w:ascii="Calibri" w:hAnsi="Calibri"/>
                <w:b/>
                <w:color w:val="333333"/>
                <w:sz w:val="20"/>
              </w:rPr>
              <w:t>Sauvegarde des données</w:t>
            </w:r>
          </w:p>
        </w:tc>
        <w:tc>
          <w:tcPr>
            <w:tcW w:type="dxa" w:w="4703"/>
            <w:shd w:val="clear" w:color="auto" w:fill="FFFFFF"/>
          </w:tcPr>
          <w:p>
            <w:pPr>
              <w:spacing w:before="100" w:after="100"/>
            </w:pPr>
            <w:r>
              <w:rPr>
                <w:rFonts w:ascii="Calibri" w:hAnsi="Calibri"/>
                <w:b w:val="0"/>
                <w:color w:val="333333"/>
                <w:sz w:val="20"/>
              </w:rPr>
              <w:t>Quotidienne – Rétention 30 jours</w:t>
            </w:r>
          </w:p>
        </w:tc>
      </w:tr>
      <w:tr>
        <w:tc>
          <w:tcPr>
            <w:tcW w:type="dxa" w:w="4703"/>
            <w:shd w:val="clear" w:color="auto" w:fill="F2F5FA"/>
          </w:tcPr>
          <w:p>
            <w:pPr>
              <w:spacing w:before="100" w:after="100"/>
            </w:pPr>
            <w:r>
              <w:rPr>
                <w:rFonts w:ascii="Calibri" w:hAnsi="Calibri"/>
                <w:b/>
                <w:color w:val="333333"/>
                <w:sz w:val="20"/>
              </w:rPr>
              <w:t>Maintenance planifiée (fenêtre)</w:t>
            </w:r>
          </w:p>
        </w:tc>
        <w:tc>
          <w:tcPr>
            <w:tcW w:type="dxa" w:w="4703"/>
            <w:shd w:val="clear" w:color="auto" w:fill="F2F5FA"/>
          </w:tcPr>
          <w:p>
            <w:pPr>
              <w:spacing w:before="100" w:after="100"/>
            </w:pPr>
            <w:r>
              <w:rPr>
                <w:rFonts w:ascii="Calibri" w:hAnsi="Calibri"/>
                <w:b w:val="0"/>
                <w:color w:val="333333"/>
                <w:sz w:val="20"/>
              </w:rPr>
              <w:t>Dimanche 00h–06h (hors heures de pointe)</w:t>
            </w:r>
          </w:p>
        </w:tc>
      </w:tr>
      <w:tr>
        <w:tc>
          <w:tcPr>
            <w:tcW w:type="dxa" w:w="4703"/>
            <w:shd w:val="clear" w:color="auto" w:fill="FFFFFF"/>
          </w:tcPr>
          <w:p>
            <w:pPr>
              <w:spacing w:before="100" w:after="100"/>
            </w:pPr>
            <w:r>
              <w:rPr>
                <w:rFonts w:ascii="Calibri" w:hAnsi="Calibri"/>
                <w:b/>
                <w:color w:val="333333"/>
                <w:sz w:val="20"/>
              </w:rPr>
              <w:t>Support téléphonique</w:t>
            </w:r>
          </w:p>
        </w:tc>
        <w:tc>
          <w:tcPr>
            <w:tcW w:type="dxa" w:w="4703"/>
            <w:shd w:val="clear" w:color="auto" w:fill="FFFFFF"/>
          </w:tcPr>
          <w:p>
            <w:pPr>
              <w:spacing w:before="100" w:after="100"/>
            </w:pPr>
            <w:r>
              <w:rPr>
                <w:rFonts w:ascii="Calibri" w:hAnsi="Calibri"/>
                <w:b w:val="0"/>
                <w:color w:val="333333"/>
                <w:sz w:val="20"/>
              </w:rPr>
              <w:t>Lundi–Vendredi, 8h–17h (GMT+1)</w:t>
            </w:r>
          </w:p>
        </w:tc>
      </w:tr>
      <w:tr>
        <w:tc>
          <w:tcPr>
            <w:tcW w:type="dxa" w:w="4703"/>
            <w:shd w:val="clear" w:color="auto" w:fill="F2F5FA"/>
          </w:tcPr>
          <w:p>
            <w:pPr>
              <w:spacing w:before="100" w:after="100"/>
            </w:pPr>
            <w:r>
              <w:rPr>
                <w:rFonts w:ascii="Calibri" w:hAnsi="Calibri"/>
                <w:b/>
                <w:color w:val="333333"/>
                <w:sz w:val="20"/>
              </w:rPr>
              <w:t>Rapport mensuel de disponibilité</w:t>
            </w:r>
          </w:p>
        </w:tc>
        <w:tc>
          <w:tcPr>
            <w:tcW w:type="dxa" w:w="4703"/>
            <w:shd w:val="clear" w:color="auto" w:fill="F2F5FA"/>
          </w:tcPr>
          <w:p>
            <w:pPr>
              <w:spacing w:before="100" w:after="100"/>
            </w:pPr>
            <w:r>
              <w:rPr>
                <w:rFonts w:ascii="Calibri" w:hAnsi="Calibri"/>
                <w:b w:val="0"/>
                <w:color w:val="333333"/>
                <w:sz w:val="20"/>
              </w:rPr>
              <w:t>Fourni automatiquement le 5 du mois suivant</w:t>
            </w:r>
          </w:p>
        </w:tc>
      </w:tr>
    </w:tbl>
    <w:p/>
    <w:p>
      <w:pPr>
        <w:spacing w:before="60" w:after="60" w:line="360" w:lineRule="auto"/>
        <w:jc w:val="both"/>
      </w:pPr>
      <w:r>
        <w:rPr>
          <w:rFonts w:ascii="Calibri" w:hAnsi="Calibri"/>
          <w:i w:val="0"/>
          <w:color w:val="333333"/>
          <w:sz w:val="21"/>
        </w:rPr>
        <w:t>Une période de garantie de 12 mois est incluse dans le prix de mise en œuvre. Durant cette période, toutes les corrections d'anomalies liées au périmètre contractuel sont prises en charge sans coût additionnel.</w:t>
      </w:r>
    </w:p>
    <w:p>
      <w:r>
        <w:br w:type="page"/>
      </w:r>
    </w:p>
    <w:p>
      <w:pPr>
        <w:spacing w:before="360" w:after="120"/>
      </w:pPr>
      <w:r>
        <w:rPr>
          <w:rFonts w:ascii="Calibri" w:hAnsi="Calibri"/>
          <w:b/>
          <w:color w:val="0A336B"/>
          <w:sz w:val="30"/>
        </w:rPr>
        <w:t>9.  NOTRE ENTREPRISE</w:t>
      </w:r>
    </w:p>
    <w:p>
      <w:pPr>
        <w:pBdr>
          <w:bottom w:val="single" w:sz="8" w:space="1" w:color="0A336B"/>
        </w:pBdr>
        <w:spacing w:before="40" w:after="40"/>
      </w:pPr>
    </w:p>
    <w:p/>
    <w:p>
      <w:pPr>
        <w:spacing w:before="60" w:after="60" w:line="360" w:lineRule="auto"/>
        <w:jc w:val="both"/>
      </w:pPr>
      <w:r>
        <w:rPr>
          <w:rFonts w:ascii="Calibri" w:hAnsi="Calibri"/>
          <w:i w:val="0"/>
          <w:color w:val="333333"/>
          <w:sz w:val="21"/>
        </w:rPr>
        <w:t>Numerix Digital est une entreprise de développement logiciel et de conseil en transformation numérique basée en République du Congo. Nous concevons et déployons des solutions digitales sur mesure pour les organismes publics et les entreprises d'Afrique centrale.</w:t>
      </w:r>
    </w:p>
    <w:p>
      <w:pPr>
        <w:spacing w:before="160" w:after="120"/>
      </w:pPr>
      <w:r>
        <w:rPr>
          <w:rFonts w:ascii="Calibri" w:hAnsi="Calibri"/>
          <w:b/>
          <w:color w:val="1A6FB5"/>
          <w:sz w:val="24"/>
        </w:rPr>
        <w:t>9.1  Nos atouts</w:t>
      </w:r>
    </w:p>
    <w:p>
      <w:pPr>
        <w:pStyle w:val="ListBullet"/>
        <w:spacing w:before="40" w:after="40"/>
      </w:pPr>
      <w:r>
        <w:rPr>
          <w:rFonts w:ascii="Calibri" w:hAnsi="Calibri"/>
          <w:color w:val="333333"/>
          <w:sz w:val="21"/>
        </w:rPr>
        <w:t>Expertise prouvée en développement de plateformes e-gouvernement pour les ministères et administrations publiques</w:t>
      </w:r>
    </w:p>
    <w:p>
      <w:pPr>
        <w:pStyle w:val="ListBullet"/>
        <w:spacing w:before="40" w:after="40"/>
      </w:pPr>
      <w:r>
        <w:rPr>
          <w:rFonts w:ascii="Calibri" w:hAnsi="Calibri"/>
          <w:color w:val="333333"/>
          <w:sz w:val="21"/>
        </w:rPr>
        <w:t>Maîtrise des contextes réglementaires et juridiques du travail en République du Congo</w:t>
      </w:r>
    </w:p>
    <w:p>
      <w:pPr>
        <w:pStyle w:val="ListBullet"/>
        <w:spacing w:before="40" w:after="40"/>
      </w:pPr>
      <w:r>
        <w:rPr>
          <w:rFonts w:ascii="Calibri" w:hAnsi="Calibri"/>
          <w:color w:val="333333"/>
          <w:sz w:val="21"/>
        </w:rPr>
        <w:t>Équipe pluridisciplinaire : architectes logiciels, développeurs fullstack, experts UX/UI, spécialistes en sécurité informatique</w:t>
      </w:r>
    </w:p>
    <w:p>
      <w:pPr>
        <w:pStyle w:val="ListBullet"/>
        <w:spacing w:before="40" w:after="40"/>
      </w:pPr>
      <w:r>
        <w:rPr>
          <w:rFonts w:ascii="Calibri" w:hAnsi="Calibri"/>
          <w:color w:val="333333"/>
          <w:sz w:val="21"/>
        </w:rPr>
        <w:t>Utilisation des meilleures pratiques DevOps : CI/CD, tests automatisés, monitoring en continu</w:t>
      </w:r>
    </w:p>
    <w:p>
      <w:pPr>
        <w:pStyle w:val="ListBullet"/>
        <w:spacing w:before="40" w:after="40"/>
      </w:pPr>
      <w:r>
        <w:rPr>
          <w:rFonts w:ascii="Calibri" w:hAnsi="Calibri"/>
          <w:color w:val="333333"/>
          <w:sz w:val="21"/>
        </w:rPr>
        <w:t>Engagement fort sur la formation et le transfert de compétences vers les équipes locales</w:t>
      </w:r>
    </w:p>
    <w:p>
      <w:pPr>
        <w:pStyle w:val="ListBullet"/>
        <w:spacing w:before="40" w:after="40"/>
      </w:pPr>
      <w:r>
        <w:rPr>
          <w:rFonts w:ascii="Calibri" w:hAnsi="Calibri"/>
          <w:color w:val="333333"/>
          <w:sz w:val="21"/>
        </w:rPr>
        <w:t>Support local disponible 5j/7 avec escalade internationale si nécessaire</w:t>
      </w:r>
    </w:p>
    <w:p>
      <w:pPr>
        <w:spacing w:before="160" w:after="120"/>
      </w:pPr>
      <w:r>
        <w:rPr>
          <w:rFonts w:ascii="Calibri" w:hAnsi="Calibri"/>
          <w:b/>
          <w:color w:val="1A6FB5"/>
          <w:sz w:val="24"/>
        </w:rPr>
        <w:t>9.2  Références pertinentes</w:t>
      </w:r>
    </w:p>
    <w:p>
      <w:pPr>
        <w:pStyle w:val="ListBullet"/>
        <w:spacing w:before="40" w:after="40"/>
      </w:pPr>
      <w:r>
        <w:rPr>
          <w:rFonts w:ascii="Calibri" w:hAnsi="Calibri"/>
          <w:color w:val="333333"/>
          <w:sz w:val="21"/>
        </w:rPr>
        <w:t>Plateforme de gestion de projets et courrier administratif – Administration centrale</w:t>
      </w:r>
    </w:p>
    <w:p>
      <w:pPr>
        <w:pStyle w:val="ListBullet"/>
        <w:spacing w:before="40" w:after="40"/>
      </w:pPr>
      <w:r>
        <w:rPr>
          <w:rFonts w:ascii="Calibri" w:hAnsi="Calibri"/>
          <w:color w:val="333333"/>
          <w:sz w:val="21"/>
        </w:rPr>
        <w:t>Système de gestion des diligences et de la GED électronique – Secteur privé</w:t>
      </w:r>
    </w:p>
    <w:p>
      <w:pPr>
        <w:pStyle w:val="ListBullet"/>
        <w:spacing w:before="40" w:after="40"/>
      </w:pPr>
      <w:r>
        <w:rPr>
          <w:rFonts w:ascii="Calibri" w:hAnsi="Calibri"/>
          <w:color w:val="333333"/>
          <w:sz w:val="21"/>
        </w:rPr>
        <w:t>Plateforme e-commerce et paiement en ligne – Secteur commerce</w:t>
      </w:r>
    </w:p>
    <w:p>
      <w:pPr>
        <w:pStyle w:val="ListBullet"/>
        <w:spacing w:before="40" w:after="40"/>
      </w:pPr>
      <w:r>
        <w:rPr>
          <w:rFonts w:ascii="Calibri" w:hAnsi="Calibri"/>
          <w:color w:val="333333"/>
          <w:sz w:val="21"/>
        </w:rPr>
        <w:t>Solution de gestion de la publicité digitale – Médias et communication</w:t>
      </w:r>
    </w:p>
    <w:p>
      <w:pPr>
        <w:spacing w:before="160" w:after="120"/>
      </w:pPr>
      <w:r>
        <w:rPr>
          <w:rFonts w:ascii="Calibri" w:hAnsi="Calibri"/>
          <w:b/>
          <w:color w:val="1A6FB5"/>
          <w:sz w:val="24"/>
        </w:rPr>
        <w:t>9.3  Équipe projet dédiée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A336B"/>
          </w:tcPr>
          <w:p>
            <w:pPr>
              <w:spacing w:before="100" w:after="100"/>
            </w:pPr>
            <w:r>
              <w:rPr>
                <w:rFonts w:ascii="Calibri" w:hAnsi="Calibri"/>
                <w:b/>
                <w:color w:val="FFFFFF"/>
                <w:sz w:val="19"/>
              </w:rPr>
              <w:t>Rôle</w:t>
            </w:r>
          </w:p>
        </w:tc>
        <w:tc>
          <w:tcPr>
            <w:tcW w:type="dxa" w:w="3135"/>
            <w:shd w:val="clear" w:color="auto" w:fill="0A336B"/>
          </w:tcPr>
          <w:p>
            <w:pPr>
              <w:spacing w:before="100" w:after="100"/>
            </w:pPr>
            <w:r>
              <w:rPr>
                <w:rFonts w:ascii="Calibri" w:hAnsi="Calibri"/>
                <w:b/>
                <w:color w:val="FFFFFF"/>
                <w:sz w:val="19"/>
              </w:rPr>
              <w:t>Responsabilités</w:t>
            </w:r>
          </w:p>
        </w:tc>
        <w:tc>
          <w:tcPr>
            <w:tcW w:type="dxa" w:w="3135"/>
            <w:shd w:val="clear" w:color="auto" w:fill="0A336B"/>
          </w:tcPr>
          <w:p>
            <w:pPr>
              <w:spacing w:before="100" w:after="100"/>
            </w:pPr>
            <w:r>
              <w:rPr>
                <w:rFonts w:ascii="Calibri" w:hAnsi="Calibri"/>
                <w:b/>
                <w:color w:val="FFFFFF"/>
                <w:sz w:val="19"/>
              </w:rPr>
              <w:t>Disponibilité</w:t>
            </w:r>
          </w:p>
        </w:tc>
      </w:tr>
      <w:tr>
        <w:tc>
          <w:tcPr>
            <w:tcW w:type="dxa" w:w="3135"/>
            <w:shd w:val="clear" w:color="auto" w:fill="FFFFFF"/>
          </w:tcPr>
          <w:p>
            <w:pPr>
              <w:spacing w:before="100" w:after="100"/>
            </w:pPr>
            <w:r>
              <w:rPr>
                <w:rFonts w:ascii="Calibri" w:hAnsi="Calibri"/>
                <w:b/>
                <w:color w:val="333333"/>
                <w:sz w:val="19"/>
              </w:rPr>
              <w:t>Chef de projet</w:t>
            </w:r>
          </w:p>
        </w:tc>
        <w:tc>
          <w:tcPr>
            <w:tcW w:type="dxa" w:w="3135"/>
            <w:shd w:val="clear" w:color="auto" w:fill="FFFFFF"/>
          </w:tcPr>
          <w:p>
            <w:pPr>
              <w:spacing w:before="100" w:after="100"/>
            </w:pPr>
            <w:r>
              <w:rPr>
                <w:rFonts w:ascii="Calibri" w:hAnsi="Calibri"/>
                <w:b w:val="0"/>
                <w:color w:val="333333"/>
                <w:sz w:val="19"/>
              </w:rPr>
              <w:t>Pilotage, coordination, reporting DGT</w:t>
            </w:r>
          </w:p>
        </w:tc>
        <w:tc>
          <w:tcPr>
            <w:tcW w:type="dxa" w:w="3135"/>
            <w:shd w:val="clear" w:color="auto" w:fill="FFFFFF"/>
          </w:tcPr>
          <w:p>
            <w:pPr>
              <w:spacing w:before="100" w:after="100"/>
            </w:pPr>
            <w:r>
              <w:rPr>
                <w:rFonts w:ascii="Calibri" w:hAnsi="Calibri"/>
                <w:b w:val="0"/>
                <w:color w:val="333333"/>
                <w:sz w:val="19"/>
              </w:rPr>
              <w:t>100 %</w:t>
            </w:r>
          </w:p>
        </w:tc>
      </w:tr>
      <w:tr>
        <w:tc>
          <w:tcPr>
            <w:tcW w:type="dxa" w:w="3135"/>
            <w:shd w:val="clear" w:color="auto" w:fill="F2F5FA"/>
          </w:tcPr>
          <w:p>
            <w:pPr>
              <w:spacing w:before="100" w:after="100"/>
            </w:pPr>
            <w:r>
              <w:rPr>
                <w:rFonts w:ascii="Calibri" w:hAnsi="Calibri"/>
                <w:b/>
                <w:color w:val="333333"/>
                <w:sz w:val="19"/>
              </w:rPr>
              <w:t>Architecte technique</w:t>
            </w:r>
          </w:p>
        </w:tc>
        <w:tc>
          <w:tcPr>
            <w:tcW w:type="dxa" w:w="3135"/>
            <w:shd w:val="clear" w:color="auto" w:fill="F2F5FA"/>
          </w:tcPr>
          <w:p>
            <w:pPr>
              <w:spacing w:before="100" w:after="100"/>
            </w:pPr>
            <w:r>
              <w:rPr>
                <w:rFonts w:ascii="Calibri" w:hAnsi="Calibri"/>
                <w:b w:val="0"/>
                <w:color w:val="333333"/>
                <w:sz w:val="19"/>
              </w:rPr>
              <w:t>Architecture, choix technologiques, sécurité</w:t>
            </w:r>
          </w:p>
        </w:tc>
        <w:tc>
          <w:tcPr>
            <w:tcW w:type="dxa" w:w="3135"/>
            <w:shd w:val="clear" w:color="auto" w:fill="F2F5FA"/>
          </w:tcPr>
          <w:p>
            <w:pPr>
              <w:spacing w:before="100" w:after="100"/>
            </w:pPr>
            <w:r>
              <w:rPr>
                <w:rFonts w:ascii="Calibri" w:hAnsi="Calibri"/>
                <w:b w:val="0"/>
                <w:color w:val="333333"/>
                <w:sz w:val="19"/>
              </w:rPr>
              <w:t>50 %</w:t>
            </w:r>
          </w:p>
        </w:tc>
      </w:tr>
      <w:tr>
        <w:tc>
          <w:tcPr>
            <w:tcW w:type="dxa" w:w="3135"/>
            <w:shd w:val="clear" w:color="auto" w:fill="FFFFFF"/>
          </w:tcPr>
          <w:p>
            <w:pPr>
              <w:spacing w:before="100" w:after="100"/>
            </w:pPr>
            <w:r>
              <w:rPr>
                <w:rFonts w:ascii="Calibri" w:hAnsi="Calibri"/>
                <w:b/>
                <w:color w:val="333333"/>
                <w:sz w:val="19"/>
              </w:rPr>
              <w:t>Développeur Backend senior</w:t>
            </w:r>
          </w:p>
        </w:tc>
        <w:tc>
          <w:tcPr>
            <w:tcW w:type="dxa" w:w="3135"/>
            <w:shd w:val="clear" w:color="auto" w:fill="FFFFFF"/>
          </w:tcPr>
          <w:p>
            <w:pPr>
              <w:spacing w:before="100" w:after="100"/>
            </w:pPr>
            <w:r>
              <w:rPr>
                <w:rFonts w:ascii="Calibri" w:hAnsi="Calibri"/>
                <w:b w:val="0"/>
                <w:color w:val="333333"/>
                <w:sz w:val="19"/>
              </w:rPr>
              <w:t>Django API, base de données, intégrations</w:t>
            </w:r>
          </w:p>
        </w:tc>
        <w:tc>
          <w:tcPr>
            <w:tcW w:type="dxa" w:w="3135"/>
            <w:shd w:val="clear" w:color="auto" w:fill="FFFFFF"/>
          </w:tcPr>
          <w:p>
            <w:pPr>
              <w:spacing w:before="100" w:after="100"/>
            </w:pPr>
            <w:r>
              <w:rPr>
                <w:rFonts w:ascii="Calibri" w:hAnsi="Calibri"/>
                <w:b w:val="0"/>
                <w:color w:val="333333"/>
                <w:sz w:val="19"/>
              </w:rPr>
              <w:t>100 %</w:t>
            </w:r>
          </w:p>
        </w:tc>
      </w:tr>
      <w:tr>
        <w:tc>
          <w:tcPr>
            <w:tcW w:type="dxa" w:w="3135"/>
            <w:shd w:val="clear" w:color="auto" w:fill="F2F5FA"/>
          </w:tcPr>
          <w:p>
            <w:pPr>
              <w:spacing w:before="100" w:after="100"/>
            </w:pPr>
            <w:r>
              <w:rPr>
                <w:rFonts w:ascii="Calibri" w:hAnsi="Calibri"/>
                <w:b/>
                <w:color w:val="333333"/>
                <w:sz w:val="19"/>
              </w:rPr>
              <w:t>Développeur Frontend senior</w:t>
            </w:r>
          </w:p>
        </w:tc>
        <w:tc>
          <w:tcPr>
            <w:tcW w:type="dxa" w:w="3135"/>
            <w:shd w:val="clear" w:color="auto" w:fill="F2F5FA"/>
          </w:tcPr>
          <w:p>
            <w:pPr>
              <w:spacing w:before="100" w:after="100"/>
            </w:pPr>
            <w:r>
              <w:rPr>
                <w:rFonts w:ascii="Calibri" w:hAnsi="Calibri"/>
                <w:b w:val="0"/>
                <w:color w:val="333333"/>
                <w:sz w:val="19"/>
              </w:rPr>
              <w:t>Interfaces web, responsive, accessibilité</w:t>
            </w:r>
          </w:p>
        </w:tc>
        <w:tc>
          <w:tcPr>
            <w:tcW w:type="dxa" w:w="3135"/>
            <w:shd w:val="clear" w:color="auto" w:fill="F2F5FA"/>
          </w:tcPr>
          <w:p>
            <w:pPr>
              <w:spacing w:before="100" w:after="100"/>
            </w:pPr>
            <w:r>
              <w:rPr>
                <w:rFonts w:ascii="Calibri" w:hAnsi="Calibri"/>
                <w:b w:val="0"/>
                <w:color w:val="333333"/>
                <w:sz w:val="19"/>
              </w:rPr>
              <w:t>100 %</w:t>
            </w:r>
          </w:p>
        </w:tc>
      </w:tr>
      <w:tr>
        <w:tc>
          <w:tcPr>
            <w:tcW w:type="dxa" w:w="3135"/>
            <w:shd w:val="clear" w:color="auto" w:fill="FFFFFF"/>
          </w:tcPr>
          <w:p>
            <w:pPr>
              <w:spacing w:before="100" w:after="100"/>
            </w:pPr>
            <w:r>
              <w:rPr>
                <w:rFonts w:ascii="Calibri" w:hAnsi="Calibri"/>
                <w:b/>
                <w:color w:val="333333"/>
                <w:sz w:val="19"/>
              </w:rPr>
              <w:t>Expert IA / Data</w:t>
            </w:r>
          </w:p>
        </w:tc>
        <w:tc>
          <w:tcPr>
            <w:tcW w:type="dxa" w:w="3135"/>
            <w:shd w:val="clear" w:color="auto" w:fill="FFFFFF"/>
          </w:tcPr>
          <w:p>
            <w:pPr>
              <w:spacing w:before="100" w:after="100"/>
            </w:pPr>
            <w:r>
              <w:rPr>
                <w:rFonts w:ascii="Calibri" w:hAnsi="Calibri"/>
                <w:b w:val="0"/>
                <w:color w:val="333333"/>
                <w:sz w:val="19"/>
              </w:rPr>
              <w:t>Chatbot, OCR, observatoire, statistiques</w:t>
            </w:r>
          </w:p>
        </w:tc>
        <w:tc>
          <w:tcPr>
            <w:tcW w:type="dxa" w:w="3135"/>
            <w:shd w:val="clear" w:color="auto" w:fill="FFFFFF"/>
          </w:tcPr>
          <w:p>
            <w:pPr>
              <w:spacing w:before="100" w:after="100"/>
            </w:pPr>
            <w:r>
              <w:rPr>
                <w:rFonts w:ascii="Calibri" w:hAnsi="Calibri"/>
                <w:b w:val="0"/>
                <w:color w:val="333333"/>
                <w:sz w:val="19"/>
              </w:rPr>
              <w:t>50 %</w:t>
            </w:r>
          </w:p>
        </w:tc>
      </w:tr>
      <w:tr>
        <w:tc>
          <w:tcPr>
            <w:tcW w:type="dxa" w:w="3135"/>
            <w:shd w:val="clear" w:color="auto" w:fill="F2F5FA"/>
          </w:tcPr>
          <w:p>
            <w:pPr>
              <w:spacing w:before="100" w:after="100"/>
            </w:pPr>
            <w:r>
              <w:rPr>
                <w:rFonts w:ascii="Calibri" w:hAnsi="Calibri"/>
                <w:b/>
                <w:color w:val="333333"/>
                <w:sz w:val="19"/>
              </w:rPr>
              <w:t>Spécialiste formation</w:t>
            </w:r>
          </w:p>
        </w:tc>
        <w:tc>
          <w:tcPr>
            <w:tcW w:type="dxa" w:w="3135"/>
            <w:shd w:val="clear" w:color="auto" w:fill="F2F5FA"/>
          </w:tcPr>
          <w:p>
            <w:pPr>
              <w:spacing w:before="100" w:after="100"/>
            </w:pPr>
            <w:r>
              <w:rPr>
                <w:rFonts w:ascii="Calibri" w:hAnsi="Calibri"/>
                <w:b w:val="0"/>
                <w:color w:val="333333"/>
                <w:sz w:val="19"/>
              </w:rPr>
              <w:t>Formation, guides utilisateur, accompagnement</w:t>
            </w:r>
          </w:p>
        </w:tc>
        <w:tc>
          <w:tcPr>
            <w:tcW w:type="dxa" w:w="3135"/>
            <w:shd w:val="clear" w:color="auto" w:fill="F2F5FA"/>
          </w:tcPr>
          <w:p>
            <w:pPr>
              <w:spacing w:before="100" w:after="100"/>
            </w:pPr>
            <w:r>
              <w:rPr>
                <w:rFonts w:ascii="Calibri" w:hAnsi="Calibri"/>
                <w:b w:val="0"/>
                <w:color w:val="333333"/>
                <w:sz w:val="19"/>
              </w:rPr>
              <w:t>75 %</w:t>
            </w:r>
          </w:p>
        </w:tc>
      </w:tr>
      <w:tr>
        <w:tc>
          <w:tcPr>
            <w:tcW w:type="dxa" w:w="3135"/>
            <w:shd w:val="clear" w:color="auto" w:fill="FFFFFF"/>
          </w:tcPr>
          <w:p>
            <w:pPr>
              <w:spacing w:before="100" w:after="100"/>
            </w:pPr>
            <w:r>
              <w:rPr>
                <w:rFonts w:ascii="Calibri" w:hAnsi="Calibri"/>
                <w:b/>
                <w:color w:val="333333"/>
                <w:sz w:val="19"/>
              </w:rPr>
              <w:t>Support technique</w:t>
            </w:r>
          </w:p>
        </w:tc>
        <w:tc>
          <w:tcPr>
            <w:tcW w:type="dxa" w:w="3135"/>
            <w:shd w:val="clear" w:color="auto" w:fill="FFFFFF"/>
          </w:tcPr>
          <w:p>
            <w:pPr>
              <w:spacing w:before="100" w:after="100"/>
            </w:pPr>
            <w:r>
              <w:rPr>
                <w:rFonts w:ascii="Calibri" w:hAnsi="Calibri"/>
                <w:b w:val="0"/>
                <w:color w:val="333333"/>
                <w:sz w:val="19"/>
              </w:rPr>
              <w:t>Helpdesk, maintenance, monitoring</w:t>
            </w:r>
          </w:p>
        </w:tc>
        <w:tc>
          <w:tcPr>
            <w:tcW w:type="dxa" w:w="3135"/>
            <w:shd w:val="clear" w:color="auto" w:fill="FFFFFF"/>
          </w:tcPr>
          <w:p>
            <w:pPr>
              <w:spacing w:before="100" w:after="100"/>
            </w:pPr>
            <w:r>
              <w:rPr>
                <w:rFonts w:ascii="Calibri" w:hAnsi="Calibri"/>
                <w:b w:val="0"/>
                <w:color w:val="333333"/>
                <w:sz w:val="19"/>
              </w:rPr>
              <w:t>100 %</w:t>
            </w:r>
          </w:p>
        </w:tc>
      </w:tr>
    </w:tbl>
    <w:p>
      <w:r>
        <w:br w:type="page"/>
      </w:r>
    </w:p>
    <w:p>
      <w:pPr>
        <w:spacing w:before="360" w:after="120"/>
      </w:pPr>
      <w:r>
        <w:rPr>
          <w:rFonts w:ascii="Calibri" w:hAnsi="Calibri"/>
          <w:b/>
          <w:color w:val="0A336B"/>
          <w:sz w:val="30"/>
        </w:rPr>
        <w:t>10.  CONDITIONS GÉNÉRALES</w:t>
      </w:r>
    </w:p>
    <w:p>
      <w:pPr>
        <w:pBdr>
          <w:bottom w:val="single" w:sz="8" w:space="1" w:color="0A336B"/>
        </w:pBdr>
        <w:spacing w:before="40" w:after="40"/>
      </w:pPr>
    </w:p>
    <w:p/>
    <w:p>
      <w:pPr>
        <w:spacing w:before="160" w:after="60"/>
      </w:pPr>
      <w:r>
        <w:rPr>
          <w:rFonts w:ascii="Calibri" w:hAnsi="Calibri"/>
          <w:b/>
          <w:color w:val="1A6FB5"/>
          <w:sz w:val="22"/>
        </w:rPr>
        <w:t>Propriété intellectuelle</w:t>
      </w:r>
    </w:p>
    <w:p>
      <w:pPr>
        <w:spacing w:before="60" w:after="60" w:line="360" w:lineRule="auto"/>
        <w:jc w:val="both"/>
      </w:pPr>
      <w:r>
        <w:rPr>
          <w:rFonts w:ascii="Calibri" w:hAnsi="Calibri"/>
          <w:i w:val="0"/>
          <w:color w:val="333333"/>
          <w:sz w:val="21"/>
        </w:rPr>
        <w:t>La licence accordée à la Direction Générale du Travail est perpétuelle et non exclusive. Le code source de la personnalisation métier peut être cédé en propriété à l'issue d'un accord complémentaire.</w:t>
      </w:r>
    </w:p>
    <w:p>
      <w:pPr>
        <w:spacing w:before="160" w:after="60"/>
      </w:pPr>
      <w:r>
        <w:rPr>
          <w:rFonts w:ascii="Calibri" w:hAnsi="Calibri"/>
          <w:b/>
          <w:color w:val="1A6FB5"/>
          <w:sz w:val="22"/>
        </w:rPr>
        <w:t>Confidentialité</w:t>
      </w:r>
    </w:p>
    <w:p>
      <w:pPr>
        <w:spacing w:before="60" w:after="60" w:line="360" w:lineRule="auto"/>
        <w:jc w:val="both"/>
      </w:pPr>
      <w:r>
        <w:rPr>
          <w:rFonts w:ascii="Calibri" w:hAnsi="Calibri"/>
          <w:i w:val="0"/>
          <w:color w:val="333333"/>
          <w:sz w:val="21"/>
        </w:rPr>
        <w:t>Numerix Digital s'engage à maintenir la stricte confidentialité de toutes les informations, données et documents mis à disposition dans le cadre du projet, et ce sans limitation de durée.</w:t>
      </w:r>
    </w:p>
    <w:p>
      <w:pPr>
        <w:spacing w:before="160" w:after="60"/>
      </w:pPr>
      <w:r>
        <w:rPr>
          <w:rFonts w:ascii="Calibri" w:hAnsi="Calibri"/>
          <w:b/>
          <w:color w:val="1A6FB5"/>
          <w:sz w:val="22"/>
        </w:rPr>
        <w:t>Protection des données personnelles</w:t>
      </w:r>
    </w:p>
    <w:p>
      <w:pPr>
        <w:spacing w:before="60" w:after="60" w:line="360" w:lineRule="auto"/>
        <w:jc w:val="both"/>
      </w:pPr>
      <w:r>
        <w:rPr>
          <w:rFonts w:ascii="Calibri" w:hAnsi="Calibri"/>
          <w:i w:val="0"/>
          <w:color w:val="333333"/>
          <w:sz w:val="21"/>
        </w:rPr>
        <w:t>La plateforme est conçue dans le respect des principes RGPD. Les données personnelles des travailleurs et employeurs ne seront jamais utilisées à des fins commerciales.</w:t>
      </w:r>
    </w:p>
    <w:p>
      <w:pPr>
        <w:spacing w:before="160" w:after="60"/>
      </w:pPr>
      <w:r>
        <w:rPr>
          <w:rFonts w:ascii="Calibri" w:hAnsi="Calibri"/>
          <w:b/>
          <w:color w:val="1A6FB5"/>
          <w:sz w:val="22"/>
        </w:rPr>
        <w:t>Droit applicable</w:t>
      </w:r>
    </w:p>
    <w:p>
      <w:pPr>
        <w:spacing w:before="60" w:after="60" w:line="360" w:lineRule="auto"/>
        <w:jc w:val="both"/>
      </w:pPr>
      <w:r>
        <w:rPr>
          <w:rFonts w:ascii="Calibri" w:hAnsi="Calibri"/>
          <w:i w:val="0"/>
          <w:color w:val="333333"/>
          <w:sz w:val="21"/>
        </w:rPr>
        <w:t>Le présent contrat est régi par le droit congolais. Tout litige sera porté devant les tribunaux compétents de Brazzaville, République du Congo.</w:t>
      </w:r>
    </w:p>
    <w:p>
      <w:pPr>
        <w:spacing w:before="160" w:after="60"/>
      </w:pPr>
      <w:r>
        <w:rPr>
          <w:rFonts w:ascii="Calibri" w:hAnsi="Calibri"/>
          <w:b/>
          <w:color w:val="1A6FB5"/>
          <w:sz w:val="22"/>
        </w:rPr>
        <w:t>Validité de l'offre</w:t>
      </w:r>
    </w:p>
    <w:p>
      <w:pPr>
        <w:spacing w:before="60" w:after="60" w:line="360" w:lineRule="auto"/>
        <w:jc w:val="both"/>
      </w:pPr>
      <w:r>
        <w:rPr>
          <w:rFonts w:ascii="Calibri" w:hAnsi="Calibri"/>
          <w:i w:val="0"/>
          <w:color w:val="333333"/>
          <w:sz w:val="21"/>
        </w:rPr>
        <w:t>La présente offre est valable pour une durée de 90 jours à compter de sa date d'émission, soit jusqu'au 11 September 2026.</w:t>
      </w:r>
    </w:p>
    <w:p>
      <w:pPr>
        <w:spacing w:before="160" w:after="60"/>
      </w:pPr>
      <w:r>
        <w:rPr>
          <w:rFonts w:ascii="Calibri" w:hAnsi="Calibri"/>
          <w:b/>
          <w:color w:val="1A6FB5"/>
          <w:sz w:val="22"/>
        </w:rPr>
        <w:t>Sous-traitance</w:t>
      </w:r>
    </w:p>
    <w:p>
      <w:pPr>
        <w:spacing w:before="60" w:after="60" w:line="360" w:lineRule="auto"/>
        <w:jc w:val="both"/>
      </w:pPr>
      <w:r>
        <w:rPr>
          <w:rFonts w:ascii="Calibri" w:hAnsi="Calibri"/>
          <w:i w:val="0"/>
          <w:color w:val="333333"/>
          <w:sz w:val="21"/>
        </w:rPr>
        <w:t>Numerix Digital pourra faire appel à des sous-traitants pour des prestations spécifiques (hébergement cloud, sécurité). La responsabilité principale reste celle de Numerix Digital.</w:t>
      </w:r>
    </w:p>
    <w:p/>
    <w:p>
      <w:pPr>
        <w:pBdr>
          <w:bottom w:val="single" w:sz="8" w:space="1" w:color="0A336B"/>
        </w:pBdr>
        <w:spacing w:before="40" w:after="40"/>
      </w:pPr>
    </w:p>
    <w:p>
      <w:pPr>
        <w:spacing w:before="320" w:after="120"/>
      </w:pPr>
      <w:r>
        <w:rPr>
          <w:rFonts w:ascii="Calibri" w:hAnsi="Calibri"/>
          <w:b/>
          <w:color w:val="0A336B"/>
          <w:sz w:val="24"/>
        </w:rPr>
        <w:t>Acceptation de l'offre</w:t>
      </w:r>
    </w:p>
    <w:p>
      <w:pPr>
        <w:spacing w:before="60" w:after="60" w:line="360" w:lineRule="auto"/>
        <w:jc w:val="both"/>
      </w:pPr>
      <w:r>
        <w:rPr>
          <w:rFonts w:ascii="Calibri" w:hAnsi="Calibri"/>
          <w:i w:val="0"/>
          <w:color w:val="333333"/>
          <w:sz w:val="21"/>
        </w:rPr>
        <w:t>Pour accepter la présente offre, veuillez retourner ce document signé et revêtu du cachet officiel de la Direction Générale du Travail à l'adresse : franckalain.ai@gmail.com</w:t>
      </w:r>
    </w:p>
    <w:p/>
    <w:tbl>
      <w:tblPr>
        <w:tblW w:type="auto" w:w="0"/>
        <w:jc w:val="center"/>
        <w:tblLook w:firstColumn="1" w:firstRow="1" w:lastColumn="0" w:lastRow="0" w:noHBand="0" w:noVBand="1" w:val="04A0"/>
      </w:tblPr>
      <w:tblGrid>
        <w:gridCol w:w="4703"/>
        <w:gridCol w:w="4703"/>
      </w:tblGrid>
      <w:tr>
        <w:tc>
          <w:tcPr>
            <w:tcW w:type="dxa" w:w="4703"/>
            <w:shd w:val="clear" w:color="auto" w:fill="0A336B"/>
          </w:tcPr>
          <w:p>
            <w:pPr>
              <w:spacing w:before="120" w:after="120"/>
              <w:jc w:val="center"/>
            </w:pPr>
            <w:r>
              <w:rPr>
                <w:rFonts w:ascii="Calibri" w:hAnsi="Calibri"/>
                <w:b/>
                <w:color w:val="FFFFFF"/>
                <w:sz w:val="20"/>
              </w:rPr>
              <w:t>Pour Numerix Digital</w:t>
            </w:r>
          </w:p>
        </w:tc>
        <w:tc>
          <w:tcPr>
            <w:tcW w:type="dxa" w:w="4703"/>
            <w:shd w:val="clear" w:color="auto" w:fill="0A336B"/>
          </w:tcPr>
          <w:p>
            <w:pPr>
              <w:spacing w:before="120" w:after="120"/>
              <w:jc w:val="center"/>
            </w:pPr>
            <w:r>
              <w:rPr>
                <w:rFonts w:ascii="Calibri" w:hAnsi="Calibri"/>
                <w:b/>
                <w:color w:val="FFFFFF"/>
                <w:sz w:val="20"/>
              </w:rPr>
              <w:t>Pour la Direction Générale du Travail</w:t>
            </w:r>
          </w:p>
        </w:tc>
      </w:tr>
      <w:tr>
        <w:tc>
          <w:tcPr>
            <w:tcW w:type="dxa" w:w="4703"/>
          </w:tcPr>
          <w:p>
            <w:pPr>
              <w:spacing w:before="120" w:after="120"/>
            </w:pPr>
            <w:r>
              <w:rPr>
                <w:rFonts w:ascii="Calibri" w:hAnsi="Calibri"/>
                <w:color w:val="333333"/>
                <w:sz w:val="20"/>
              </w:rPr>
              <w:t>Nom et titre :</w:t>
            </w:r>
          </w:p>
        </w:tc>
        <w:tc>
          <w:tcPr>
            <w:tcW w:type="dxa" w:w="4703"/>
          </w:tcPr>
          <w:p>
            <w:pPr>
              <w:spacing w:before="120" w:after="120"/>
            </w:pPr>
            <w:r>
              <w:rPr>
                <w:rFonts w:ascii="Calibri" w:hAnsi="Calibri"/>
                <w:color w:val="333333"/>
                <w:sz w:val="20"/>
              </w:rPr>
              <w:t>Nom et titre :</w:t>
            </w:r>
          </w:p>
        </w:tc>
      </w:tr>
      <w:tr>
        <w:tc>
          <w:tcPr>
            <w:tcW w:type="dxa" w:w="4703"/>
          </w:tcPr>
          <w:p>
            <w:pPr>
              <w:spacing w:before="120" w:after="120"/>
            </w:pPr>
            <w:r>
              <w:rPr>
                <w:rFonts w:ascii="Calibri" w:hAnsi="Calibri"/>
                <w:color w:val="333333"/>
                <w:sz w:val="20"/>
              </w:rPr>
              <w:t>Date :</w:t>
            </w:r>
          </w:p>
        </w:tc>
        <w:tc>
          <w:tcPr>
            <w:tcW w:type="dxa" w:w="4703"/>
          </w:tcPr>
          <w:p>
            <w:pPr>
              <w:spacing w:before="120" w:after="120"/>
            </w:pPr>
            <w:r>
              <w:rPr>
                <w:rFonts w:ascii="Calibri" w:hAnsi="Calibri"/>
                <w:color w:val="333333"/>
                <w:sz w:val="20"/>
              </w:rPr>
              <w:t>Date :</w:t>
            </w:r>
          </w:p>
        </w:tc>
      </w:tr>
      <w:tr>
        <w:tc>
          <w:tcPr>
            <w:tcW w:type="dxa" w:w="4703"/>
          </w:tcPr>
          <w:p>
            <w:pPr>
              <w:spacing w:before="120" w:after="400"/>
            </w:pPr>
            <w:r>
              <w:rPr>
                <w:rFonts w:ascii="Calibri" w:hAnsi="Calibri"/>
                <w:color w:val="333333"/>
                <w:sz w:val="20"/>
              </w:rPr>
              <w:t>Signature et cachet :</w:t>
            </w:r>
          </w:p>
        </w:tc>
        <w:tc>
          <w:tcPr>
            <w:tcW w:type="dxa" w:w="4703"/>
          </w:tcPr>
          <w:p>
            <w:pPr>
              <w:spacing w:before="120" w:after="400"/>
            </w:pPr>
            <w:r>
              <w:rPr>
                <w:rFonts w:ascii="Calibri" w:hAnsi="Calibri"/>
                <w:color w:val="333333"/>
                <w:sz w:val="20"/>
              </w:rPr>
              <w:t>Signature et cachet :</w:t>
            </w:r>
          </w:p>
        </w:tc>
      </w:tr>
    </w:tbl>
    <w:p/>
    <w:p>
      <w:pPr>
        <w:spacing w:before="400"/>
        <w:jc w:val="center"/>
      </w:pPr>
      <w:r>
        <w:rPr>
          <w:rFonts w:ascii="Calibri" w:hAnsi="Calibri"/>
          <w:i/>
          <w:color w:val="1A6FB5"/>
          <w:sz w:val="17"/>
        </w:rPr>
        <w:t>Numerix Digital  |  numerix.digital@gmail.com  |  franckalain.ai@gmail.com</w:t>
        <w:br/>
        <w:t>Production API : api-e-inspection.numerix.digital  |  Réf. OC-DGT-2026-001</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