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3135"/>
        <w:gridCol w:w="3135"/>
        <w:gridCol w:w="3135"/>
      </w:tblGrid>
      <w:tr>
        <w:tc>
          <w:tcPr>
            <w:tcW w:type="dxa" w:w="3118"/>
            <w:shd w:val="clear" w:color="auto" w:fill="F47E1C"/>
          </w:tcPr>
          <w:p>
            <w:pPr>
              <w:spacing w:before="80" w:after="80"/>
            </w:pPr>
          </w:p>
        </w:tc>
        <w:tc>
          <w:tcPr>
            <w:tcW w:type="dxa" w:w="3118"/>
            <w:shd w:val="clear" w:color="auto" w:fill="FFFFFF"/>
          </w:tcPr>
          <w:p>
            <w:pPr>
              <w:spacing w:before="80" w:after="80"/>
            </w:pPr>
          </w:p>
        </w:tc>
        <w:tc>
          <w:tcPr>
            <w:tcW w:type="dxa" w:w="3118"/>
            <w:shd w:val="clear" w:color="auto" w:fill="009A44"/>
          </w:tcPr>
          <w:p>
            <w:pPr>
              <w:spacing w:before="80" w:after="80"/>
            </w:pPr>
          </w:p>
        </w:tc>
      </w:tr>
    </w:tbl>
    <w:p/>
    <w:tbl>
      <w:tblPr>
        <w:tblW w:type="auto" w:w="0"/>
        <w:jc w:val="center"/>
        <w:tblLook w:firstColumn="1" w:firstRow="1" w:lastColumn="0" w:lastRow="0" w:noHBand="0" w:noVBand="1" w:val="04A0"/>
      </w:tblPr>
      <w:tblGrid>
        <w:gridCol w:w="9406"/>
      </w:tblGrid>
      <w:tr>
        <w:tc>
          <w:tcPr>
            <w:tcW w:type="dxa" w:w="9406"/>
            <w:shd w:val="clear" w:color="auto" w:fill="00347C"/>
            <w:vAlign w:val="center"/>
          </w:tcPr>
          <w:p>
            <w:pPr>
              <w:spacing w:before="280" w:after="80"/>
              <w:jc w:val="center"/>
            </w:pPr>
            <w:r>
              <w:rPr>
                <w:rFonts w:ascii="Calibri" w:hAnsi="Calibri"/>
                <w:b/>
                <w:color w:val="FFFFFF"/>
                <w:sz w:val="28"/>
              </w:rPr>
              <w:t>RÉPUBLIQUE DE CÔTE D'IVOIRE</w:t>
            </w:r>
          </w:p>
          <w:p>
            <w:pPr>
              <w:spacing w:before="0" w:after="80"/>
              <w:jc w:val="center"/>
            </w:pPr>
            <w:r>
              <w:rPr>
                <w:rFonts w:ascii="Calibri" w:hAnsi="Calibri"/>
                <w:i/>
                <w:color w:val="CCDDFF"/>
                <w:sz w:val="20"/>
              </w:rPr>
              <w:t>Union – Discipline – Travail</w:t>
            </w:r>
          </w:p>
          <w:p>
            <w:pPr>
              <w:spacing w:before="0" w:after="280"/>
              <w:jc w:val="center"/>
            </w:pPr>
            <w:r>
              <w:rPr>
                <w:rFonts w:ascii="Calibri" w:hAnsi="Calibri"/>
                <w:color w:val="E0ECFF"/>
                <w:sz w:val="24"/>
              </w:rPr>
              <w:t>Ministère de l'Emploi et de la Protection Sociale</w:t>
            </w:r>
          </w:p>
        </w:tc>
      </w:tr>
    </w:tbl>
    <w:p/>
    <w:p>
      <w:pPr>
        <w:spacing w:before="120" w:after="120"/>
        <w:jc w:val="center"/>
      </w:pPr>
      <w:r>
        <w:rPr>
          <w:rFonts w:ascii="Calibri" w:hAnsi="Calibri"/>
          <w:b/>
          <w:color w:val="00347C"/>
          <w:sz w:val="64"/>
        </w:rPr>
        <w:t>OFFRE COMMERCIALE</w:t>
      </w:r>
    </w:p>
    <w:p>
      <w:pPr>
        <w:spacing w:before="120" w:after="120"/>
        <w:jc w:val="center"/>
      </w:pPr>
      <w:r>
        <w:rPr>
          <w:rFonts w:ascii="Calibri" w:hAnsi="Calibri"/>
          <w:b/>
          <w:color w:val="F47E1C"/>
          <w:sz w:val="48"/>
        </w:rPr>
        <w:t>Plateforme Nationale</w:t>
      </w:r>
    </w:p>
    <w:p>
      <w:pPr>
        <w:spacing w:before="120" w:after="120"/>
        <w:jc w:val="center"/>
      </w:pPr>
      <w:r>
        <w:rPr>
          <w:rFonts w:ascii="Calibri" w:hAnsi="Calibri"/>
          <w:b/>
          <w:color w:val="009A44"/>
          <w:sz w:val="48"/>
        </w:rPr>
        <w:t>e-Inspection du Travail</w:t>
      </w:r>
    </w:p>
    <w:p>
      <w:pPr>
        <w:spacing w:before="120" w:after="120"/>
        <w:jc w:val="center"/>
      </w:pPr>
      <w:r>
        <w:rPr>
          <w:rFonts w:ascii="Calibri" w:hAnsi="Calibri"/>
          <w:b/>
          <w:color w:val="666666"/>
          <w:sz w:val="28"/>
        </w:rPr>
        <w:t>— Côte d'Ivoire —</w:t>
      </w:r>
    </w:p>
    <w:p>
      <w:pPr>
        <w:pBdr>
          <w:bottom w:val="single" w:sz="8" w:space="1" w:color="F47E1C"/>
        </w:pBdr>
        <w:spacing w:before="20" w:after="40"/>
      </w:pPr>
    </w:p>
    <w:p/>
    <w:tbl>
      <w:tblPr>
        <w:tblW w:type="auto" w:w="0"/>
        <w:jc w:val="center"/>
        <w:tblLook w:firstColumn="1" w:firstRow="1" w:lastColumn="0" w:lastRow="0" w:noHBand="0" w:noVBand="1" w:val="04A0"/>
      </w:tblPr>
      <w:tblGrid>
        <w:gridCol w:w="9406"/>
      </w:tblGrid>
      <w:tr>
        <w:tc>
          <w:tcPr>
            <w:tcW w:type="dxa" w:w="9406"/>
            <w:shd w:val="clear" w:color="auto" w:fill="DCF0FF"/>
          </w:tcPr>
          <w:p>
            <w:pPr>
              <w:spacing w:before="240" w:after="240"/>
              <w:jc w:val="center"/>
            </w:pPr>
            <w:r>
              <w:rPr>
                <w:rFonts w:ascii="Calibri" w:hAnsi="Calibri"/>
                <w:i/>
                <w:color w:val="00347C"/>
                <w:sz w:val="24"/>
              </w:rPr>
              <w:t>Solution intégrée de digitalisation de l'inspection du travail,</w:t>
              <w:br/>
              <w:t>de gestion des plaintes sociales, de médiation et de conciliation</w:t>
              <w:br/>
              <w:t>pour la Direction Générale du Travail de Côte d'Ivoire</w:t>
            </w:r>
          </w:p>
        </w:tc>
      </w:tr>
    </w:tbl>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0347C"/>
          </w:tcPr>
          <w:p>
            <w:pPr>
              <w:spacing w:before="120" w:after="120"/>
            </w:pPr>
            <w:r>
              <w:rPr>
                <w:rFonts w:ascii="Calibri" w:hAnsi="Calibri"/>
                <w:b/>
                <w:color w:val="FFFFFF"/>
                <w:sz w:val="20"/>
              </w:rPr>
              <w:t>Destinataire</w:t>
            </w:r>
          </w:p>
        </w:tc>
        <w:tc>
          <w:tcPr>
            <w:tcW w:type="dxa" w:w="4703"/>
            <w:shd w:val="clear" w:color="auto" w:fill="F5F7FA"/>
          </w:tcPr>
          <w:p>
            <w:pPr>
              <w:spacing w:before="120" w:after="120"/>
            </w:pPr>
            <w:r>
              <w:rPr>
                <w:rFonts w:ascii="Calibri" w:hAnsi="Calibri"/>
                <w:b w:val="0"/>
                <w:color w:val="2D2D2D"/>
                <w:sz w:val="20"/>
              </w:rPr>
              <w:t>Direction Générale du Travail (DGT) – Ministère de l'Emploi et de la Protection Sociale</w:t>
            </w:r>
          </w:p>
        </w:tc>
      </w:tr>
      <w:tr>
        <w:tc>
          <w:tcPr>
            <w:tcW w:type="dxa" w:w="4703"/>
            <w:shd w:val="clear" w:color="auto" w:fill="00347C"/>
          </w:tcPr>
          <w:p>
            <w:pPr>
              <w:spacing w:before="120" w:after="120"/>
            </w:pPr>
            <w:r>
              <w:rPr>
                <w:rFonts w:ascii="Calibri" w:hAnsi="Calibri"/>
                <w:b/>
                <w:color w:val="FFFFFF"/>
                <w:sz w:val="20"/>
              </w:rPr>
              <w:t>Adresse</w:t>
            </w:r>
          </w:p>
        </w:tc>
        <w:tc>
          <w:tcPr>
            <w:tcW w:type="dxa" w:w="4703"/>
            <w:shd w:val="clear" w:color="auto" w:fill="FFFFFF"/>
          </w:tcPr>
          <w:p>
            <w:pPr>
              <w:spacing w:before="120" w:after="120"/>
            </w:pPr>
            <w:r>
              <w:rPr>
                <w:rFonts w:ascii="Calibri" w:hAnsi="Calibri"/>
                <w:b w:val="0"/>
                <w:color w:val="2D2D2D"/>
                <w:sz w:val="20"/>
              </w:rPr>
              <w:t>Plateau, Avenue Terrasson de Fougères, Abidjan – Côte d'Ivoire</w:t>
            </w:r>
          </w:p>
        </w:tc>
      </w:tr>
      <w:tr>
        <w:tc>
          <w:tcPr>
            <w:tcW w:type="dxa" w:w="4703"/>
            <w:shd w:val="clear" w:color="auto" w:fill="00347C"/>
          </w:tcPr>
          <w:p>
            <w:pPr>
              <w:spacing w:before="120" w:after="120"/>
            </w:pPr>
            <w:r>
              <w:rPr>
                <w:rFonts w:ascii="Calibri" w:hAnsi="Calibri"/>
                <w:b/>
                <w:color w:val="FFFFFF"/>
                <w:sz w:val="20"/>
              </w:rPr>
              <w:t>Préparé par</w:t>
            </w:r>
          </w:p>
        </w:tc>
        <w:tc>
          <w:tcPr>
            <w:tcW w:type="dxa" w:w="4703"/>
            <w:shd w:val="clear" w:color="auto" w:fill="F5F7FA"/>
          </w:tcPr>
          <w:p>
            <w:pPr>
              <w:spacing w:before="120" w:after="120"/>
            </w:pPr>
            <w:r>
              <w:rPr>
                <w:rFonts w:ascii="Calibri" w:hAnsi="Calibri"/>
                <w:b w:val="0"/>
                <w:color w:val="2D2D2D"/>
                <w:sz w:val="20"/>
              </w:rPr>
              <w:t>Numerix Digital  |  franckalain.ai@gmail.com</w:t>
            </w:r>
          </w:p>
        </w:tc>
      </w:tr>
      <w:tr>
        <w:tc>
          <w:tcPr>
            <w:tcW w:type="dxa" w:w="4703"/>
            <w:shd w:val="clear" w:color="auto" w:fill="00347C"/>
          </w:tcPr>
          <w:p>
            <w:pPr>
              <w:spacing w:before="120" w:after="120"/>
            </w:pPr>
            <w:r>
              <w:rPr>
                <w:rFonts w:ascii="Calibri" w:hAnsi="Calibri"/>
                <w:b/>
                <w:color w:val="FFFFFF"/>
                <w:sz w:val="20"/>
              </w:rPr>
              <w:t>Référence</w:t>
            </w:r>
          </w:p>
        </w:tc>
        <w:tc>
          <w:tcPr>
            <w:tcW w:type="dxa" w:w="4703"/>
            <w:shd w:val="clear" w:color="auto" w:fill="FFFFFF"/>
          </w:tcPr>
          <w:p>
            <w:pPr>
              <w:spacing w:before="120" w:after="120"/>
            </w:pPr>
            <w:r>
              <w:rPr>
                <w:rFonts w:ascii="Calibri" w:hAnsi="Calibri"/>
                <w:b w:val="0"/>
                <w:color w:val="2D2D2D"/>
                <w:sz w:val="20"/>
              </w:rPr>
              <w:t>OC-DGT-CI-2026-001</w:t>
            </w:r>
          </w:p>
        </w:tc>
      </w:tr>
      <w:tr>
        <w:tc>
          <w:tcPr>
            <w:tcW w:type="dxa" w:w="4703"/>
            <w:shd w:val="clear" w:color="auto" w:fill="00347C"/>
          </w:tcPr>
          <w:p>
            <w:pPr>
              <w:spacing w:before="120" w:after="120"/>
            </w:pPr>
            <w:r>
              <w:rPr>
                <w:rFonts w:ascii="Calibri" w:hAnsi="Calibri"/>
                <w:b/>
                <w:color w:val="FFFFFF"/>
                <w:sz w:val="20"/>
              </w:rPr>
              <w:t>Date d'émission</w:t>
            </w:r>
          </w:p>
        </w:tc>
        <w:tc>
          <w:tcPr>
            <w:tcW w:type="dxa" w:w="4703"/>
            <w:shd w:val="clear" w:color="auto" w:fill="F5F7FA"/>
          </w:tcPr>
          <w:p>
            <w:pPr>
              <w:spacing w:before="120" w:after="120"/>
            </w:pPr>
            <w:r>
              <w:rPr>
                <w:rFonts w:ascii="Calibri" w:hAnsi="Calibri"/>
                <w:b w:val="0"/>
                <w:color w:val="2D2D2D"/>
                <w:sz w:val="20"/>
              </w:rPr>
              <w:t>13 June 2026</w:t>
            </w:r>
          </w:p>
        </w:tc>
      </w:tr>
      <w:tr>
        <w:tc>
          <w:tcPr>
            <w:tcW w:type="dxa" w:w="4703"/>
            <w:shd w:val="clear" w:color="auto" w:fill="00347C"/>
          </w:tcPr>
          <w:p>
            <w:pPr>
              <w:spacing w:before="120" w:after="120"/>
            </w:pPr>
            <w:r>
              <w:rPr>
                <w:rFonts w:ascii="Calibri" w:hAnsi="Calibri"/>
                <w:b/>
                <w:color w:val="FFFFFF"/>
                <w:sz w:val="20"/>
              </w:rPr>
              <w:t>Validité</w:t>
            </w:r>
          </w:p>
        </w:tc>
        <w:tc>
          <w:tcPr>
            <w:tcW w:type="dxa" w:w="4703"/>
            <w:shd w:val="clear" w:color="auto" w:fill="FFFFFF"/>
          </w:tcPr>
          <w:p>
            <w:pPr>
              <w:spacing w:before="120" w:after="120"/>
            </w:pPr>
            <w:r>
              <w:rPr>
                <w:rFonts w:ascii="Calibri" w:hAnsi="Calibri"/>
                <w:b w:val="0"/>
                <w:color w:val="2D2D2D"/>
                <w:sz w:val="20"/>
              </w:rPr>
              <w:t>90 jours – jusqu'au 11 September 2026</w:t>
            </w:r>
          </w:p>
        </w:tc>
      </w:tr>
      <w:tr>
        <w:tc>
          <w:tcPr>
            <w:tcW w:type="dxa" w:w="4703"/>
            <w:shd w:val="clear" w:color="auto" w:fill="00347C"/>
          </w:tcPr>
          <w:p>
            <w:pPr>
              <w:spacing w:before="120" w:after="120"/>
            </w:pPr>
            <w:r>
              <w:rPr>
                <w:rFonts w:ascii="Calibri" w:hAnsi="Calibri"/>
                <w:b/>
                <w:color w:val="FFFFFF"/>
                <w:sz w:val="20"/>
              </w:rPr>
              <w:t>Classification</w:t>
            </w:r>
          </w:p>
        </w:tc>
        <w:tc>
          <w:tcPr>
            <w:tcW w:type="dxa" w:w="4703"/>
            <w:shd w:val="clear" w:color="auto" w:fill="F5F7FA"/>
          </w:tcPr>
          <w:p>
            <w:pPr>
              <w:spacing w:before="120" w:after="120"/>
            </w:pPr>
            <w:r>
              <w:rPr>
                <w:rFonts w:ascii="Calibri" w:hAnsi="Calibri"/>
                <w:b w:val="0"/>
                <w:color w:val="F47E1C"/>
                <w:sz w:val="20"/>
              </w:rPr>
              <w:t>CONFIDENTIEL – Usage exclusif de la Direction Générale du Travail</w:t>
            </w:r>
          </w:p>
        </w:tc>
      </w:tr>
    </w:tbl>
    <w:p/>
    <w:p>
      <w:pPr>
        <w:pBdr>
          <w:bottom w:val="single" w:sz="6" w:space="1" w:color="F47E1C"/>
        </w:pBdr>
        <w:spacing w:before="20" w:after="40"/>
      </w:pPr>
    </w:p>
    <w:p>
      <w:r>
        <w:br w:type="page"/>
      </w:r>
    </w:p>
    <w:p>
      <w:pPr>
        <w:spacing w:before="0" w:after="120"/>
      </w:pPr>
      <w:r>
        <w:rPr>
          <w:rFonts w:ascii="Calibri" w:hAnsi="Calibri"/>
          <w:b/>
          <w:color w:val="00347C"/>
          <w:sz w:val="32"/>
        </w:rPr>
        <w:t>TABLE DES MATIÈRES</w:t>
      </w:r>
    </w:p>
    <w:p>
      <w:pPr>
        <w:pBdr>
          <w:bottom w:val="single" w:sz="6" w:space="1" w:color="00347C"/>
        </w:pBdr>
        <w:spacing w:before="20" w:after="40"/>
      </w:pPr>
    </w:p>
    <w:p/>
    <w:p>
      <w:pPr>
        <w:tabs>
          <w:tab w:pos="8220" w:val="right"/>
        </w:tabs>
        <w:spacing w:before="80" w:after="80"/>
      </w:pPr>
      <w:r>
        <w:rPr>
          <w:rFonts w:ascii="Calibri" w:hAnsi="Calibri"/>
          <w:color w:val="00347C"/>
          <w:sz w:val="22"/>
        </w:rPr>
        <w:t>1.   Résumé Exécutif</w:t>
      </w:r>
      <w:r>
        <w:rPr>
          <w:rFonts w:ascii="Calibri" w:hAnsi="Calibri"/>
          <w:b/>
          <w:color w:val="F47E1C"/>
          <w:sz w:val="22"/>
        </w:rPr>
        <w:tab/>
        <w:t>4</w:t>
      </w:r>
    </w:p>
    <w:p>
      <w:pPr>
        <w:tabs>
          <w:tab w:pos="8220" w:val="right"/>
        </w:tabs>
        <w:spacing w:before="80" w:after="80"/>
      </w:pPr>
      <w:r>
        <w:rPr>
          <w:rFonts w:ascii="Calibri" w:hAnsi="Calibri"/>
          <w:color w:val="00347C"/>
          <w:sz w:val="22"/>
        </w:rPr>
        <w:t>2.   Contexte et Enjeux</w:t>
      </w:r>
      <w:r>
        <w:rPr>
          <w:rFonts w:ascii="Calibri" w:hAnsi="Calibri"/>
          <w:b/>
          <w:color w:val="F47E1C"/>
          <w:sz w:val="22"/>
        </w:rPr>
        <w:tab/>
        <w:t>5</w:t>
      </w:r>
    </w:p>
    <w:p>
      <w:pPr>
        <w:tabs>
          <w:tab w:pos="8220" w:val="right"/>
        </w:tabs>
        <w:spacing w:before="80" w:after="80"/>
      </w:pPr>
      <w:r>
        <w:rPr>
          <w:rFonts w:ascii="Calibri" w:hAnsi="Calibri"/>
          <w:color w:val="00347C"/>
          <w:sz w:val="22"/>
        </w:rPr>
        <w:t>3.   Vision et Objectifs Stratégiques</w:t>
      </w:r>
      <w:r>
        <w:rPr>
          <w:rFonts w:ascii="Calibri" w:hAnsi="Calibri"/>
          <w:b/>
          <w:color w:val="F47E1C"/>
          <w:sz w:val="22"/>
        </w:rPr>
        <w:tab/>
        <w:t>7</w:t>
      </w:r>
    </w:p>
    <w:p>
      <w:pPr>
        <w:tabs>
          <w:tab w:pos="8220" w:val="right"/>
        </w:tabs>
        <w:spacing w:before="80" w:after="80"/>
      </w:pPr>
      <w:r>
        <w:rPr>
          <w:rFonts w:ascii="Calibri" w:hAnsi="Calibri"/>
          <w:color w:val="00347C"/>
          <w:sz w:val="22"/>
        </w:rPr>
        <w:t>4.   Présentation de la Solution</w:t>
      </w:r>
      <w:r>
        <w:rPr>
          <w:rFonts w:ascii="Calibri" w:hAnsi="Calibri"/>
          <w:b/>
          <w:color w:val="F47E1C"/>
          <w:sz w:val="22"/>
        </w:rPr>
        <w:tab/>
        <w:t>8</w:t>
      </w:r>
    </w:p>
    <w:p>
      <w:pPr>
        <w:tabs>
          <w:tab w:pos="8220" w:val="right"/>
        </w:tabs>
        <w:spacing w:before="80" w:after="80"/>
      </w:pPr>
      <w:r>
        <w:rPr>
          <w:rFonts w:ascii="Calibri" w:hAnsi="Calibri"/>
          <w:color w:val="00347C"/>
          <w:sz w:val="22"/>
        </w:rPr>
        <w:t>5.   Fonctionnalités Détaillées (16 modules)</w:t>
      </w:r>
      <w:r>
        <w:rPr>
          <w:rFonts w:ascii="Calibri" w:hAnsi="Calibri"/>
          <w:b/>
          <w:color w:val="F47E1C"/>
          <w:sz w:val="22"/>
        </w:rPr>
        <w:tab/>
        <w:t>10</w:t>
      </w:r>
    </w:p>
    <w:p>
      <w:pPr>
        <w:tabs>
          <w:tab w:pos="8220" w:val="right"/>
        </w:tabs>
        <w:spacing w:before="80" w:after="80"/>
      </w:pPr>
      <w:r>
        <w:rPr>
          <w:rFonts w:ascii="Calibri" w:hAnsi="Calibri"/>
          <w:color w:val="00347C"/>
          <w:sz w:val="22"/>
        </w:rPr>
        <w:t>6.   Architecture Technique et Sécurité</w:t>
      </w:r>
      <w:r>
        <w:rPr>
          <w:rFonts w:ascii="Calibri" w:hAnsi="Calibri"/>
          <w:b/>
          <w:color w:val="F47E1C"/>
          <w:sz w:val="22"/>
        </w:rPr>
        <w:tab/>
        <w:t>18</w:t>
      </w:r>
    </w:p>
    <w:p>
      <w:pPr>
        <w:tabs>
          <w:tab w:pos="8220" w:val="right"/>
        </w:tabs>
        <w:spacing w:before="80" w:after="80"/>
      </w:pPr>
      <w:r>
        <w:rPr>
          <w:rFonts w:ascii="Calibri" w:hAnsi="Calibri"/>
          <w:color w:val="00347C"/>
          <w:sz w:val="22"/>
        </w:rPr>
        <w:t>7.   Plan de Déploiement (4 phases – 18 mois)</w:t>
      </w:r>
      <w:r>
        <w:rPr>
          <w:rFonts w:ascii="Calibri" w:hAnsi="Calibri"/>
          <w:b/>
          <w:color w:val="F47E1C"/>
          <w:sz w:val="22"/>
        </w:rPr>
        <w:tab/>
        <w:t>20</w:t>
      </w:r>
    </w:p>
    <w:p>
      <w:pPr>
        <w:tabs>
          <w:tab w:pos="8220" w:val="right"/>
        </w:tabs>
        <w:spacing w:before="80" w:after="80"/>
      </w:pPr>
      <w:r>
        <w:rPr>
          <w:rFonts w:ascii="Calibri" w:hAnsi="Calibri"/>
          <w:color w:val="00347C"/>
          <w:sz w:val="22"/>
        </w:rPr>
        <w:t>8.   Formation et Accompagnement au Changement</w:t>
      </w:r>
      <w:r>
        <w:rPr>
          <w:rFonts w:ascii="Calibri" w:hAnsi="Calibri"/>
          <w:b/>
          <w:color w:val="F47E1C"/>
          <w:sz w:val="22"/>
        </w:rPr>
        <w:tab/>
        <w:t>22</w:t>
      </w:r>
    </w:p>
    <w:p>
      <w:pPr>
        <w:tabs>
          <w:tab w:pos="8220" w:val="right"/>
        </w:tabs>
        <w:spacing w:before="80" w:after="80"/>
      </w:pPr>
      <w:r>
        <w:rPr>
          <w:rFonts w:ascii="Calibri" w:hAnsi="Calibri"/>
          <w:color w:val="00347C"/>
          <w:sz w:val="22"/>
        </w:rPr>
        <w:t>9.   Offre Financière Détaillée</w:t>
      </w:r>
      <w:r>
        <w:rPr>
          <w:rFonts w:ascii="Calibri" w:hAnsi="Calibri"/>
          <w:b/>
          <w:color w:val="F47E1C"/>
          <w:sz w:val="22"/>
        </w:rPr>
        <w:tab/>
        <w:t>23</w:t>
      </w:r>
    </w:p>
    <w:p>
      <w:pPr>
        <w:tabs>
          <w:tab w:pos="8220" w:val="right"/>
        </w:tabs>
        <w:spacing w:before="80" w:after="80"/>
      </w:pPr>
      <w:r>
        <w:rPr>
          <w:rFonts w:ascii="Calibri" w:hAnsi="Calibri"/>
          <w:color w:val="00347C"/>
          <w:sz w:val="22"/>
        </w:rPr>
        <w:t>10.   Niveaux de Service (SLA)</w:t>
      </w:r>
      <w:r>
        <w:rPr>
          <w:rFonts w:ascii="Calibri" w:hAnsi="Calibri"/>
          <w:b/>
          <w:color w:val="F47E1C"/>
          <w:sz w:val="22"/>
        </w:rPr>
        <w:tab/>
        <w:t>26</w:t>
      </w:r>
    </w:p>
    <w:p>
      <w:pPr>
        <w:tabs>
          <w:tab w:pos="8220" w:val="right"/>
        </w:tabs>
        <w:spacing w:before="80" w:after="80"/>
      </w:pPr>
      <w:r>
        <w:rPr>
          <w:rFonts w:ascii="Calibri" w:hAnsi="Calibri"/>
          <w:color w:val="00347C"/>
          <w:sz w:val="22"/>
        </w:rPr>
        <w:t>11.   Notre Entreprise et Équipe Projet</w:t>
      </w:r>
      <w:r>
        <w:rPr>
          <w:rFonts w:ascii="Calibri" w:hAnsi="Calibri"/>
          <w:b/>
          <w:color w:val="F47E1C"/>
          <w:sz w:val="22"/>
        </w:rPr>
        <w:tab/>
        <w:t>27</w:t>
      </w:r>
    </w:p>
    <w:p>
      <w:pPr>
        <w:tabs>
          <w:tab w:pos="8220" w:val="right"/>
        </w:tabs>
        <w:spacing w:before="80" w:after="80"/>
      </w:pPr>
      <w:r>
        <w:rPr>
          <w:rFonts w:ascii="Calibri" w:hAnsi="Calibri"/>
          <w:color w:val="00347C"/>
          <w:sz w:val="22"/>
        </w:rPr>
        <w:t>12.   Proposition de Valeur Différenciante</w:t>
      </w:r>
      <w:r>
        <w:rPr>
          <w:rFonts w:ascii="Calibri" w:hAnsi="Calibri"/>
          <w:b/>
          <w:color w:val="F47E1C"/>
          <w:sz w:val="22"/>
        </w:rPr>
        <w:tab/>
        <w:t>29</w:t>
      </w:r>
    </w:p>
    <w:p>
      <w:pPr>
        <w:tabs>
          <w:tab w:pos="8220" w:val="right"/>
        </w:tabs>
        <w:spacing w:before="80" w:after="80"/>
      </w:pPr>
      <w:r>
        <w:rPr>
          <w:rFonts w:ascii="Calibri" w:hAnsi="Calibri"/>
          <w:color w:val="00347C"/>
          <w:sz w:val="22"/>
        </w:rPr>
        <w:t>13.   Conditions Générales et Juridiques</w:t>
      </w:r>
      <w:r>
        <w:rPr>
          <w:rFonts w:ascii="Calibri" w:hAnsi="Calibri"/>
          <w:b/>
          <w:color w:val="F47E1C"/>
          <w:sz w:val="22"/>
        </w:rPr>
        <w:tab/>
        <w:t>30</w:t>
      </w:r>
    </w:p>
    <w:p>
      <w:pPr>
        <w:tabs>
          <w:tab w:pos="8220" w:val="right"/>
        </w:tabs>
        <w:spacing w:before="80" w:after="80"/>
      </w:pPr>
      <w:r>
        <w:rPr>
          <w:rFonts w:ascii="Calibri" w:hAnsi="Calibri"/>
          <w:color w:val="00347C"/>
          <w:sz w:val="22"/>
        </w:rPr>
        <w:t>14.   Annexes Techniques</w:t>
      </w:r>
      <w:r>
        <w:rPr>
          <w:rFonts w:ascii="Calibri" w:hAnsi="Calibri"/>
          <w:b/>
          <w:color w:val="F47E1C"/>
          <w:sz w:val="22"/>
        </w:rPr>
        <w:tab/>
        <w:t>32</w:t>
      </w:r>
    </w:p>
    <w:p>
      <w:r>
        <w:br w:type="page"/>
      </w:r>
    </w:p>
    <w:p>
      <w:pPr>
        <w:spacing w:before="0" w:after="120"/>
      </w:pPr>
      <w:r>
        <w:rPr>
          <w:rFonts w:ascii="Calibri" w:hAnsi="Calibri"/>
          <w:b/>
          <w:color w:val="00347C"/>
          <w:sz w:val="30"/>
        </w:rPr>
        <w:t>1.  RÉSUMÉ EXÉCUTIF</w:t>
      </w:r>
    </w:p>
    <w:p>
      <w:pPr>
        <w:pBdr>
          <w:bottom w:val="single" w:sz="6" w:space="1" w:color="00347C"/>
        </w:pBdr>
        <w:spacing w:before="20" w:after="40"/>
      </w:pPr>
    </w:p>
    <w:p>
      <w:pPr>
        <w:spacing w:before="60" w:after="60" w:line="360" w:lineRule="auto"/>
        <w:jc w:val="both"/>
      </w:pPr>
      <w:r>
        <w:rPr>
          <w:rFonts w:ascii="Calibri" w:hAnsi="Calibri"/>
          <w:i w:val="0"/>
          <w:color w:val="2D2D2D"/>
          <w:sz w:val="21"/>
        </w:rPr>
        <w:t>Numerix Digital présente à la Direction Générale du Travail (DGT) de Côte d'Ivoire la présente offre commerciale pour la conception, le déploiement et la maintenance de la Plateforme Nationale e-Inspection du Travail. Cette solution digitale de bout en bout vise à transformer en profondeur les processus de l'inspection du travail, à renforcer la protection des travailleurs ivoiriens et à moderniser la relation entre l'administration du travail, les employeurs et les salariés.</w:t>
      </w:r>
    </w:p>
    <w:p>
      <w:pPr>
        <w:spacing w:before="60" w:after="60" w:line="360" w:lineRule="auto"/>
        <w:jc w:val="both"/>
      </w:pPr>
      <w:r>
        <w:rPr>
          <w:rFonts w:ascii="Calibri" w:hAnsi="Calibri"/>
          <w:i w:val="0"/>
          <w:color w:val="2D2D2D"/>
          <w:sz w:val="21"/>
        </w:rPr>
        <w:t>La Côte d'Ivoire, premier acteur économique de l'UEMOA avec un PIB en progression constante, connaît une croissance soutenue de son marché de l'emploi formel et informel. Cette dynamique s'accompagne d'une augmentation des besoins de régulation et de protection sociale, appelant une modernisation urgente des outils à disposition de la Direction Générale du Travail.</w:t>
      </w:r>
    </w:p>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00347C"/>
          </w:tcPr>
          <w:p>
            <w:pPr>
              <w:spacing w:before="200" w:after="200"/>
              <w:jc w:val="center"/>
            </w:pPr>
            <w:r>
              <w:rPr>
                <w:rFonts w:ascii="Calibri" w:hAnsi="Calibri"/>
                <w:b/>
                <w:color w:val="F47E1C"/>
                <w:sz w:val="40"/>
              </w:rPr>
              <w:t>60 %</w:t>
            </w:r>
          </w:p>
        </w:tc>
        <w:tc>
          <w:tcPr>
            <w:tcW w:type="dxa" w:w="2351"/>
            <w:shd w:val="clear" w:color="auto" w:fill="00347C"/>
          </w:tcPr>
          <w:p>
            <w:pPr>
              <w:spacing w:before="200" w:after="200"/>
              <w:jc w:val="center"/>
            </w:pPr>
            <w:r>
              <w:rPr>
                <w:rFonts w:ascii="Calibri" w:hAnsi="Calibri"/>
                <w:b/>
                <w:color w:val="F47E1C"/>
                <w:sz w:val="40"/>
              </w:rPr>
              <w:t>100 %</w:t>
            </w:r>
          </w:p>
        </w:tc>
        <w:tc>
          <w:tcPr>
            <w:tcW w:type="dxa" w:w="2351"/>
            <w:shd w:val="clear" w:color="auto" w:fill="00347C"/>
          </w:tcPr>
          <w:p>
            <w:pPr>
              <w:spacing w:before="200" w:after="200"/>
              <w:jc w:val="center"/>
            </w:pPr>
            <w:r>
              <w:rPr>
                <w:rFonts w:ascii="Calibri" w:hAnsi="Calibri"/>
                <w:b/>
                <w:color w:val="F47E1C"/>
                <w:sz w:val="40"/>
              </w:rPr>
              <w:t>24/7</w:t>
            </w:r>
          </w:p>
        </w:tc>
        <w:tc>
          <w:tcPr>
            <w:tcW w:type="dxa" w:w="2351"/>
            <w:shd w:val="clear" w:color="auto" w:fill="00347C"/>
          </w:tcPr>
          <w:p>
            <w:pPr>
              <w:spacing w:before="200" w:after="200"/>
              <w:jc w:val="center"/>
            </w:pPr>
            <w:r>
              <w:rPr>
                <w:rFonts w:ascii="Calibri" w:hAnsi="Calibri"/>
                <w:b/>
                <w:color w:val="F47E1C"/>
                <w:sz w:val="40"/>
              </w:rPr>
              <w:t>400+</w:t>
            </w:r>
          </w:p>
        </w:tc>
      </w:tr>
      <w:tr>
        <w:tc>
          <w:tcPr>
            <w:tcW w:type="dxa" w:w="2351"/>
            <w:shd w:val="clear" w:color="auto" w:fill="DCF0FF"/>
          </w:tcPr>
          <w:p>
            <w:pPr>
              <w:spacing w:before="120" w:after="120"/>
              <w:jc w:val="center"/>
            </w:pPr>
            <w:r>
              <w:rPr>
                <w:rFonts w:ascii="Calibri" w:hAnsi="Calibri"/>
                <w:color w:val="00347C"/>
                <w:sz w:val="18"/>
              </w:rPr>
              <w:t>Réduction du délai moyen</w:t>
              <w:br/>
              <w:t>de traitement des plaintes</w:t>
            </w:r>
          </w:p>
        </w:tc>
        <w:tc>
          <w:tcPr>
            <w:tcW w:type="dxa" w:w="2351"/>
            <w:shd w:val="clear" w:color="auto" w:fill="DCF0FF"/>
          </w:tcPr>
          <w:p>
            <w:pPr>
              <w:spacing w:before="120" w:after="120"/>
              <w:jc w:val="center"/>
            </w:pPr>
            <w:r>
              <w:rPr>
                <w:rFonts w:ascii="Calibri" w:hAnsi="Calibri"/>
                <w:color w:val="00347C"/>
                <w:sz w:val="18"/>
              </w:rPr>
              <w:t>Traçabilité numérique</w:t>
              <w:br/>
              <w:t>de toutes les procédures</w:t>
            </w:r>
          </w:p>
        </w:tc>
        <w:tc>
          <w:tcPr>
            <w:tcW w:type="dxa" w:w="2351"/>
            <w:shd w:val="clear" w:color="auto" w:fill="DCF0FF"/>
          </w:tcPr>
          <w:p>
            <w:pPr>
              <w:spacing w:before="120" w:after="120"/>
              <w:jc w:val="center"/>
            </w:pPr>
            <w:r>
              <w:rPr>
                <w:rFonts w:ascii="Calibri" w:hAnsi="Calibri"/>
                <w:color w:val="00347C"/>
                <w:sz w:val="18"/>
              </w:rPr>
              <w:t>Accessibilité du portail</w:t>
              <w:br/>
              <w:t>citoyen en ligne</w:t>
            </w:r>
          </w:p>
        </w:tc>
        <w:tc>
          <w:tcPr>
            <w:tcW w:type="dxa" w:w="2351"/>
            <w:shd w:val="clear" w:color="auto" w:fill="DCF0FF"/>
          </w:tcPr>
          <w:p>
            <w:pPr>
              <w:spacing w:before="120" w:after="120"/>
              <w:jc w:val="center"/>
            </w:pPr>
            <w:r>
              <w:rPr>
                <w:rFonts w:ascii="Calibri" w:hAnsi="Calibri"/>
                <w:color w:val="00347C"/>
                <w:sz w:val="18"/>
              </w:rPr>
              <w:t>Agents formés à</w:t>
              <w:br/>
              <w:t>la plateforme sur 18 mois</w:t>
            </w:r>
          </w:p>
        </w:tc>
      </w:tr>
    </w:tbl>
    <w:p/>
    <w:p>
      <w:pPr>
        <w:spacing w:before="60" w:after="60" w:line="360" w:lineRule="auto"/>
        <w:jc w:val="both"/>
      </w:pPr>
      <w:r>
        <w:rPr>
          <w:rFonts w:ascii="Calibri" w:hAnsi="Calibri"/>
          <w:i w:val="0"/>
          <w:color w:val="2D2D2D"/>
          <w:sz w:val="21"/>
        </w:rPr>
        <w:t>La solution proposée couvre l'intégralité du cycle de vie d'une plainte de travail — de sa saisie numérique par le travailleur jusqu'à la décision judiciaire — en passant par l'enquête de l'inspecteur, la médiation, la conciliation et le recours hiérarchique. Elle intègre également des outils d'intelligence artificielle, un observatoire statistique et un système de gestion électronique des documents (GED) conforme aux standards internationaux.</w:t>
      </w:r>
    </w:p>
    <w:p>
      <w:r>
        <w:br w:type="page"/>
      </w:r>
    </w:p>
    <w:p>
      <w:pPr>
        <w:spacing w:before="0" w:after="120"/>
      </w:pPr>
      <w:r>
        <w:rPr>
          <w:rFonts w:ascii="Calibri" w:hAnsi="Calibri"/>
          <w:b/>
          <w:color w:val="00347C"/>
          <w:sz w:val="30"/>
        </w:rPr>
        <w:t>2.  CONTEXTE ET ENJEUX</w:t>
      </w:r>
    </w:p>
    <w:p>
      <w:pPr>
        <w:pBdr>
          <w:bottom w:val="single" w:sz="6" w:space="1" w:color="00347C"/>
        </w:pBdr>
        <w:spacing w:before="20" w:after="40"/>
      </w:pPr>
    </w:p>
    <w:p>
      <w:pPr>
        <w:spacing w:before="200" w:after="80"/>
      </w:pPr>
      <w:r>
        <w:rPr>
          <w:rFonts w:ascii="Calibri" w:hAnsi="Calibri"/>
          <w:b/>
          <w:color w:val="0072C6"/>
          <w:sz w:val="24"/>
        </w:rPr>
        <w:t>2.1  Le marché du travail en Côte d'Ivoire</w:t>
      </w:r>
    </w:p>
    <w:p>
      <w:pPr>
        <w:spacing w:before="60" w:after="60" w:line="360" w:lineRule="auto"/>
        <w:jc w:val="both"/>
      </w:pPr>
      <w:r>
        <w:rPr>
          <w:rFonts w:ascii="Calibri" w:hAnsi="Calibri"/>
          <w:i w:val="0"/>
          <w:color w:val="2D2D2D"/>
          <w:sz w:val="21"/>
        </w:rPr>
        <w:t>La Côte d'Ivoire compte plus de 8 millions d'actifs dans le secteur structuré (formel et informel encadré), avec une progression annuelle de l'emploi salarié de l'ordre de 5 à 7 %. Les secteurs clés — agro-industrie, BTP, services financiers, télécommunications, commerce — génèrent un volume croissant de relations contractuelles de travail et, corrélativement, une augmentation des litiges sociaux.</w:t>
      </w:r>
    </w:p>
    <w:p>
      <w:pPr>
        <w:spacing w:before="60" w:after="60" w:line="360" w:lineRule="auto"/>
        <w:jc w:val="both"/>
      </w:pPr>
      <w:r>
        <w:rPr>
          <w:rFonts w:ascii="Calibri" w:hAnsi="Calibri"/>
          <w:i w:val="0"/>
          <w:color w:val="2D2D2D"/>
          <w:sz w:val="21"/>
        </w:rPr>
        <w:t>Le Code du Travail ivoirien (Loi n° 2015-532 du 20 juillet 2015) et ses textes d'application confèrent à l'inspection du travail un rôle central dans la régulation des relations professionnelles. Or, la DGT et ses directions régionales disposent encore de moyens de traitement principalement manuels et papier, inadaptés au volume et à la complexité croissants des situations à traiter.</w:t>
      </w:r>
    </w:p>
    <w:p>
      <w:pPr>
        <w:spacing w:before="200" w:after="80"/>
      </w:pPr>
      <w:r>
        <w:rPr>
          <w:rFonts w:ascii="Calibri" w:hAnsi="Calibri"/>
          <w:b/>
          <w:color w:val="0072C6"/>
          <w:sz w:val="24"/>
        </w:rPr>
        <w:t>2.2  Diagnostic de la situation actuelle</w:t>
      </w:r>
    </w:p>
    <w:p>
      <w:pPr>
        <w:spacing w:before="120" w:after="60"/>
      </w:pPr>
      <w:r>
        <w:rPr>
          <w:rFonts w:ascii="Calibri" w:hAnsi="Calibri"/>
          <w:b/>
          <w:color w:val="2D2D2D"/>
          <w:sz w:val="22"/>
        </w:rPr>
        <w:t>• Gestion fragmentée des plaintes</w:t>
      </w:r>
    </w:p>
    <w:p>
      <w:pPr>
        <w:spacing w:before="60" w:after="60" w:line="360" w:lineRule="auto"/>
        <w:jc w:val="both"/>
      </w:pPr>
      <w:r>
        <w:rPr>
          <w:rFonts w:ascii="Calibri" w:hAnsi="Calibri"/>
          <w:i w:val="0"/>
          <w:color w:val="2D2D2D"/>
          <w:sz w:val="21"/>
        </w:rPr>
        <w:t>Les plaintes sont reçues par courrier, par téléphone ou en personne sans système centralisé, ce qui génère des pertes d'information, des doublons et une incapacité à garantir la traçabilité du traitement au plaignant.</w:t>
      </w:r>
    </w:p>
    <w:p>
      <w:pPr>
        <w:spacing w:before="120" w:after="60"/>
      </w:pPr>
      <w:r>
        <w:rPr>
          <w:rFonts w:ascii="Calibri" w:hAnsi="Calibri"/>
          <w:b/>
          <w:color w:val="2D2D2D"/>
          <w:sz w:val="22"/>
        </w:rPr>
        <w:t>• Absence de registre numérique des entreprises</w:t>
      </w:r>
    </w:p>
    <w:p>
      <w:pPr>
        <w:spacing w:before="60" w:after="60" w:line="360" w:lineRule="auto"/>
        <w:jc w:val="both"/>
      </w:pPr>
      <w:r>
        <w:rPr>
          <w:rFonts w:ascii="Calibri" w:hAnsi="Calibri"/>
          <w:i w:val="0"/>
          <w:color w:val="2D2D2D"/>
          <w:sz w:val="21"/>
        </w:rPr>
        <w:t>L'identification des entreprises, leur secteur, leur taille, leur historique de contrôle et leur niveau de conformité ne font l'objet d'aucune base de données consolidée. Chaque direction régionale travaille en silo.</w:t>
      </w:r>
    </w:p>
    <w:p>
      <w:pPr>
        <w:spacing w:before="120" w:after="60"/>
      </w:pPr>
      <w:r>
        <w:rPr>
          <w:rFonts w:ascii="Calibri" w:hAnsi="Calibri"/>
          <w:b/>
          <w:color w:val="2D2D2D"/>
          <w:sz w:val="22"/>
        </w:rPr>
        <w:t>• Communication inter-institutionnelle défaillante</w:t>
      </w:r>
    </w:p>
    <w:p>
      <w:pPr>
        <w:spacing w:before="60" w:after="60" w:line="360" w:lineRule="auto"/>
        <w:jc w:val="both"/>
      </w:pPr>
      <w:r>
        <w:rPr>
          <w:rFonts w:ascii="Calibri" w:hAnsi="Calibri"/>
          <w:i w:val="0"/>
          <w:color w:val="2D2D2D"/>
          <w:sz w:val="21"/>
        </w:rPr>
        <w:t>Les échanges entre inspecteurs de terrain, chefs d'inspection, directeurs régionaux et direction centrale s'effectuent par notes de service papier ou e-mails non sécurisés, générant des délais et des risques de perte d'information.</w:t>
      </w:r>
    </w:p>
    <w:p>
      <w:pPr>
        <w:spacing w:before="120" w:after="60"/>
      </w:pPr>
      <w:r>
        <w:rPr>
          <w:rFonts w:ascii="Calibri" w:hAnsi="Calibri"/>
          <w:b/>
          <w:color w:val="2D2D2D"/>
          <w:sz w:val="22"/>
        </w:rPr>
        <w:t>• Statistiques sociales peu fiables</w:t>
      </w:r>
    </w:p>
    <w:p>
      <w:pPr>
        <w:spacing w:before="60" w:after="60" w:line="360" w:lineRule="auto"/>
        <w:jc w:val="both"/>
      </w:pPr>
      <w:r>
        <w:rPr>
          <w:rFonts w:ascii="Calibri" w:hAnsi="Calibri"/>
          <w:i w:val="0"/>
          <w:color w:val="2D2D2D"/>
          <w:sz w:val="21"/>
        </w:rPr>
        <w:t>L'absence d'outil de collecte standardisée rend difficile la production de statistiques fiables sur les accidents du travail, les infractions relevées, les taux de résolution des conflits, nécessaires aux rapports de l'OIT et à la politique sociale du gouvernement.</w:t>
      </w:r>
    </w:p>
    <w:p>
      <w:pPr>
        <w:spacing w:before="120" w:after="60"/>
      </w:pPr>
      <w:r>
        <w:rPr>
          <w:rFonts w:ascii="Calibri" w:hAnsi="Calibri"/>
          <w:b/>
          <w:color w:val="2D2D2D"/>
          <w:sz w:val="22"/>
        </w:rPr>
        <w:t>• Médiation et conciliation non dématérialisées</w:t>
      </w:r>
    </w:p>
    <w:p>
      <w:pPr>
        <w:spacing w:before="60" w:after="60" w:line="360" w:lineRule="auto"/>
        <w:jc w:val="both"/>
      </w:pPr>
      <w:r>
        <w:rPr>
          <w:rFonts w:ascii="Calibri" w:hAnsi="Calibri"/>
          <w:i w:val="0"/>
          <w:color w:val="2D2D2D"/>
          <w:sz w:val="21"/>
        </w:rPr>
        <w:t>Les procédures de médiation et de conciliation exigent de nombreuses convocations physiques et produisent des procès-verbaux papier difficiles à archiver et à exploiter.</w:t>
      </w:r>
    </w:p>
    <w:p>
      <w:pPr>
        <w:spacing w:before="120" w:after="60"/>
      </w:pPr>
      <w:r>
        <w:rPr>
          <w:rFonts w:ascii="Calibri" w:hAnsi="Calibri"/>
          <w:b/>
          <w:color w:val="2D2D2D"/>
          <w:sz w:val="22"/>
        </w:rPr>
        <w:t>• Travailleurs domestiques non couverts</w:t>
      </w:r>
    </w:p>
    <w:p>
      <w:pPr>
        <w:spacing w:before="60" w:after="60" w:line="360" w:lineRule="auto"/>
        <w:jc w:val="both"/>
      </w:pPr>
      <w:r>
        <w:rPr>
          <w:rFonts w:ascii="Calibri" w:hAnsi="Calibri"/>
          <w:i w:val="0"/>
          <w:color w:val="2D2D2D"/>
          <w:sz w:val="21"/>
        </w:rPr>
        <w:t>Le secteur du travail domestique — estimé à plus de 400 000 personnes en Côte d'Ivoire — reste largement en dehors des dispositifs de protection et de contrôle de l'inspection du travail, faute d'outils adaptés.</w:t>
      </w:r>
    </w:p>
    <w:p>
      <w:pPr>
        <w:spacing w:before="200" w:after="80"/>
      </w:pPr>
      <w:r>
        <w:rPr>
          <w:rFonts w:ascii="Calibri" w:hAnsi="Calibri"/>
          <w:b/>
          <w:color w:val="0072C6"/>
          <w:sz w:val="24"/>
        </w:rPr>
        <w:t>2.3  Cadre réglementaire et opportunité</w:t>
      </w:r>
    </w:p>
    <w:p>
      <w:pPr>
        <w:spacing w:before="60" w:after="60" w:line="360" w:lineRule="auto"/>
        <w:jc w:val="both"/>
      </w:pPr>
      <w:r>
        <w:rPr>
          <w:rFonts w:ascii="Calibri" w:hAnsi="Calibri"/>
          <w:i w:val="0"/>
          <w:color w:val="2D2D2D"/>
          <w:sz w:val="21"/>
        </w:rPr>
        <w:t>La Stratégie Nationale de Développement Numérique de la Côte d'Ivoire (SND-CI 2021-2025) et le Plan National de Développement (PND 2021-2025) placent la dématérialisation des services publics au cœur des priorités gouvernementales. La digitalisation de l'inspection du travail s'inscrit dans cette dynamique et répond aux recommandations du Bureau International du Travail (BIT/OIT) visant à renforcer les systèmes d'inspection nationaux.</w:t>
      </w:r>
    </w:p>
    <w:p>
      <w:pPr>
        <w:spacing w:before="60" w:after="60" w:line="360" w:lineRule="auto"/>
        <w:jc w:val="both"/>
      </w:pPr>
      <w:r>
        <w:rPr>
          <w:rFonts w:ascii="Calibri" w:hAnsi="Calibri"/>
          <w:i w:val="0"/>
          <w:color w:val="2D2D2D"/>
          <w:sz w:val="21"/>
        </w:rPr>
        <w:t>Par ailleurs, les engagements de la Côte d'Ivoire dans le cadre du Compact avec l'Afrique (CWA) et des accords de partenariat économique (APE) avec l'Union Européenne imposent des standards de gouvernance sociale et de transparence que seule une plateforme numérique dédiée peut permettre d'atteindre et de démontrer.</w:t>
      </w:r>
    </w:p>
    <w:p>
      <w:r>
        <w:br w:type="page"/>
      </w:r>
    </w:p>
    <w:p>
      <w:pPr>
        <w:spacing w:before="0" w:after="120"/>
      </w:pPr>
      <w:r>
        <w:rPr>
          <w:rFonts w:ascii="Calibri" w:hAnsi="Calibri"/>
          <w:b/>
          <w:color w:val="00347C"/>
          <w:sz w:val="30"/>
        </w:rPr>
        <w:t>3.  VISION ET OBJECTIFS STRATÉGIQUES</w:t>
      </w:r>
    </w:p>
    <w:p>
      <w:pPr>
        <w:pBdr>
          <w:bottom w:val="single" w:sz="6" w:space="1" w:color="00347C"/>
        </w:pBdr>
        <w:spacing w:before="20" w:after="40"/>
      </w:pPr>
    </w:p>
    <w:p>
      <w:pPr>
        <w:spacing w:before="60" w:after="60" w:line="360" w:lineRule="auto"/>
        <w:jc w:val="both"/>
      </w:pPr>
      <w:r>
        <w:rPr>
          <w:rFonts w:ascii="Calibri" w:hAnsi="Calibri"/>
          <w:i/>
          <w:color w:val="0072C6"/>
          <w:sz w:val="24"/>
        </w:rPr>
        <w:t>Notre vision : faire de la Direction Générale du Travail de Côte d'Ivoire un modèle africain d'administration du travail numérique, accessible, transparente et efficace au service des travailleurs et des employeurs.</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347C"/>
            <w:vAlign w:val="center"/>
          </w:tcPr>
          <w:p>
            <w:pPr>
              <w:spacing w:before="80" w:after="80"/>
              <w:jc w:val="center"/>
            </w:pPr>
            <w:r>
              <w:rPr>
                <w:rFonts w:ascii="Calibri" w:hAnsi="Calibri"/>
                <w:b/>
                <w:color w:val="FFFFFF"/>
                <w:sz w:val="19"/>
              </w:rPr>
              <w:t>OBJ-01</w:t>
            </w:r>
          </w:p>
        </w:tc>
        <w:tc>
          <w:tcPr>
            <w:tcW w:type="dxa" w:w="3135"/>
            <w:shd w:val="clear" w:color="auto" w:fill="F5F7FA"/>
            <w:vAlign w:val="center"/>
          </w:tcPr>
          <w:p>
            <w:pPr>
              <w:spacing w:before="80" w:after="80"/>
              <w:jc w:val="left"/>
            </w:pPr>
            <w:r>
              <w:rPr>
                <w:rFonts w:ascii="Calibri" w:hAnsi="Calibri"/>
                <w:b/>
                <w:color w:val="00347C"/>
                <w:sz w:val="19"/>
              </w:rPr>
              <w:t>Accessibilité citoyenne</w:t>
            </w:r>
          </w:p>
        </w:tc>
        <w:tc>
          <w:tcPr>
            <w:tcW w:type="dxa" w:w="3135"/>
            <w:shd w:val="clear" w:color="auto" w:fill="F5F7FA"/>
            <w:vAlign w:val="center"/>
          </w:tcPr>
          <w:p>
            <w:pPr>
              <w:spacing w:before="80" w:after="80"/>
              <w:jc w:val="left"/>
            </w:pPr>
            <w:r>
              <w:rPr>
                <w:rFonts w:ascii="Calibri" w:hAnsi="Calibri"/>
                <w:b w:val="0"/>
                <w:color w:val="2D2D2D"/>
                <w:sz w:val="19"/>
              </w:rPr>
              <w:t>Permettre à tout travailleur ivoirien — y compris dans les zones rurales — de déposer une plainte, suivre son dossier et être informé des décisions, depuis un téléphone mobile, sans se déplacer.</w:t>
            </w:r>
          </w:p>
        </w:tc>
      </w:tr>
      <w:tr>
        <w:tc>
          <w:tcPr>
            <w:tcW w:type="dxa" w:w="3135"/>
            <w:shd w:val="clear" w:color="auto" w:fill="00347C"/>
            <w:vAlign w:val="center"/>
          </w:tcPr>
          <w:p>
            <w:pPr>
              <w:spacing w:before="80" w:after="80"/>
              <w:jc w:val="center"/>
            </w:pPr>
            <w:r>
              <w:rPr>
                <w:rFonts w:ascii="Calibri" w:hAnsi="Calibri"/>
                <w:b/>
                <w:color w:val="FFFFFF"/>
                <w:sz w:val="19"/>
              </w:rPr>
              <w:t>OBJ-02</w:t>
            </w:r>
          </w:p>
        </w:tc>
        <w:tc>
          <w:tcPr>
            <w:tcW w:type="dxa" w:w="3135"/>
            <w:shd w:val="clear" w:color="auto" w:fill="FFFFFF"/>
            <w:vAlign w:val="center"/>
          </w:tcPr>
          <w:p>
            <w:pPr>
              <w:spacing w:before="80" w:after="80"/>
              <w:jc w:val="left"/>
            </w:pPr>
            <w:r>
              <w:rPr>
                <w:rFonts w:ascii="Calibri" w:hAnsi="Calibri"/>
                <w:b/>
                <w:color w:val="00347C"/>
                <w:sz w:val="19"/>
              </w:rPr>
              <w:t>Efficacité administrative</w:t>
            </w:r>
          </w:p>
        </w:tc>
        <w:tc>
          <w:tcPr>
            <w:tcW w:type="dxa" w:w="3135"/>
            <w:shd w:val="clear" w:color="auto" w:fill="FFFFFF"/>
            <w:vAlign w:val="center"/>
          </w:tcPr>
          <w:p>
            <w:pPr>
              <w:spacing w:before="80" w:after="80"/>
              <w:jc w:val="left"/>
            </w:pPr>
            <w:r>
              <w:rPr>
                <w:rFonts w:ascii="Calibri" w:hAnsi="Calibri"/>
                <w:b w:val="0"/>
                <w:color w:val="2D2D2D"/>
                <w:sz w:val="19"/>
              </w:rPr>
              <w:t>Réduire le délai moyen de traitement d'une plainte de 6 mois à moins de 45 jours grâce à l'automatisation des workflow, aux alertes et aux tableaux de bord de pilotage.</w:t>
            </w:r>
          </w:p>
        </w:tc>
      </w:tr>
      <w:tr>
        <w:tc>
          <w:tcPr>
            <w:tcW w:type="dxa" w:w="3135"/>
            <w:shd w:val="clear" w:color="auto" w:fill="00347C"/>
            <w:vAlign w:val="center"/>
          </w:tcPr>
          <w:p>
            <w:pPr>
              <w:spacing w:before="80" w:after="80"/>
              <w:jc w:val="center"/>
            </w:pPr>
            <w:r>
              <w:rPr>
                <w:rFonts w:ascii="Calibri" w:hAnsi="Calibri"/>
                <w:b/>
                <w:color w:val="FFFFFF"/>
                <w:sz w:val="19"/>
              </w:rPr>
              <w:t>OBJ-03</w:t>
            </w:r>
          </w:p>
        </w:tc>
        <w:tc>
          <w:tcPr>
            <w:tcW w:type="dxa" w:w="3135"/>
            <w:shd w:val="clear" w:color="auto" w:fill="F5F7FA"/>
            <w:vAlign w:val="center"/>
          </w:tcPr>
          <w:p>
            <w:pPr>
              <w:spacing w:before="80" w:after="80"/>
              <w:jc w:val="left"/>
            </w:pPr>
            <w:r>
              <w:rPr>
                <w:rFonts w:ascii="Calibri" w:hAnsi="Calibri"/>
                <w:b/>
                <w:color w:val="00347C"/>
                <w:sz w:val="19"/>
              </w:rPr>
              <w:t>Renforcement du droit du travail</w:t>
            </w:r>
          </w:p>
        </w:tc>
        <w:tc>
          <w:tcPr>
            <w:tcW w:type="dxa" w:w="3135"/>
            <w:shd w:val="clear" w:color="auto" w:fill="F5F7FA"/>
            <w:vAlign w:val="center"/>
          </w:tcPr>
          <w:p>
            <w:pPr>
              <w:spacing w:before="80" w:after="80"/>
              <w:jc w:val="left"/>
            </w:pPr>
            <w:r>
              <w:rPr>
                <w:rFonts w:ascii="Calibri" w:hAnsi="Calibri"/>
                <w:b w:val="0"/>
                <w:color w:val="2D2D2D"/>
                <w:sz w:val="19"/>
              </w:rPr>
              <w:t>Outiller les inspecteurs du travail pour qu'ils puissent exercer leur mission de contrôle plus efficacement, en ciblant les entreprises à risque et en documentant numériquement leurs constats.</w:t>
            </w:r>
          </w:p>
        </w:tc>
      </w:tr>
      <w:tr>
        <w:tc>
          <w:tcPr>
            <w:tcW w:type="dxa" w:w="3135"/>
            <w:shd w:val="clear" w:color="auto" w:fill="00347C"/>
            <w:vAlign w:val="center"/>
          </w:tcPr>
          <w:p>
            <w:pPr>
              <w:spacing w:before="80" w:after="80"/>
              <w:jc w:val="center"/>
            </w:pPr>
            <w:r>
              <w:rPr>
                <w:rFonts w:ascii="Calibri" w:hAnsi="Calibri"/>
                <w:b/>
                <w:color w:val="FFFFFF"/>
                <w:sz w:val="19"/>
              </w:rPr>
              <w:t>OBJ-04</w:t>
            </w:r>
          </w:p>
        </w:tc>
        <w:tc>
          <w:tcPr>
            <w:tcW w:type="dxa" w:w="3135"/>
            <w:shd w:val="clear" w:color="auto" w:fill="FFFFFF"/>
            <w:vAlign w:val="center"/>
          </w:tcPr>
          <w:p>
            <w:pPr>
              <w:spacing w:before="80" w:after="80"/>
              <w:jc w:val="left"/>
            </w:pPr>
            <w:r>
              <w:rPr>
                <w:rFonts w:ascii="Calibri" w:hAnsi="Calibri"/>
                <w:b/>
                <w:color w:val="00347C"/>
                <w:sz w:val="19"/>
              </w:rPr>
              <w:t>Pilotage basé sur les données</w:t>
            </w:r>
          </w:p>
        </w:tc>
        <w:tc>
          <w:tcPr>
            <w:tcW w:type="dxa" w:w="3135"/>
            <w:shd w:val="clear" w:color="auto" w:fill="FFFFFF"/>
            <w:vAlign w:val="center"/>
          </w:tcPr>
          <w:p>
            <w:pPr>
              <w:spacing w:before="80" w:after="80"/>
              <w:jc w:val="left"/>
            </w:pPr>
            <w:r>
              <w:rPr>
                <w:rFonts w:ascii="Calibri" w:hAnsi="Calibri"/>
                <w:b w:val="0"/>
                <w:color w:val="2D2D2D"/>
                <w:sz w:val="19"/>
              </w:rPr>
              <w:t>Fournir à la Direction Générale un observatoire des statistiques sociales en temps réel, permettant d'orienter la politique du travail sur des données fiables et de produire les rapports requis par l'OIT et les partenaires internationaux.</w:t>
            </w:r>
          </w:p>
        </w:tc>
      </w:tr>
      <w:tr>
        <w:tc>
          <w:tcPr>
            <w:tcW w:type="dxa" w:w="3135"/>
            <w:shd w:val="clear" w:color="auto" w:fill="00347C"/>
            <w:vAlign w:val="center"/>
          </w:tcPr>
          <w:p>
            <w:pPr>
              <w:spacing w:before="80" w:after="80"/>
              <w:jc w:val="center"/>
            </w:pPr>
            <w:r>
              <w:rPr>
                <w:rFonts w:ascii="Calibri" w:hAnsi="Calibri"/>
                <w:b/>
                <w:color w:val="FFFFFF"/>
                <w:sz w:val="19"/>
              </w:rPr>
              <w:t>OBJ-05</w:t>
            </w:r>
          </w:p>
        </w:tc>
        <w:tc>
          <w:tcPr>
            <w:tcW w:type="dxa" w:w="3135"/>
            <w:shd w:val="clear" w:color="auto" w:fill="F5F7FA"/>
            <w:vAlign w:val="center"/>
          </w:tcPr>
          <w:p>
            <w:pPr>
              <w:spacing w:before="80" w:after="80"/>
              <w:jc w:val="left"/>
            </w:pPr>
            <w:r>
              <w:rPr>
                <w:rFonts w:ascii="Calibri" w:hAnsi="Calibri"/>
                <w:b/>
                <w:color w:val="00347C"/>
                <w:sz w:val="19"/>
              </w:rPr>
              <w:t>Interopérabilité</w:t>
            </w:r>
          </w:p>
        </w:tc>
        <w:tc>
          <w:tcPr>
            <w:tcW w:type="dxa" w:w="3135"/>
            <w:shd w:val="clear" w:color="auto" w:fill="F5F7FA"/>
            <w:vAlign w:val="center"/>
          </w:tcPr>
          <w:p>
            <w:pPr>
              <w:spacing w:before="80" w:after="80"/>
              <w:jc w:val="left"/>
            </w:pPr>
            <w:r>
              <w:rPr>
                <w:rFonts w:ascii="Calibri" w:hAnsi="Calibri"/>
                <w:b w:val="0"/>
                <w:color w:val="2D2D2D"/>
                <w:sz w:val="19"/>
              </w:rPr>
              <w:t>Connecter la plateforme aux systèmes existants : CNPS (Caisse Nationale de Prévoyance Sociale), DGI, RCCM (greffe des tribunaux de commerce), et à terme au portail unique des services publics e-services.ci.</w:t>
            </w:r>
          </w:p>
        </w:tc>
      </w:tr>
      <w:tr>
        <w:tc>
          <w:tcPr>
            <w:tcW w:type="dxa" w:w="3135"/>
            <w:shd w:val="clear" w:color="auto" w:fill="00347C"/>
            <w:vAlign w:val="center"/>
          </w:tcPr>
          <w:p>
            <w:pPr>
              <w:spacing w:before="80" w:after="80"/>
              <w:jc w:val="center"/>
            </w:pPr>
            <w:r>
              <w:rPr>
                <w:rFonts w:ascii="Calibri" w:hAnsi="Calibri"/>
                <w:b/>
                <w:color w:val="FFFFFF"/>
                <w:sz w:val="19"/>
              </w:rPr>
              <w:t>OBJ-06</w:t>
            </w:r>
          </w:p>
        </w:tc>
        <w:tc>
          <w:tcPr>
            <w:tcW w:type="dxa" w:w="3135"/>
            <w:shd w:val="clear" w:color="auto" w:fill="FFFFFF"/>
            <w:vAlign w:val="center"/>
          </w:tcPr>
          <w:p>
            <w:pPr>
              <w:spacing w:before="80" w:after="80"/>
              <w:jc w:val="left"/>
            </w:pPr>
            <w:r>
              <w:rPr>
                <w:rFonts w:ascii="Calibri" w:hAnsi="Calibri"/>
                <w:b/>
                <w:color w:val="00347C"/>
                <w:sz w:val="19"/>
              </w:rPr>
              <w:t>Protection des catégories vulnérables</w:t>
            </w:r>
          </w:p>
        </w:tc>
        <w:tc>
          <w:tcPr>
            <w:tcW w:type="dxa" w:w="3135"/>
            <w:shd w:val="clear" w:color="auto" w:fill="FFFFFF"/>
            <w:vAlign w:val="center"/>
          </w:tcPr>
          <w:p>
            <w:pPr>
              <w:spacing w:before="80" w:after="80"/>
              <w:jc w:val="left"/>
            </w:pPr>
            <w:r>
              <w:rPr>
                <w:rFonts w:ascii="Calibri" w:hAnsi="Calibri"/>
                <w:b w:val="0"/>
                <w:color w:val="2D2D2D"/>
                <w:sz w:val="19"/>
              </w:rPr>
              <w:t>Couvrir spécifiquement les travailleurs domestiques, les travailleurs migrants et les travailleurs de l'économie informelle encadrée par des modules dédiés.</w:t>
            </w:r>
          </w:p>
        </w:tc>
      </w:tr>
    </w:tbl>
    <w:p>
      <w:r>
        <w:br w:type="page"/>
      </w:r>
    </w:p>
    <w:p>
      <w:pPr>
        <w:spacing w:before="0" w:after="120"/>
      </w:pPr>
      <w:r>
        <w:rPr>
          <w:rFonts w:ascii="Calibri" w:hAnsi="Calibri"/>
          <w:b/>
          <w:color w:val="00347C"/>
          <w:sz w:val="30"/>
        </w:rPr>
        <w:t>4.  PRÉSENTATION DE LA SOLUTION</w:t>
      </w:r>
    </w:p>
    <w:p>
      <w:pPr>
        <w:pBdr>
          <w:bottom w:val="single" w:sz="6" w:space="1" w:color="00347C"/>
        </w:pBdr>
        <w:spacing w:before="20" w:after="40"/>
      </w:pPr>
    </w:p>
    <w:p>
      <w:pPr>
        <w:spacing w:before="60" w:after="60" w:line="360" w:lineRule="auto"/>
        <w:jc w:val="both"/>
      </w:pPr>
      <w:r>
        <w:rPr>
          <w:rFonts w:ascii="Calibri" w:hAnsi="Calibri"/>
          <w:i w:val="0"/>
          <w:color w:val="2D2D2D"/>
          <w:sz w:val="21"/>
        </w:rPr>
        <w:t>La Plateforme Nationale e-Inspection du Travail est une solution web full-stack et mobile multi-acteurs, accessible en Français et pensée pour les contextes d'usage ivoiriens (connexion mobile 3G/4G, usages sur smartphone, diversité des profils d'utilisateurs). Elle centralise l'ensemble des processus de l'inspection du travail en un écosystème numérique cohérent, de la réception d'une plainte à sa résolution définitive.</w:t>
      </w:r>
    </w:p>
    <w:p>
      <w:pPr>
        <w:spacing w:before="200" w:after="80"/>
      </w:pPr>
      <w:r>
        <w:rPr>
          <w:rFonts w:ascii="Calibri" w:hAnsi="Calibri"/>
          <w:b/>
          <w:color w:val="0072C6"/>
          <w:sz w:val="24"/>
        </w:rPr>
        <w:t>4.1  Architecture fonctionnelle globale</w:t>
      </w:r>
    </w:p>
    <w:p>
      <w:pPr>
        <w:spacing w:before="60" w:after="60" w:line="360" w:lineRule="auto"/>
        <w:jc w:val="both"/>
      </w:pPr>
      <w:r>
        <w:rPr>
          <w:rFonts w:ascii="Calibri" w:hAnsi="Calibri"/>
          <w:i w:val="0"/>
          <w:color w:val="2D2D2D"/>
          <w:sz w:val="21"/>
        </w:rPr>
        <w:t>La plateforme s'articule autour de trois espaces distincts accessibles via un portail web responsive et une application mobile iOS/Android :</w:t>
      </w:r>
    </w:p>
    <w:p>
      <w:pPr>
        <w:spacing w:before="120" w:after="60"/>
      </w:pPr>
      <w:r>
        <w:rPr>
          <w:rFonts w:ascii="Calibri" w:hAnsi="Calibri"/>
          <w:b/>
          <w:color w:val="2D2D2D"/>
          <w:sz w:val="22"/>
        </w:rPr>
        <w:t>▶  Portail Citoyen (public)</w:t>
      </w:r>
    </w:p>
    <w:p>
      <w:pPr>
        <w:spacing w:before="60" w:after="60" w:line="360" w:lineRule="auto"/>
        <w:jc w:val="both"/>
      </w:pPr>
      <w:r>
        <w:rPr>
          <w:rFonts w:ascii="Calibri" w:hAnsi="Calibri"/>
          <w:i w:val="0"/>
          <w:color w:val="2D2D2D"/>
          <w:sz w:val="21"/>
        </w:rPr>
        <w:t>Espace accessible sans authentification forte pour les travailleurs et employeurs. Permet le dépôt de plaintes en ligne, le suivi de dossier par numéro de référence, la consultation des textes réglementaires et la prise de contact avec les services.</w:t>
      </w:r>
    </w:p>
    <w:p>
      <w:pPr>
        <w:spacing w:before="120" w:after="60"/>
      </w:pPr>
      <w:r>
        <w:rPr>
          <w:rFonts w:ascii="Calibri" w:hAnsi="Calibri"/>
          <w:b/>
          <w:color w:val="2D2D2D"/>
          <w:sz w:val="22"/>
        </w:rPr>
        <w:t>▶  Espace Métier (agents DGT)</w:t>
      </w:r>
    </w:p>
    <w:p>
      <w:pPr>
        <w:spacing w:before="60" w:after="60" w:line="360" w:lineRule="auto"/>
        <w:jc w:val="both"/>
      </w:pPr>
      <w:r>
        <w:rPr>
          <w:rFonts w:ascii="Calibri" w:hAnsi="Calibri"/>
          <w:i w:val="0"/>
          <w:color w:val="2D2D2D"/>
          <w:sz w:val="21"/>
        </w:rPr>
        <w:t>Espace sécurisé réservé aux agents de la DGT : inspecteurs, chefs d'inspection, directeurs régionaux, médiateurs, agents judiciaires. Accès par authentification JWT renforcée avec OTP à deux facteurs.</w:t>
      </w:r>
    </w:p>
    <w:p>
      <w:pPr>
        <w:spacing w:before="120" w:after="60"/>
      </w:pPr>
      <w:r>
        <w:rPr>
          <w:rFonts w:ascii="Calibri" w:hAnsi="Calibri"/>
          <w:b/>
          <w:color w:val="2D2D2D"/>
          <w:sz w:val="22"/>
        </w:rPr>
        <w:t>▶  Console d'Administration</w:t>
      </w:r>
    </w:p>
    <w:p>
      <w:pPr>
        <w:spacing w:before="60" w:after="60" w:line="360" w:lineRule="auto"/>
        <w:jc w:val="both"/>
      </w:pPr>
      <w:r>
        <w:rPr>
          <w:rFonts w:ascii="Calibri" w:hAnsi="Calibri"/>
          <w:i w:val="0"/>
          <w:color w:val="2D2D2D"/>
          <w:sz w:val="21"/>
        </w:rPr>
        <w:t>Espace de paramétrage, de supervision technique et d'audit réservé aux administrateurs système. Gestion des utilisateurs, des droits, des configurations et des journaux d'activité.</w:t>
      </w:r>
    </w:p>
    <w:p>
      <w:pPr>
        <w:spacing w:before="200" w:after="80"/>
      </w:pPr>
      <w:r>
        <w:rPr>
          <w:rFonts w:ascii="Calibri" w:hAnsi="Calibri"/>
          <w:b/>
          <w:color w:val="0072C6"/>
          <w:sz w:val="24"/>
        </w:rPr>
        <w:t>4.2  Les acteurs de la plateforme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0347C"/>
          </w:tcPr>
          <w:p>
            <w:pPr>
              <w:spacing w:before="100" w:after="100"/>
            </w:pPr>
            <w:r>
              <w:rPr>
                <w:rFonts w:ascii="Calibri" w:hAnsi="Calibri"/>
                <w:b/>
                <w:color w:val="FFFFFF"/>
                <w:sz w:val="18"/>
              </w:rPr>
              <w:t>Acteur</w:t>
            </w:r>
          </w:p>
        </w:tc>
        <w:tc>
          <w:tcPr>
            <w:tcW w:type="dxa" w:w="2351"/>
            <w:shd w:val="clear" w:color="auto" w:fill="00347C"/>
          </w:tcPr>
          <w:p>
            <w:pPr>
              <w:spacing w:before="100" w:after="100"/>
            </w:pPr>
            <w:r>
              <w:rPr>
                <w:rFonts w:ascii="Calibri" w:hAnsi="Calibri"/>
                <w:b/>
                <w:color w:val="FFFFFF"/>
                <w:sz w:val="18"/>
              </w:rPr>
              <w:t>Profil</w:t>
            </w:r>
          </w:p>
        </w:tc>
        <w:tc>
          <w:tcPr>
            <w:tcW w:type="dxa" w:w="2351"/>
            <w:shd w:val="clear" w:color="auto" w:fill="00347C"/>
          </w:tcPr>
          <w:p>
            <w:pPr>
              <w:spacing w:before="100" w:after="100"/>
            </w:pPr>
            <w:r>
              <w:rPr>
                <w:rFonts w:ascii="Calibri" w:hAnsi="Calibri"/>
                <w:b/>
                <w:color w:val="FFFFFF"/>
                <w:sz w:val="18"/>
              </w:rPr>
              <w:t>Rôle principal</w:t>
            </w:r>
          </w:p>
        </w:tc>
        <w:tc>
          <w:tcPr>
            <w:tcW w:type="dxa" w:w="2351"/>
            <w:shd w:val="clear" w:color="auto" w:fill="00347C"/>
          </w:tcPr>
          <w:p>
            <w:pPr>
              <w:spacing w:before="100" w:after="100"/>
            </w:pPr>
            <w:r>
              <w:rPr>
                <w:rFonts w:ascii="Calibri" w:hAnsi="Calibri"/>
                <w:b/>
                <w:color w:val="FFFFFF"/>
                <w:sz w:val="18"/>
              </w:rPr>
              <w:t>Canal d'accès</w:t>
            </w:r>
          </w:p>
        </w:tc>
      </w:tr>
      <w:tr>
        <w:tc>
          <w:tcPr>
            <w:tcW w:type="dxa" w:w="2351"/>
            <w:shd w:val="clear" w:color="auto" w:fill="FFFFFF"/>
          </w:tcPr>
          <w:p>
            <w:pPr>
              <w:spacing w:before="100" w:after="100"/>
            </w:pPr>
            <w:r>
              <w:rPr>
                <w:rFonts w:ascii="Calibri" w:hAnsi="Calibri"/>
                <w:b/>
                <w:color w:val="2D2D2D"/>
                <w:sz w:val="19"/>
              </w:rPr>
              <w:t>Travailleur / Salarié</w:t>
            </w:r>
          </w:p>
        </w:tc>
        <w:tc>
          <w:tcPr>
            <w:tcW w:type="dxa" w:w="2351"/>
            <w:shd w:val="clear" w:color="auto" w:fill="FFFFFF"/>
          </w:tcPr>
          <w:p>
            <w:pPr>
              <w:spacing w:before="100" w:after="100"/>
            </w:pPr>
            <w:r>
              <w:rPr>
                <w:rFonts w:ascii="Calibri" w:hAnsi="Calibri"/>
                <w:b w:val="0"/>
                <w:color w:val="2D2D2D"/>
                <w:sz w:val="19"/>
              </w:rPr>
              <w:t>8M+ actifs</w:t>
            </w:r>
          </w:p>
        </w:tc>
        <w:tc>
          <w:tcPr>
            <w:tcW w:type="dxa" w:w="2351"/>
            <w:shd w:val="clear" w:color="auto" w:fill="FFFFFF"/>
          </w:tcPr>
          <w:p>
            <w:pPr>
              <w:spacing w:before="100" w:after="100"/>
            </w:pPr>
            <w:r>
              <w:rPr>
                <w:rFonts w:ascii="Calibri" w:hAnsi="Calibri"/>
                <w:b w:val="0"/>
                <w:color w:val="2D2D2D"/>
                <w:sz w:val="19"/>
              </w:rPr>
              <w:t>Dépôt plainte, suivi dossier</w:t>
            </w:r>
          </w:p>
        </w:tc>
        <w:tc>
          <w:tcPr>
            <w:tcW w:type="dxa" w:w="2351"/>
            <w:shd w:val="clear" w:color="auto" w:fill="FFFFFF"/>
          </w:tcPr>
          <w:p>
            <w:pPr>
              <w:spacing w:before="100" w:after="100"/>
            </w:pPr>
            <w:r>
              <w:rPr>
                <w:rFonts w:ascii="Calibri" w:hAnsi="Calibri"/>
                <w:b w:val="0"/>
                <w:color w:val="2D2D2D"/>
                <w:sz w:val="19"/>
              </w:rPr>
              <w:t>Web + App mobile</w:t>
            </w:r>
          </w:p>
        </w:tc>
      </w:tr>
      <w:tr>
        <w:tc>
          <w:tcPr>
            <w:tcW w:type="dxa" w:w="2351"/>
            <w:shd w:val="clear" w:color="auto" w:fill="F5F7FA"/>
          </w:tcPr>
          <w:p>
            <w:pPr>
              <w:spacing w:before="100" w:after="100"/>
            </w:pPr>
            <w:r>
              <w:rPr>
                <w:rFonts w:ascii="Calibri" w:hAnsi="Calibri"/>
                <w:b/>
                <w:color w:val="2D2D2D"/>
                <w:sz w:val="19"/>
              </w:rPr>
              <w:t>Employé domestique</w:t>
            </w:r>
          </w:p>
        </w:tc>
        <w:tc>
          <w:tcPr>
            <w:tcW w:type="dxa" w:w="2351"/>
            <w:shd w:val="clear" w:color="auto" w:fill="F5F7FA"/>
          </w:tcPr>
          <w:p>
            <w:pPr>
              <w:spacing w:before="100" w:after="100"/>
            </w:pPr>
            <w:r>
              <w:rPr>
                <w:rFonts w:ascii="Calibri" w:hAnsi="Calibri"/>
                <w:b w:val="0"/>
                <w:color w:val="2D2D2D"/>
                <w:sz w:val="19"/>
              </w:rPr>
              <w:t>400K+</w:t>
            </w:r>
          </w:p>
        </w:tc>
        <w:tc>
          <w:tcPr>
            <w:tcW w:type="dxa" w:w="2351"/>
            <w:shd w:val="clear" w:color="auto" w:fill="F5F7FA"/>
          </w:tcPr>
          <w:p>
            <w:pPr>
              <w:spacing w:before="100" w:after="100"/>
            </w:pPr>
            <w:r>
              <w:rPr>
                <w:rFonts w:ascii="Calibri" w:hAnsi="Calibri"/>
                <w:b w:val="0"/>
                <w:color w:val="2D2D2D"/>
                <w:sz w:val="19"/>
              </w:rPr>
              <w:t>Inscription, contrat, certification</w:t>
            </w:r>
          </w:p>
        </w:tc>
        <w:tc>
          <w:tcPr>
            <w:tcW w:type="dxa" w:w="2351"/>
            <w:shd w:val="clear" w:color="auto" w:fill="F5F7FA"/>
          </w:tcPr>
          <w:p>
            <w:pPr>
              <w:spacing w:before="100" w:after="100"/>
            </w:pPr>
            <w:r>
              <w:rPr>
                <w:rFonts w:ascii="Calibri" w:hAnsi="Calibri"/>
                <w:b w:val="0"/>
                <w:color w:val="2D2D2D"/>
                <w:sz w:val="19"/>
              </w:rPr>
              <w:t>App mobile</w:t>
            </w:r>
          </w:p>
        </w:tc>
      </w:tr>
      <w:tr>
        <w:tc>
          <w:tcPr>
            <w:tcW w:type="dxa" w:w="2351"/>
            <w:shd w:val="clear" w:color="auto" w:fill="FFFFFF"/>
          </w:tcPr>
          <w:p>
            <w:pPr>
              <w:spacing w:before="100" w:after="100"/>
            </w:pPr>
            <w:r>
              <w:rPr>
                <w:rFonts w:ascii="Calibri" w:hAnsi="Calibri"/>
                <w:b/>
                <w:color w:val="2D2D2D"/>
                <w:sz w:val="19"/>
              </w:rPr>
              <w:t>Employeur / Entreprise</w:t>
            </w:r>
          </w:p>
        </w:tc>
        <w:tc>
          <w:tcPr>
            <w:tcW w:type="dxa" w:w="2351"/>
            <w:shd w:val="clear" w:color="auto" w:fill="FFFFFF"/>
          </w:tcPr>
          <w:p>
            <w:pPr>
              <w:spacing w:before="100" w:after="100"/>
            </w:pPr>
            <w:r>
              <w:rPr>
                <w:rFonts w:ascii="Calibri" w:hAnsi="Calibri"/>
                <w:b w:val="0"/>
                <w:color w:val="2D2D2D"/>
                <w:sz w:val="19"/>
              </w:rPr>
              <w:t>150K entreprises</w:t>
            </w:r>
          </w:p>
        </w:tc>
        <w:tc>
          <w:tcPr>
            <w:tcW w:type="dxa" w:w="2351"/>
            <w:shd w:val="clear" w:color="auto" w:fill="FFFFFF"/>
          </w:tcPr>
          <w:p>
            <w:pPr>
              <w:spacing w:before="100" w:after="100"/>
            </w:pPr>
            <w:r>
              <w:rPr>
                <w:rFonts w:ascii="Calibri" w:hAnsi="Calibri"/>
                <w:b w:val="0"/>
                <w:color w:val="2D2D2D"/>
                <w:sz w:val="19"/>
              </w:rPr>
              <w:t>Réponse plainte, conformité</w:t>
            </w:r>
          </w:p>
        </w:tc>
        <w:tc>
          <w:tcPr>
            <w:tcW w:type="dxa" w:w="2351"/>
            <w:shd w:val="clear" w:color="auto" w:fill="FFFFFF"/>
          </w:tcPr>
          <w:p>
            <w:pPr>
              <w:spacing w:before="100" w:after="100"/>
            </w:pPr>
            <w:r>
              <w:rPr>
                <w:rFonts w:ascii="Calibri" w:hAnsi="Calibri"/>
                <w:b w:val="0"/>
                <w:color w:val="2D2D2D"/>
                <w:sz w:val="19"/>
              </w:rPr>
              <w:t>Web</w:t>
            </w:r>
          </w:p>
        </w:tc>
      </w:tr>
      <w:tr>
        <w:tc>
          <w:tcPr>
            <w:tcW w:type="dxa" w:w="2351"/>
            <w:shd w:val="clear" w:color="auto" w:fill="F5F7FA"/>
          </w:tcPr>
          <w:p>
            <w:pPr>
              <w:spacing w:before="100" w:after="100"/>
            </w:pPr>
            <w:r>
              <w:rPr>
                <w:rFonts w:ascii="Calibri" w:hAnsi="Calibri"/>
                <w:b/>
                <w:color w:val="2D2D2D"/>
                <w:sz w:val="19"/>
              </w:rPr>
              <w:t>Inspecteur du Travail</w:t>
            </w:r>
          </w:p>
        </w:tc>
        <w:tc>
          <w:tcPr>
            <w:tcW w:type="dxa" w:w="2351"/>
            <w:shd w:val="clear" w:color="auto" w:fill="F5F7FA"/>
          </w:tcPr>
          <w:p>
            <w:pPr>
              <w:spacing w:before="100" w:after="100"/>
            </w:pPr>
            <w:r>
              <w:rPr>
                <w:rFonts w:ascii="Calibri" w:hAnsi="Calibri"/>
                <w:b w:val="0"/>
                <w:color w:val="2D2D2D"/>
                <w:sz w:val="19"/>
              </w:rPr>
              <w:t>~600 agents</w:t>
            </w:r>
          </w:p>
        </w:tc>
        <w:tc>
          <w:tcPr>
            <w:tcW w:type="dxa" w:w="2351"/>
            <w:shd w:val="clear" w:color="auto" w:fill="F5F7FA"/>
          </w:tcPr>
          <w:p>
            <w:pPr>
              <w:spacing w:before="100" w:after="100"/>
            </w:pPr>
            <w:r>
              <w:rPr>
                <w:rFonts w:ascii="Calibri" w:hAnsi="Calibri"/>
                <w:b w:val="0"/>
                <w:color w:val="2D2D2D"/>
                <w:sz w:val="19"/>
              </w:rPr>
              <w:t>Enquête, contrôle, PV numérique</w:t>
            </w:r>
          </w:p>
        </w:tc>
        <w:tc>
          <w:tcPr>
            <w:tcW w:type="dxa" w:w="2351"/>
            <w:shd w:val="clear" w:color="auto" w:fill="F5F7FA"/>
          </w:tcPr>
          <w:p>
            <w:pPr>
              <w:spacing w:before="100" w:after="100"/>
            </w:pPr>
            <w:r>
              <w:rPr>
                <w:rFonts w:ascii="Calibri" w:hAnsi="Calibri"/>
                <w:b w:val="0"/>
                <w:color w:val="2D2D2D"/>
                <w:sz w:val="19"/>
              </w:rPr>
              <w:t>Web + App mobile</w:t>
            </w:r>
          </w:p>
        </w:tc>
      </w:tr>
      <w:tr>
        <w:tc>
          <w:tcPr>
            <w:tcW w:type="dxa" w:w="2351"/>
            <w:shd w:val="clear" w:color="auto" w:fill="FFFFFF"/>
          </w:tcPr>
          <w:p>
            <w:pPr>
              <w:spacing w:before="100" w:after="100"/>
            </w:pPr>
            <w:r>
              <w:rPr>
                <w:rFonts w:ascii="Calibri" w:hAnsi="Calibri"/>
                <w:b/>
                <w:color w:val="2D2D2D"/>
                <w:sz w:val="19"/>
              </w:rPr>
              <w:t>Chef d'Inspection</w:t>
            </w:r>
          </w:p>
        </w:tc>
        <w:tc>
          <w:tcPr>
            <w:tcW w:type="dxa" w:w="2351"/>
            <w:shd w:val="clear" w:color="auto" w:fill="FFFFFF"/>
          </w:tcPr>
          <w:p>
            <w:pPr>
              <w:spacing w:before="100" w:after="100"/>
            </w:pPr>
            <w:r>
              <w:rPr>
                <w:rFonts w:ascii="Calibri" w:hAnsi="Calibri"/>
                <w:b w:val="0"/>
                <w:color w:val="2D2D2D"/>
                <w:sz w:val="19"/>
              </w:rPr>
              <w:t>~80 chefs</w:t>
            </w:r>
          </w:p>
        </w:tc>
        <w:tc>
          <w:tcPr>
            <w:tcW w:type="dxa" w:w="2351"/>
            <w:shd w:val="clear" w:color="auto" w:fill="FFFFFF"/>
          </w:tcPr>
          <w:p>
            <w:pPr>
              <w:spacing w:before="100" w:after="100"/>
            </w:pPr>
            <w:r>
              <w:rPr>
                <w:rFonts w:ascii="Calibri" w:hAnsi="Calibri"/>
                <w:b w:val="0"/>
                <w:color w:val="2D2D2D"/>
                <w:sz w:val="19"/>
              </w:rPr>
              <w:t>Validation, supervision, affectation</w:t>
            </w:r>
          </w:p>
        </w:tc>
        <w:tc>
          <w:tcPr>
            <w:tcW w:type="dxa" w:w="2351"/>
            <w:shd w:val="clear" w:color="auto" w:fill="FFFFFF"/>
          </w:tcPr>
          <w:p>
            <w:pPr>
              <w:spacing w:before="100" w:after="100"/>
            </w:pPr>
            <w:r>
              <w:rPr>
                <w:rFonts w:ascii="Calibri" w:hAnsi="Calibri"/>
                <w:b w:val="0"/>
                <w:color w:val="2D2D2D"/>
                <w:sz w:val="19"/>
              </w:rPr>
              <w:t>Web</w:t>
            </w:r>
          </w:p>
        </w:tc>
      </w:tr>
      <w:tr>
        <w:tc>
          <w:tcPr>
            <w:tcW w:type="dxa" w:w="2351"/>
            <w:shd w:val="clear" w:color="auto" w:fill="F5F7FA"/>
          </w:tcPr>
          <w:p>
            <w:pPr>
              <w:spacing w:before="100" w:after="100"/>
            </w:pPr>
            <w:r>
              <w:rPr>
                <w:rFonts w:ascii="Calibri" w:hAnsi="Calibri"/>
                <w:b/>
                <w:color w:val="2D2D2D"/>
                <w:sz w:val="19"/>
              </w:rPr>
              <w:t>Directeur Régional</w:t>
            </w:r>
          </w:p>
        </w:tc>
        <w:tc>
          <w:tcPr>
            <w:tcW w:type="dxa" w:w="2351"/>
            <w:shd w:val="clear" w:color="auto" w:fill="F5F7FA"/>
          </w:tcPr>
          <w:p>
            <w:pPr>
              <w:spacing w:before="100" w:after="100"/>
            </w:pPr>
            <w:r>
              <w:rPr>
                <w:rFonts w:ascii="Calibri" w:hAnsi="Calibri"/>
                <w:b w:val="0"/>
                <w:color w:val="2D2D2D"/>
                <w:sz w:val="19"/>
              </w:rPr>
              <w:t>19 directions</w:t>
            </w:r>
          </w:p>
        </w:tc>
        <w:tc>
          <w:tcPr>
            <w:tcW w:type="dxa" w:w="2351"/>
            <w:shd w:val="clear" w:color="auto" w:fill="F5F7FA"/>
          </w:tcPr>
          <w:p>
            <w:pPr>
              <w:spacing w:before="100" w:after="100"/>
            </w:pPr>
            <w:r>
              <w:rPr>
                <w:rFonts w:ascii="Calibri" w:hAnsi="Calibri"/>
                <w:b w:val="0"/>
                <w:color w:val="2D2D2D"/>
                <w:sz w:val="19"/>
              </w:rPr>
              <w:t>Pilotage régional, escalades</w:t>
            </w:r>
          </w:p>
        </w:tc>
        <w:tc>
          <w:tcPr>
            <w:tcW w:type="dxa" w:w="2351"/>
            <w:shd w:val="clear" w:color="auto" w:fill="F5F7FA"/>
          </w:tcPr>
          <w:p>
            <w:pPr>
              <w:spacing w:before="100" w:after="100"/>
            </w:pPr>
            <w:r>
              <w:rPr>
                <w:rFonts w:ascii="Calibri" w:hAnsi="Calibri"/>
                <w:b w:val="0"/>
                <w:color w:val="2D2D2D"/>
                <w:sz w:val="19"/>
              </w:rPr>
              <w:t>Web</w:t>
            </w:r>
          </w:p>
        </w:tc>
      </w:tr>
      <w:tr>
        <w:tc>
          <w:tcPr>
            <w:tcW w:type="dxa" w:w="2351"/>
            <w:shd w:val="clear" w:color="auto" w:fill="FFFFFF"/>
          </w:tcPr>
          <w:p>
            <w:pPr>
              <w:spacing w:before="100" w:after="100"/>
            </w:pPr>
            <w:r>
              <w:rPr>
                <w:rFonts w:ascii="Calibri" w:hAnsi="Calibri"/>
                <w:b/>
                <w:color w:val="2D2D2D"/>
                <w:sz w:val="19"/>
              </w:rPr>
              <w:t>Directeur Général</w:t>
            </w:r>
          </w:p>
        </w:tc>
        <w:tc>
          <w:tcPr>
            <w:tcW w:type="dxa" w:w="2351"/>
            <w:shd w:val="clear" w:color="auto" w:fill="FFFFFF"/>
          </w:tcPr>
          <w:p>
            <w:pPr>
              <w:spacing w:before="100" w:after="100"/>
            </w:pPr>
            <w:r>
              <w:rPr>
                <w:rFonts w:ascii="Calibri" w:hAnsi="Calibri"/>
                <w:b w:val="0"/>
                <w:color w:val="2D2D2D"/>
                <w:sz w:val="19"/>
              </w:rPr>
              <w:t>1</w:t>
            </w:r>
          </w:p>
        </w:tc>
        <w:tc>
          <w:tcPr>
            <w:tcW w:type="dxa" w:w="2351"/>
            <w:shd w:val="clear" w:color="auto" w:fill="FFFFFF"/>
          </w:tcPr>
          <w:p>
            <w:pPr>
              <w:spacing w:before="100" w:after="100"/>
            </w:pPr>
            <w:r>
              <w:rPr>
                <w:rFonts w:ascii="Calibri" w:hAnsi="Calibri"/>
                <w:b w:val="0"/>
                <w:color w:val="2D2D2D"/>
                <w:sz w:val="19"/>
              </w:rPr>
              <w:t>Pilotage national, reporting</w:t>
            </w:r>
          </w:p>
        </w:tc>
        <w:tc>
          <w:tcPr>
            <w:tcW w:type="dxa" w:w="2351"/>
            <w:shd w:val="clear" w:color="auto" w:fill="FFFFFF"/>
          </w:tcPr>
          <w:p>
            <w:pPr>
              <w:spacing w:before="100" w:after="100"/>
            </w:pPr>
            <w:r>
              <w:rPr>
                <w:rFonts w:ascii="Calibri" w:hAnsi="Calibri"/>
                <w:b w:val="0"/>
                <w:color w:val="2D2D2D"/>
                <w:sz w:val="19"/>
              </w:rPr>
              <w:t>Web</w:t>
            </w:r>
          </w:p>
        </w:tc>
      </w:tr>
      <w:tr>
        <w:tc>
          <w:tcPr>
            <w:tcW w:type="dxa" w:w="2351"/>
            <w:shd w:val="clear" w:color="auto" w:fill="F5F7FA"/>
          </w:tcPr>
          <w:p>
            <w:pPr>
              <w:spacing w:before="100" w:after="100"/>
            </w:pPr>
            <w:r>
              <w:rPr>
                <w:rFonts w:ascii="Calibri" w:hAnsi="Calibri"/>
                <w:b/>
                <w:color w:val="2D2D2D"/>
                <w:sz w:val="19"/>
              </w:rPr>
              <w:t>Médiateur/Conciliateur</w:t>
            </w:r>
          </w:p>
        </w:tc>
        <w:tc>
          <w:tcPr>
            <w:tcW w:type="dxa" w:w="2351"/>
            <w:shd w:val="clear" w:color="auto" w:fill="F5F7FA"/>
          </w:tcPr>
          <w:p>
            <w:pPr>
              <w:spacing w:before="100" w:after="100"/>
            </w:pPr>
            <w:r>
              <w:rPr>
                <w:rFonts w:ascii="Calibri" w:hAnsi="Calibri"/>
                <w:b w:val="0"/>
                <w:color w:val="2D2D2D"/>
                <w:sz w:val="19"/>
              </w:rPr>
              <w:t>~50</w:t>
            </w:r>
          </w:p>
        </w:tc>
        <w:tc>
          <w:tcPr>
            <w:tcW w:type="dxa" w:w="2351"/>
            <w:shd w:val="clear" w:color="auto" w:fill="F5F7FA"/>
          </w:tcPr>
          <w:p>
            <w:pPr>
              <w:spacing w:before="100" w:after="100"/>
            </w:pPr>
            <w:r>
              <w:rPr>
                <w:rFonts w:ascii="Calibri" w:hAnsi="Calibri"/>
                <w:b w:val="0"/>
                <w:color w:val="2D2D2D"/>
                <w:sz w:val="19"/>
              </w:rPr>
              <w:t>Conduite séances médiation</w:t>
            </w:r>
          </w:p>
        </w:tc>
        <w:tc>
          <w:tcPr>
            <w:tcW w:type="dxa" w:w="2351"/>
            <w:shd w:val="clear" w:color="auto" w:fill="F5F7FA"/>
          </w:tcPr>
          <w:p>
            <w:pPr>
              <w:spacing w:before="100" w:after="100"/>
            </w:pPr>
            <w:r>
              <w:rPr>
                <w:rFonts w:ascii="Calibri" w:hAnsi="Calibri"/>
                <w:b w:val="0"/>
                <w:color w:val="2D2D2D"/>
                <w:sz w:val="19"/>
              </w:rPr>
              <w:t>Web + Visio</w:t>
            </w:r>
          </w:p>
        </w:tc>
      </w:tr>
      <w:tr>
        <w:tc>
          <w:tcPr>
            <w:tcW w:type="dxa" w:w="2351"/>
            <w:shd w:val="clear" w:color="auto" w:fill="FFFFFF"/>
          </w:tcPr>
          <w:p>
            <w:pPr>
              <w:spacing w:before="100" w:after="100"/>
            </w:pPr>
            <w:r>
              <w:rPr>
                <w:rFonts w:ascii="Calibri" w:hAnsi="Calibri"/>
                <w:b/>
                <w:color w:val="2D2D2D"/>
                <w:sz w:val="19"/>
              </w:rPr>
              <w:t>Agent judiciaire</w:t>
            </w:r>
          </w:p>
        </w:tc>
        <w:tc>
          <w:tcPr>
            <w:tcW w:type="dxa" w:w="2351"/>
            <w:shd w:val="clear" w:color="auto" w:fill="FFFFFF"/>
          </w:tcPr>
          <w:p>
            <w:pPr>
              <w:spacing w:before="100" w:after="100"/>
            </w:pPr>
            <w:r>
              <w:rPr>
                <w:rFonts w:ascii="Calibri" w:hAnsi="Calibri"/>
                <w:b w:val="0"/>
                <w:color w:val="2D2D2D"/>
                <w:sz w:val="19"/>
              </w:rPr>
              <w:t>~30</w:t>
            </w:r>
          </w:p>
        </w:tc>
        <w:tc>
          <w:tcPr>
            <w:tcW w:type="dxa" w:w="2351"/>
            <w:shd w:val="clear" w:color="auto" w:fill="FFFFFF"/>
          </w:tcPr>
          <w:p>
            <w:pPr>
              <w:spacing w:before="100" w:after="100"/>
            </w:pPr>
            <w:r>
              <w:rPr>
                <w:rFonts w:ascii="Calibri" w:hAnsi="Calibri"/>
                <w:b w:val="0"/>
                <w:color w:val="2D2D2D"/>
                <w:sz w:val="19"/>
              </w:rPr>
              <w:t>Suivi procédures judiciaires</w:t>
            </w:r>
          </w:p>
        </w:tc>
        <w:tc>
          <w:tcPr>
            <w:tcW w:type="dxa" w:w="2351"/>
            <w:shd w:val="clear" w:color="auto" w:fill="FFFFFF"/>
          </w:tcPr>
          <w:p>
            <w:pPr>
              <w:spacing w:before="100" w:after="100"/>
            </w:pPr>
            <w:r>
              <w:rPr>
                <w:rFonts w:ascii="Calibri" w:hAnsi="Calibri"/>
                <w:b w:val="0"/>
                <w:color w:val="2D2D2D"/>
                <w:sz w:val="19"/>
              </w:rPr>
              <w:t>Web</w:t>
            </w:r>
          </w:p>
        </w:tc>
      </w:tr>
      <w:tr>
        <w:tc>
          <w:tcPr>
            <w:tcW w:type="dxa" w:w="2351"/>
            <w:shd w:val="clear" w:color="auto" w:fill="F5F7FA"/>
          </w:tcPr>
          <w:p>
            <w:pPr>
              <w:spacing w:before="100" w:after="100"/>
            </w:pPr>
            <w:r>
              <w:rPr>
                <w:rFonts w:ascii="Calibri" w:hAnsi="Calibri"/>
                <w:b/>
                <w:color w:val="2D2D2D"/>
                <w:sz w:val="19"/>
              </w:rPr>
              <w:t>Administrateur système</w:t>
            </w:r>
          </w:p>
        </w:tc>
        <w:tc>
          <w:tcPr>
            <w:tcW w:type="dxa" w:w="2351"/>
            <w:shd w:val="clear" w:color="auto" w:fill="F5F7FA"/>
          </w:tcPr>
          <w:p>
            <w:pPr>
              <w:spacing w:before="100" w:after="100"/>
            </w:pPr>
            <w:r>
              <w:rPr>
                <w:rFonts w:ascii="Calibri" w:hAnsi="Calibri"/>
                <w:b w:val="0"/>
                <w:color w:val="2D2D2D"/>
                <w:sz w:val="19"/>
              </w:rPr>
              <w:t>5–10</w:t>
            </w:r>
          </w:p>
        </w:tc>
        <w:tc>
          <w:tcPr>
            <w:tcW w:type="dxa" w:w="2351"/>
            <w:shd w:val="clear" w:color="auto" w:fill="F5F7FA"/>
          </w:tcPr>
          <w:p>
            <w:pPr>
              <w:spacing w:before="100" w:after="100"/>
            </w:pPr>
            <w:r>
              <w:rPr>
                <w:rFonts w:ascii="Calibri" w:hAnsi="Calibri"/>
                <w:b w:val="0"/>
                <w:color w:val="2D2D2D"/>
                <w:sz w:val="19"/>
              </w:rPr>
              <w:t>Config, audit, sécurité</w:t>
            </w:r>
          </w:p>
        </w:tc>
        <w:tc>
          <w:tcPr>
            <w:tcW w:type="dxa" w:w="2351"/>
            <w:shd w:val="clear" w:color="auto" w:fill="F5F7FA"/>
          </w:tcPr>
          <w:p>
            <w:pPr>
              <w:spacing w:before="100" w:after="100"/>
            </w:pPr>
            <w:r>
              <w:rPr>
                <w:rFonts w:ascii="Calibri" w:hAnsi="Calibri"/>
                <w:b w:val="0"/>
                <w:color w:val="2D2D2D"/>
                <w:sz w:val="19"/>
              </w:rPr>
              <w:t>Console admin</w:t>
            </w:r>
          </w:p>
        </w:tc>
      </w:tr>
    </w:tbl>
    <w:p>
      <w:r>
        <w:br w:type="page"/>
      </w:r>
    </w:p>
    <w:p>
      <w:pPr>
        <w:spacing w:before="0" w:after="120"/>
      </w:pPr>
      <w:r>
        <w:rPr>
          <w:rFonts w:ascii="Calibri" w:hAnsi="Calibri"/>
          <w:b/>
          <w:color w:val="00347C"/>
          <w:sz w:val="30"/>
        </w:rPr>
        <w:t>5.  FONCTIONNALITÉS DÉTAILLÉES (16 MODULES)</w:t>
      </w:r>
    </w:p>
    <w:p>
      <w:pPr>
        <w:pBdr>
          <w:bottom w:val="single" w:sz="6" w:space="1" w:color="00347C"/>
        </w:pBdr>
        <w:spacing w:before="20" w:after="40"/>
      </w:pPr>
    </w:p>
    <w:p>
      <w:pPr>
        <w:spacing w:before="60" w:after="60" w:line="360" w:lineRule="auto"/>
        <w:jc w:val="both"/>
      </w:pPr>
      <w:r>
        <w:rPr>
          <w:rFonts w:ascii="Calibri" w:hAnsi="Calibri"/>
          <w:i w:val="0"/>
          <w:color w:val="2D2D2D"/>
          <w:sz w:val="21"/>
        </w:rPr>
        <w:t>La plateforme est organisée en 16 modules fonctionnels couvrant l'intégralité des besoins opérationnels et stratégiques de la Direction Générale du Travail.</w:t>
      </w:r>
    </w:p>
    <w:tbl>
      <w:tblPr>
        <w:tblW w:type="auto" w:w="0"/>
        <w:jc w:val="center"/>
        <w:tblLook w:firstColumn="1" w:firstRow="1" w:lastColumn="0" w:lastRow="0" w:noHBand="0" w:noVBand="1" w:val="04A0"/>
      </w:tblPr>
      <w:tblGrid>
        <w:gridCol w:w="9406"/>
      </w:tblGrid>
      <w:tr>
        <w:tc>
          <w:tcPr>
            <w:tcW w:type="dxa" w:w="9406"/>
            <w:shd w:val="clear" w:color="auto" w:fill="00347C"/>
            <w:vAlign w:val="center"/>
          </w:tcPr>
          <w:p>
            <w:pPr>
              <w:spacing w:before="160" w:after="160"/>
              <w:jc w:val="left"/>
            </w:pPr>
            <w:r>
              <w:rPr>
                <w:rFonts w:ascii="Calibri" w:hAnsi="Calibri"/>
                <w:b/>
                <w:color w:val="FFFFFF"/>
                <w:sz w:val="22"/>
              </w:rPr>
              <w:t xml:space="preserve">  MODULE 1  –  Gestion des Utilisateurs et des Accès</w:t>
            </w:r>
          </w:p>
        </w:tc>
      </w:tr>
    </w:tbl>
    <w:p>
      <w:pPr>
        <w:spacing w:before="200" w:after="80"/>
      </w:pPr>
      <w:r>
        <w:rPr>
          <w:rFonts w:ascii="Calibri" w:hAnsi="Calibri"/>
          <w:b/>
          <w:color w:val="0072C6"/>
          <w:sz w:val="24"/>
        </w:rPr>
        <w:t>Objectif : Sécuriser et fluidifier l'accès à la plateforme pour tous les profils</w:t>
      </w:r>
    </w:p>
    <w:p>
      <w:pPr>
        <w:pStyle w:val="ListBullet"/>
        <w:spacing w:before="40" w:after="40"/>
      </w:pPr>
      <w:r>
        <w:rPr>
          <w:rFonts w:ascii="Calibri" w:hAnsi="Calibri"/>
          <w:b w:val="0"/>
          <w:color w:val="2D2D2D"/>
          <w:sz w:val="21"/>
        </w:rPr>
        <w:t>Système multi-rôles avec 8 types d'utilisateurs (travailleur, employeur, inspecteur, chef, directeur régional, DG, médiateur, admin)</w:t>
      </w:r>
    </w:p>
    <w:p>
      <w:pPr>
        <w:pStyle w:val="ListBullet"/>
        <w:spacing w:before="40" w:after="40"/>
      </w:pPr>
      <w:r>
        <w:rPr>
          <w:rFonts w:ascii="Calibri" w:hAnsi="Calibri"/>
          <w:b w:val="0"/>
          <w:color w:val="2D2D2D"/>
          <w:sz w:val="21"/>
        </w:rPr>
        <w:t>Authentification par JWT (JSON Web Token) avec durée de session configurable</w:t>
      </w:r>
    </w:p>
    <w:p>
      <w:pPr>
        <w:pStyle w:val="ListBullet"/>
        <w:spacing w:before="40" w:after="40"/>
      </w:pPr>
      <w:r>
        <w:rPr>
          <w:rFonts w:ascii="Calibri" w:hAnsi="Calibri"/>
          <w:b w:val="0"/>
          <w:color w:val="2D2D2D"/>
          <w:sz w:val="21"/>
        </w:rPr>
        <w:t>Authentification à deux facteurs (OTP via SMS/Google Authenticator) obligatoire pour les agents DGT</w:t>
      </w:r>
    </w:p>
    <w:p>
      <w:pPr>
        <w:pStyle w:val="ListBullet"/>
        <w:spacing w:before="40" w:after="40"/>
      </w:pPr>
      <w:r>
        <w:rPr>
          <w:rFonts w:ascii="Calibri" w:hAnsi="Calibri"/>
          <w:b w:val="0"/>
          <w:color w:val="2D2D2D"/>
          <w:sz w:val="21"/>
        </w:rPr>
        <w:t>Vérification d'identité par e-mail lors de l'inscription (lien d'activation à durée limitée)</w:t>
      </w:r>
    </w:p>
    <w:p>
      <w:pPr>
        <w:pStyle w:val="ListBullet"/>
        <w:spacing w:before="40" w:after="40"/>
      </w:pPr>
      <w:r>
        <w:rPr>
          <w:rFonts w:ascii="Calibri" w:hAnsi="Calibri"/>
          <w:b w:val="0"/>
          <w:color w:val="2D2D2D"/>
          <w:sz w:val="21"/>
        </w:rPr>
        <w:t>Réinitialisation sécurisée du mot de passe avec token à usage unique</w:t>
      </w:r>
    </w:p>
    <w:p>
      <w:pPr>
        <w:pStyle w:val="ListBullet"/>
        <w:spacing w:before="40" w:after="40"/>
      </w:pPr>
      <w:r>
        <w:rPr>
          <w:rFonts w:ascii="Calibri" w:hAnsi="Calibri"/>
          <w:b w:val="0"/>
          <w:color w:val="2D2D2D"/>
          <w:sz w:val="21"/>
        </w:rPr>
        <w:t>Gestion des profils complets : informations personnelles, photo, documents d'identité, spécialisation</w:t>
      </w:r>
    </w:p>
    <w:p>
      <w:pPr>
        <w:pStyle w:val="ListBullet"/>
        <w:spacing w:before="40" w:after="40"/>
      </w:pPr>
      <w:r>
        <w:rPr>
          <w:rFonts w:ascii="Calibri" w:hAnsi="Calibri"/>
          <w:b w:val="0"/>
          <w:color w:val="2D2D2D"/>
          <w:sz w:val="21"/>
        </w:rPr>
        <w:t>Numéros de téléphone ivoiriens validés (indicatif +225) et opérateurs reconnus (Orange CI, MTN CI, Moov Africa)</w:t>
      </w:r>
    </w:p>
    <w:p>
      <w:pPr>
        <w:pStyle w:val="ListBullet"/>
        <w:spacing w:before="40" w:after="40"/>
      </w:pPr>
      <w:r>
        <w:rPr>
          <w:rFonts w:ascii="Calibri" w:hAnsi="Calibri"/>
          <w:b w:val="0"/>
          <w:color w:val="2D2D2D"/>
          <w:sz w:val="21"/>
        </w:rPr>
        <w:t>Annuaire interne des agents DGT avec filtre par zone géographique et spécialité</w:t>
      </w:r>
    </w:p>
    <w:p>
      <w:pPr>
        <w:pStyle w:val="ListBullet"/>
        <w:spacing w:before="40" w:after="40"/>
      </w:pPr>
      <w:r>
        <w:rPr>
          <w:rFonts w:ascii="Calibri" w:hAnsi="Calibri"/>
          <w:b w:val="0"/>
          <w:color w:val="2D2D2D"/>
          <w:sz w:val="21"/>
        </w:rPr>
        <w:t>Délégation temporaire de rôle (ex : suppléance lors d'un congé)</w:t>
      </w:r>
    </w:p>
    <w:p>
      <w:pPr>
        <w:pStyle w:val="ListBullet"/>
        <w:spacing w:before="40" w:after="40"/>
      </w:pPr>
      <w:r>
        <w:rPr>
          <w:rFonts w:ascii="Calibri" w:hAnsi="Calibri"/>
          <w:b w:val="0"/>
          <w:color w:val="2D2D2D"/>
          <w:sz w:val="21"/>
        </w:rPr>
        <w:t>Journal de connexion et de déconnexion de chaque utilisateur avec IP et horodatage</w:t>
      </w:r>
    </w:p>
    <w:tbl>
      <w:tblPr>
        <w:tblW w:type="auto" w:w="0"/>
        <w:jc w:val="center"/>
        <w:tblLook w:firstColumn="1" w:firstRow="1" w:lastColumn="0" w:lastRow="0" w:noHBand="0" w:noVBand="1" w:val="04A0"/>
      </w:tblPr>
      <w:tblGrid>
        <w:gridCol w:w="9406"/>
      </w:tblGrid>
      <w:tr>
        <w:tc>
          <w:tcPr>
            <w:tcW w:type="dxa" w:w="9406"/>
            <w:shd w:val="clear" w:color="auto" w:fill="006BAF"/>
            <w:vAlign w:val="center"/>
          </w:tcPr>
          <w:p>
            <w:pPr>
              <w:spacing w:before="160" w:after="160"/>
              <w:jc w:val="left"/>
            </w:pPr>
            <w:r>
              <w:rPr>
                <w:rFonts w:ascii="Calibri" w:hAnsi="Calibri"/>
                <w:b/>
                <w:color w:val="FFFFFF"/>
                <w:sz w:val="22"/>
              </w:rPr>
              <w:t xml:space="preserve">  MODULE 2  –  Registre National des Entreprises</w:t>
            </w:r>
          </w:p>
        </w:tc>
      </w:tr>
    </w:tbl>
    <w:p>
      <w:pPr>
        <w:spacing w:before="200" w:after="80"/>
      </w:pPr>
      <w:r>
        <w:rPr>
          <w:rFonts w:ascii="Calibri" w:hAnsi="Calibri"/>
          <w:b/>
          <w:color w:val="0072C6"/>
          <w:sz w:val="24"/>
        </w:rPr>
        <w:t>Objectif : Centraliser le référentiel de toutes les entreprises assujetties au Code du Travail</w:t>
      </w:r>
    </w:p>
    <w:p>
      <w:pPr>
        <w:pStyle w:val="ListBullet"/>
        <w:spacing w:before="40" w:after="40"/>
      </w:pPr>
      <w:r>
        <w:rPr>
          <w:rFonts w:ascii="Calibri" w:hAnsi="Calibri"/>
          <w:b w:val="0"/>
          <w:color w:val="2D2D2D"/>
          <w:sz w:val="21"/>
        </w:rPr>
        <w:t>Fiche d'identité complète : raison sociale, RCCM, NIF, numéro CNPS, secteur d'activité (code NACE/CITI)</w:t>
      </w:r>
    </w:p>
    <w:p>
      <w:pPr>
        <w:pStyle w:val="ListBullet"/>
        <w:spacing w:before="40" w:after="40"/>
      </w:pPr>
      <w:r>
        <w:rPr>
          <w:rFonts w:ascii="Calibri" w:hAnsi="Calibri"/>
          <w:b w:val="0"/>
          <w:color w:val="2D2D2D"/>
          <w:sz w:val="21"/>
        </w:rPr>
        <w:t>Formes juridiques : SARL, SA, SAS, EI, SASU, SNC, GIE, coopérative et autres</w:t>
      </w:r>
    </w:p>
    <w:p>
      <w:pPr>
        <w:pStyle w:val="ListBullet"/>
        <w:spacing w:before="40" w:after="40"/>
      </w:pPr>
      <w:r>
        <w:rPr>
          <w:rFonts w:ascii="Calibri" w:hAnsi="Calibri"/>
          <w:b w:val="0"/>
          <w:color w:val="2D2D2D"/>
          <w:sz w:val="21"/>
        </w:rPr>
        <w:t>Gestion multi-établissements : siège social + succursales avec liens hiérarchiques</w:t>
      </w:r>
    </w:p>
    <w:p>
      <w:pPr>
        <w:pStyle w:val="ListBullet"/>
        <w:spacing w:before="40" w:after="40"/>
      </w:pPr>
      <w:r>
        <w:rPr>
          <w:rFonts w:ascii="Calibri" w:hAnsi="Calibri"/>
          <w:b w:val="0"/>
          <w:color w:val="2D2D2D"/>
          <w:sz w:val="21"/>
        </w:rPr>
        <w:t>Géolocalisation précise (latitude/longitude) et affectation automatique à la zone d'inspection</w:t>
      </w:r>
    </w:p>
    <w:p>
      <w:pPr>
        <w:pStyle w:val="ListBullet"/>
        <w:spacing w:before="40" w:after="40"/>
      </w:pPr>
      <w:r>
        <w:rPr>
          <w:rFonts w:ascii="Calibri" w:hAnsi="Calibri"/>
          <w:b w:val="0"/>
          <w:color w:val="2D2D2D"/>
          <w:sz w:val="21"/>
        </w:rPr>
        <w:t>Score de conformité dynamique (0–100) calculé à partir de l'historique des contrôles et infractions</w:t>
      </w:r>
    </w:p>
    <w:p>
      <w:pPr>
        <w:pStyle w:val="ListBullet"/>
        <w:spacing w:before="40" w:after="40"/>
      </w:pPr>
      <w:r>
        <w:rPr>
          <w:rFonts w:ascii="Calibri" w:hAnsi="Calibri"/>
          <w:b w:val="0"/>
          <w:color w:val="2D2D2D"/>
          <w:sz w:val="21"/>
        </w:rPr>
        <w:t>Niveau de risque : Faible / Moyen / Élevé / Critique, avec plan de contrôle priorisé</w:t>
      </w:r>
    </w:p>
    <w:p>
      <w:pPr>
        <w:pStyle w:val="ListBullet"/>
        <w:spacing w:before="40" w:after="40"/>
      </w:pPr>
      <w:r>
        <w:rPr>
          <w:rFonts w:ascii="Calibri" w:hAnsi="Calibri"/>
          <w:b w:val="0"/>
          <w:color w:val="2D2D2D"/>
          <w:sz w:val="21"/>
        </w:rPr>
        <w:t>Stockage sécurisé des documents légaux : statuts, RCCM, procès-verbaux des AG, bilans sociaux</w:t>
      </w:r>
    </w:p>
    <w:p>
      <w:pPr>
        <w:pStyle w:val="ListBullet"/>
        <w:spacing w:before="40" w:after="40"/>
      </w:pPr>
      <w:r>
        <w:rPr>
          <w:rFonts w:ascii="Calibri" w:hAnsi="Calibri"/>
          <w:b w:val="0"/>
          <w:color w:val="2D2D2D"/>
          <w:sz w:val="21"/>
        </w:rPr>
        <w:t>Historique complet des inspections et des plaintes par entreprise</w:t>
      </w:r>
    </w:p>
    <w:p>
      <w:pPr>
        <w:pStyle w:val="ListBullet"/>
        <w:spacing w:before="40" w:after="40"/>
      </w:pPr>
      <w:r>
        <w:rPr>
          <w:rFonts w:ascii="Calibri" w:hAnsi="Calibri"/>
          <w:b w:val="0"/>
          <w:color w:val="2D2D2D"/>
          <w:sz w:val="21"/>
        </w:rPr>
        <w:t>Indicateurs RH : nombre de salariés (CDI, CDD, intérim, apprentis), masse salariale déclarée</w:t>
      </w:r>
    </w:p>
    <w:p>
      <w:pPr>
        <w:pStyle w:val="ListBullet"/>
        <w:spacing w:before="40" w:after="40"/>
      </w:pPr>
      <w:r>
        <w:rPr>
          <w:rFonts w:ascii="Calibri" w:hAnsi="Calibri"/>
          <w:b w:val="0"/>
          <w:color w:val="2D2D2D"/>
          <w:sz w:val="21"/>
        </w:rPr>
        <w:t>Import en masse depuis Excel/CSV pour migration de l'existant</w:t>
      </w:r>
    </w:p>
    <w:p>
      <w:pPr>
        <w:pStyle w:val="ListBullet"/>
        <w:spacing w:before="40" w:after="40"/>
      </w:pPr>
      <w:r>
        <w:rPr>
          <w:rFonts w:ascii="Calibri" w:hAnsi="Calibri"/>
          <w:b w:val="0"/>
          <w:color w:val="2D2D2D"/>
          <w:sz w:val="21"/>
        </w:rPr>
        <w:t>Interface de recherche avancée : par secteur, taille, zone, niveau de risque, date de dernier contrôle</w:t>
      </w:r>
    </w:p>
    <w:tbl>
      <w:tblPr>
        <w:tblW w:type="auto" w:w="0"/>
        <w:jc w:val="center"/>
        <w:tblLook w:firstColumn="1" w:firstRow="1" w:lastColumn="0" w:lastRow="0" w:noHBand="0" w:noVBand="1" w:val="04A0"/>
      </w:tblPr>
      <w:tblGrid>
        <w:gridCol w:w="9406"/>
      </w:tblGrid>
      <w:tr>
        <w:tc>
          <w:tcPr>
            <w:tcW w:type="dxa" w:w="9406"/>
            <w:shd w:val="clear" w:color="auto" w:fill="00347C"/>
            <w:vAlign w:val="center"/>
          </w:tcPr>
          <w:p>
            <w:pPr>
              <w:spacing w:before="160" w:after="160"/>
              <w:jc w:val="left"/>
            </w:pPr>
            <w:r>
              <w:rPr>
                <w:rFonts w:ascii="Calibri" w:hAnsi="Calibri"/>
                <w:b/>
                <w:color w:val="FFFFFF"/>
                <w:sz w:val="22"/>
              </w:rPr>
              <w:t xml:space="preserve">  MODULE 3  –  Gestion des Plaintes Sociales</w:t>
            </w:r>
          </w:p>
        </w:tc>
      </w:tr>
    </w:tbl>
    <w:p>
      <w:pPr>
        <w:spacing w:before="200" w:after="80"/>
      </w:pPr>
      <w:r>
        <w:rPr>
          <w:rFonts w:ascii="Calibri" w:hAnsi="Calibri"/>
          <w:b/>
          <w:color w:val="0072C6"/>
          <w:sz w:val="24"/>
        </w:rPr>
        <w:t>Objectif : Numériser et accélérer le traitement de l'ensemble des plaintes de travail</w:t>
      </w:r>
    </w:p>
    <w:p>
      <w:pPr>
        <w:pStyle w:val="ListBullet"/>
        <w:spacing w:before="40" w:after="40"/>
      </w:pPr>
      <w:r>
        <w:rPr>
          <w:rFonts w:ascii="Calibri" w:hAnsi="Calibri"/>
          <w:b w:val="0"/>
          <w:color w:val="2D2D2D"/>
          <w:sz w:val="21"/>
        </w:rPr>
        <w:t>11 types de plaintes : salaires impayés, licenciement abusif, harcèlement moral, harcèlement sexuel, accident du travail, heures supplémentaires non rémunérées, violation du droit aux congés, non-respect du contrat, discrimination, conditions de travail dangereuses, autres</w:t>
      </w:r>
    </w:p>
    <w:p>
      <w:pPr>
        <w:pStyle w:val="ListBullet"/>
        <w:spacing w:before="40" w:after="40"/>
      </w:pPr>
      <w:r>
        <w:rPr>
          <w:rFonts w:ascii="Calibri" w:hAnsi="Calibri"/>
          <w:b w:val="0"/>
          <w:color w:val="2D2D2D"/>
          <w:sz w:val="21"/>
        </w:rPr>
        <w:t>Numérotation automatique et unique : PLT-CI-AAAA-XXXXXX (traçabilité nationale)</w:t>
      </w:r>
    </w:p>
    <w:p>
      <w:pPr>
        <w:pStyle w:val="ListBullet"/>
        <w:spacing w:before="40" w:after="40"/>
      </w:pPr>
      <w:r>
        <w:rPr>
          <w:rFonts w:ascii="Calibri" w:hAnsi="Calibri"/>
          <w:b w:val="0"/>
          <w:color w:val="2D2D2D"/>
          <w:sz w:val="21"/>
        </w:rPr>
        <w:t>Workflow configurable en 9 statuts : Reçue → Assignée → En cours → En investigation → En médiation → Résolue / Clôturée / Escaladée / Judiciaire</w:t>
      </w:r>
    </w:p>
    <w:p>
      <w:pPr>
        <w:pStyle w:val="ListBullet"/>
        <w:spacing w:before="40" w:after="40"/>
      </w:pPr>
      <w:r>
        <w:rPr>
          <w:rFonts w:ascii="Calibri" w:hAnsi="Calibri"/>
          <w:b w:val="0"/>
          <w:color w:val="2D2D2D"/>
          <w:sz w:val="21"/>
        </w:rPr>
        <w:t>4 niveaux de priorité : Normal, Moyen, Élevé, Urgent — avec escalade automatique si délai dépassé</w:t>
      </w:r>
    </w:p>
    <w:p>
      <w:pPr>
        <w:pStyle w:val="ListBullet"/>
        <w:spacing w:before="40" w:after="40"/>
      </w:pPr>
      <w:r>
        <w:rPr>
          <w:rFonts w:ascii="Calibri" w:hAnsi="Calibri"/>
          <w:b w:val="0"/>
          <w:color w:val="2D2D2D"/>
          <w:sz w:val="21"/>
        </w:rPr>
        <w:t>Pièces jointes multi-formats : PDF, images (JPG/PNG), vidéos (MP4), enregistrements audio (MP3/WAV), taille max configurable</w:t>
      </w:r>
    </w:p>
    <w:p>
      <w:pPr>
        <w:pStyle w:val="ListBullet"/>
        <w:spacing w:before="40" w:after="40"/>
      </w:pPr>
      <w:r>
        <w:rPr>
          <w:rFonts w:ascii="Calibri" w:hAnsi="Calibri"/>
          <w:b w:val="0"/>
          <w:color w:val="2D2D2D"/>
          <w:sz w:val="21"/>
        </w:rPr>
        <w:t>Suivi en temps réel pour le plaignant : notifications SMS et e-mail à chaque changement de statut</w:t>
      </w:r>
    </w:p>
    <w:p>
      <w:pPr>
        <w:pStyle w:val="ListBullet"/>
        <w:spacing w:before="40" w:after="40"/>
      </w:pPr>
      <w:r>
        <w:rPr>
          <w:rFonts w:ascii="Calibri" w:hAnsi="Calibri"/>
          <w:b w:val="0"/>
          <w:color w:val="2D2D2D"/>
          <w:sz w:val="21"/>
        </w:rPr>
        <w:t>Fil de commentaires interne entre les agents DGT traitant le dossier</w:t>
      </w:r>
    </w:p>
    <w:p>
      <w:pPr>
        <w:pStyle w:val="ListBullet"/>
        <w:spacing w:before="40" w:after="40"/>
      </w:pPr>
      <w:r>
        <w:rPr>
          <w:rFonts w:ascii="Calibri" w:hAnsi="Calibri"/>
          <w:b w:val="0"/>
          <w:color w:val="2D2D2D"/>
          <w:sz w:val="21"/>
        </w:rPr>
        <w:t>Journal d'audit immuable : tous les changements d'état sont horodatés et associés à un agent nommément identifié</w:t>
      </w:r>
    </w:p>
    <w:p>
      <w:pPr>
        <w:pStyle w:val="ListBullet"/>
        <w:spacing w:before="40" w:after="40"/>
      </w:pPr>
      <w:r>
        <w:rPr>
          <w:rFonts w:ascii="Calibri" w:hAnsi="Calibri"/>
          <w:b w:val="0"/>
          <w:color w:val="2D2D2D"/>
          <w:sz w:val="21"/>
        </w:rPr>
        <w:t>Délais réglementaires configurables avec alertes automatiques pour les responsables</w:t>
      </w:r>
    </w:p>
    <w:p>
      <w:pPr>
        <w:pStyle w:val="ListBullet"/>
        <w:spacing w:before="40" w:after="40"/>
      </w:pPr>
      <w:r>
        <w:rPr>
          <w:rFonts w:ascii="Calibri" w:hAnsi="Calibri"/>
          <w:b w:val="0"/>
          <w:color w:val="2D2D2D"/>
          <w:sz w:val="21"/>
        </w:rPr>
        <w:t>Tableau de bord des plaintes en attente, classées par ancienneté et priorité</w:t>
      </w:r>
    </w:p>
    <w:p>
      <w:pPr>
        <w:pStyle w:val="ListBullet"/>
        <w:spacing w:before="40" w:after="40"/>
      </w:pPr>
      <w:r>
        <w:rPr>
          <w:rFonts w:ascii="Calibri" w:hAnsi="Calibri"/>
          <w:b w:val="0"/>
          <w:color w:val="2D2D2D"/>
          <w:sz w:val="21"/>
        </w:rPr>
        <w:t>Statistiques de performance par inspecteur, par zone et par type de plainte</w:t>
      </w:r>
    </w:p>
    <w:tbl>
      <w:tblPr>
        <w:tblW w:type="auto" w:w="0"/>
        <w:jc w:val="center"/>
        <w:tblLook w:firstColumn="1" w:firstRow="1" w:lastColumn="0" w:lastRow="0" w:noHBand="0" w:noVBand="1" w:val="04A0"/>
      </w:tblPr>
      <w:tblGrid>
        <w:gridCol w:w="9406"/>
      </w:tblGrid>
      <w:tr>
        <w:tc>
          <w:tcPr>
            <w:tcW w:type="dxa" w:w="9406"/>
            <w:shd w:val="clear" w:color="auto" w:fill="006BAF"/>
            <w:vAlign w:val="center"/>
          </w:tcPr>
          <w:p>
            <w:pPr>
              <w:spacing w:before="160" w:after="160"/>
              <w:jc w:val="left"/>
            </w:pPr>
            <w:r>
              <w:rPr>
                <w:rFonts w:ascii="Calibri" w:hAnsi="Calibri"/>
                <w:b/>
                <w:color w:val="FFFFFF"/>
                <w:sz w:val="22"/>
              </w:rPr>
              <w:t xml:space="preserve">  MODULE 4  –  Zones et Planification des Inspections</w:t>
            </w:r>
          </w:p>
        </w:tc>
      </w:tr>
    </w:tbl>
    <w:p>
      <w:pPr>
        <w:spacing w:before="200" w:after="80"/>
      </w:pPr>
      <w:r>
        <w:rPr>
          <w:rFonts w:ascii="Calibri" w:hAnsi="Calibri"/>
          <w:b/>
          <w:color w:val="0072C6"/>
          <w:sz w:val="24"/>
        </w:rPr>
        <w:t>Objectif : Organiser géographiquement les missions de contrôle sur l'ensemble du territoire</w:t>
      </w:r>
    </w:p>
    <w:p>
      <w:pPr>
        <w:pStyle w:val="ListBullet"/>
        <w:spacing w:before="40" w:after="40"/>
      </w:pPr>
      <w:r>
        <w:rPr>
          <w:rFonts w:ascii="Calibri" w:hAnsi="Calibri"/>
          <w:b w:val="0"/>
          <w:color w:val="2D2D2D"/>
          <w:sz w:val="21"/>
        </w:rPr>
        <w:t>Découpage national en zones d'inspection : 19 directions régionales, communes, sous-préfectures</w:t>
      </w:r>
    </w:p>
    <w:p>
      <w:pPr>
        <w:pStyle w:val="ListBullet"/>
        <w:spacing w:before="40" w:after="40"/>
      </w:pPr>
      <w:r>
        <w:rPr>
          <w:rFonts w:ascii="Calibri" w:hAnsi="Calibri"/>
          <w:b w:val="0"/>
          <w:color w:val="2D2D2D"/>
          <w:sz w:val="21"/>
        </w:rPr>
        <w:t>Affectation des inspecteurs à leurs zones de compétence avec possibilité de zones partagées</w:t>
      </w:r>
    </w:p>
    <w:p>
      <w:pPr>
        <w:pStyle w:val="ListBullet"/>
        <w:spacing w:before="40" w:after="40"/>
      </w:pPr>
      <w:r>
        <w:rPr>
          <w:rFonts w:ascii="Calibri" w:hAnsi="Calibri"/>
          <w:b w:val="0"/>
          <w:color w:val="2D2D2D"/>
          <w:sz w:val="21"/>
        </w:rPr>
        <w:t>Planification des missions d'inspection : programmées, inopinées, de contrôle-suite</w:t>
      </w:r>
    </w:p>
    <w:p>
      <w:pPr>
        <w:pStyle w:val="ListBullet"/>
        <w:spacing w:before="40" w:after="40"/>
      </w:pPr>
      <w:r>
        <w:rPr>
          <w:rFonts w:ascii="Calibri" w:hAnsi="Calibri"/>
          <w:b w:val="0"/>
          <w:color w:val="2D2D2D"/>
          <w:sz w:val="21"/>
        </w:rPr>
        <w:t>Agenda de l'inspecteur avec synchronisation calendrier (iCal/Google Calendar)</w:t>
      </w:r>
    </w:p>
    <w:p>
      <w:pPr>
        <w:pStyle w:val="ListBullet"/>
        <w:spacing w:before="40" w:after="40"/>
      </w:pPr>
      <w:r>
        <w:rPr>
          <w:rFonts w:ascii="Calibri" w:hAnsi="Calibri"/>
          <w:b w:val="0"/>
          <w:color w:val="2D2D2D"/>
          <w:sz w:val="21"/>
        </w:rPr>
        <w:t>Feuille de route numérique pour les tournées (liste d'entreprises à visiter, adresse GPS)</w:t>
      </w:r>
    </w:p>
    <w:p>
      <w:pPr>
        <w:pStyle w:val="ListBullet"/>
        <w:spacing w:before="40" w:after="40"/>
      </w:pPr>
      <w:r>
        <w:rPr>
          <w:rFonts w:ascii="Calibri" w:hAnsi="Calibri"/>
          <w:b w:val="0"/>
          <w:color w:val="2D2D2D"/>
          <w:sz w:val="21"/>
        </w:rPr>
        <w:t>Rapport de visite numérique avec saisie sur tablette/smartphone (hors connexion possible)</w:t>
      </w:r>
    </w:p>
    <w:p>
      <w:pPr>
        <w:pStyle w:val="ListBullet"/>
        <w:spacing w:before="40" w:after="40"/>
      </w:pPr>
      <w:r>
        <w:rPr>
          <w:rFonts w:ascii="Calibri" w:hAnsi="Calibri"/>
          <w:b w:val="0"/>
          <w:color w:val="2D2D2D"/>
          <w:sz w:val="21"/>
        </w:rPr>
        <w:t>Procès-verbal d'infraction numérique avec signature électronique de l'inspecteur</w:t>
      </w:r>
    </w:p>
    <w:p>
      <w:pPr>
        <w:pStyle w:val="ListBullet"/>
        <w:spacing w:before="40" w:after="40"/>
      </w:pPr>
      <w:r>
        <w:rPr>
          <w:rFonts w:ascii="Calibri" w:hAnsi="Calibri"/>
          <w:b w:val="0"/>
          <w:color w:val="2D2D2D"/>
          <w:sz w:val="21"/>
        </w:rPr>
        <w:t>Mise en demeure et suivi des délais de mise en conformité</w:t>
      </w:r>
    </w:p>
    <w:p>
      <w:pPr>
        <w:pStyle w:val="ListBullet"/>
        <w:spacing w:before="40" w:after="40"/>
      </w:pPr>
      <w:r>
        <w:rPr>
          <w:rFonts w:ascii="Calibri" w:hAnsi="Calibri"/>
          <w:b w:val="0"/>
          <w:color w:val="2D2D2D"/>
          <w:sz w:val="21"/>
        </w:rPr>
        <w:t>Cartographie des zones d'inspection avec densité des entreprises et des plaintes</w:t>
      </w:r>
    </w:p>
    <w:tbl>
      <w:tblPr>
        <w:tblW w:type="auto" w:w="0"/>
        <w:jc w:val="center"/>
        <w:tblLook w:firstColumn="1" w:firstRow="1" w:lastColumn="0" w:lastRow="0" w:noHBand="0" w:noVBand="1" w:val="04A0"/>
      </w:tblPr>
      <w:tblGrid>
        <w:gridCol w:w="9406"/>
      </w:tblGrid>
      <w:tr>
        <w:tc>
          <w:tcPr>
            <w:tcW w:type="dxa" w:w="9406"/>
            <w:shd w:val="clear" w:color="auto" w:fill="00347C"/>
            <w:vAlign w:val="center"/>
          </w:tcPr>
          <w:p>
            <w:pPr>
              <w:spacing w:before="160" w:after="160"/>
              <w:jc w:val="left"/>
            </w:pPr>
            <w:r>
              <w:rPr>
                <w:rFonts w:ascii="Calibri" w:hAnsi="Calibri"/>
                <w:b/>
                <w:color w:val="FFFFFF"/>
                <w:sz w:val="22"/>
              </w:rPr>
              <w:t xml:space="preserve">  MODULE 5  –  Workflow Hiérarchique et Approbations</w:t>
            </w:r>
          </w:p>
        </w:tc>
      </w:tr>
    </w:tbl>
    <w:p>
      <w:pPr>
        <w:spacing w:before="200" w:after="80"/>
      </w:pPr>
      <w:r>
        <w:rPr>
          <w:rFonts w:ascii="Calibri" w:hAnsi="Calibri"/>
          <w:b/>
          <w:color w:val="0072C6"/>
          <w:sz w:val="24"/>
        </w:rPr>
        <w:t>Objectif : Digitaliser les circuits de validation et d'approbation à tous les niveaux</w:t>
      </w:r>
    </w:p>
    <w:p>
      <w:pPr>
        <w:pStyle w:val="ListBullet"/>
        <w:spacing w:before="40" w:after="40"/>
      </w:pPr>
      <w:r>
        <w:rPr>
          <w:rFonts w:ascii="Calibri" w:hAnsi="Calibri"/>
          <w:b w:val="0"/>
          <w:color w:val="2D2D2D"/>
          <w:sz w:val="21"/>
        </w:rPr>
        <w:t>Chaîne d'approbation configurable : Inspecteur → Chef d'Inspection → Directeur Régional → Direction Nationale</w:t>
      </w:r>
    </w:p>
    <w:p>
      <w:pPr>
        <w:pStyle w:val="ListBullet"/>
        <w:spacing w:before="40" w:after="40"/>
      </w:pPr>
      <w:r>
        <w:rPr>
          <w:rFonts w:ascii="Calibri" w:hAnsi="Calibri"/>
          <w:b w:val="0"/>
          <w:color w:val="2D2D2D"/>
          <w:sz w:val="21"/>
        </w:rPr>
        <w:t>Délégation de signature : un responsable peut déléguer ses pouvoirs d'approbation pendant une période définie</w:t>
      </w:r>
    </w:p>
    <w:p>
      <w:pPr>
        <w:pStyle w:val="ListBullet"/>
        <w:spacing w:before="40" w:after="40"/>
      </w:pPr>
      <w:r>
        <w:rPr>
          <w:rFonts w:ascii="Calibri" w:hAnsi="Calibri"/>
          <w:b w:val="0"/>
          <w:color w:val="2D2D2D"/>
          <w:sz w:val="21"/>
        </w:rPr>
        <w:t>Escalade automatique : si le valideur ne répond pas dans le délai imparti, le dossier remonte au niveau supérieur avec alerte</w:t>
      </w:r>
    </w:p>
    <w:p>
      <w:pPr>
        <w:pStyle w:val="ListBullet"/>
        <w:spacing w:before="40" w:after="40"/>
      </w:pPr>
      <w:r>
        <w:rPr>
          <w:rFonts w:ascii="Calibri" w:hAnsi="Calibri"/>
          <w:b w:val="0"/>
          <w:color w:val="2D2D2D"/>
          <w:sz w:val="21"/>
        </w:rPr>
        <w:t>Notification en temps réel de chaque demande d'approbation (e-mail + notification in-app)</w:t>
      </w:r>
    </w:p>
    <w:p>
      <w:pPr>
        <w:pStyle w:val="ListBullet"/>
        <w:spacing w:before="40" w:after="40"/>
      </w:pPr>
      <w:r>
        <w:rPr>
          <w:rFonts w:ascii="Calibri" w:hAnsi="Calibri"/>
          <w:b w:val="0"/>
          <w:color w:val="2D2D2D"/>
          <w:sz w:val="21"/>
        </w:rPr>
        <w:t>Annotations et commentaires à chaque étape de validation</w:t>
      </w:r>
    </w:p>
    <w:p>
      <w:pPr>
        <w:pStyle w:val="ListBullet"/>
        <w:spacing w:before="40" w:after="40"/>
      </w:pPr>
      <w:r>
        <w:rPr>
          <w:rFonts w:ascii="Calibri" w:hAnsi="Calibri"/>
          <w:b w:val="0"/>
          <w:color w:val="2D2D2D"/>
          <w:sz w:val="21"/>
        </w:rPr>
        <w:t>Tableau de bord des approbations en attente avec ancienneté et priorité</w:t>
      </w:r>
    </w:p>
    <w:p>
      <w:pPr>
        <w:pStyle w:val="ListBullet"/>
        <w:spacing w:before="40" w:after="40"/>
      </w:pPr>
      <w:r>
        <w:rPr>
          <w:rFonts w:ascii="Calibri" w:hAnsi="Calibri"/>
          <w:b w:val="0"/>
          <w:color w:val="2D2D2D"/>
          <w:sz w:val="21"/>
        </w:rPr>
        <w:t>Historique complet de toutes les décisions hiérarchiques avec justificatifs</w:t>
      </w:r>
    </w:p>
    <w:tbl>
      <w:tblPr>
        <w:tblW w:type="auto" w:w="0"/>
        <w:jc w:val="center"/>
        <w:tblLook w:firstColumn="1" w:firstRow="1" w:lastColumn="0" w:lastRow="0" w:noHBand="0" w:noVBand="1" w:val="04A0"/>
      </w:tblPr>
      <w:tblGrid>
        <w:gridCol w:w="9406"/>
      </w:tblGrid>
      <w:tr>
        <w:tc>
          <w:tcPr>
            <w:tcW w:type="dxa" w:w="9406"/>
            <w:shd w:val="clear" w:color="auto" w:fill="006BAF"/>
            <w:vAlign w:val="center"/>
          </w:tcPr>
          <w:p>
            <w:pPr>
              <w:spacing w:before="160" w:after="160"/>
              <w:jc w:val="left"/>
            </w:pPr>
            <w:r>
              <w:rPr>
                <w:rFonts w:ascii="Calibri" w:hAnsi="Calibri"/>
                <w:b/>
                <w:color w:val="FFFFFF"/>
                <w:sz w:val="22"/>
              </w:rPr>
              <w:t xml:space="preserve">  MODULE 6  –  Médiation et Conciliation</w:t>
            </w:r>
          </w:p>
        </w:tc>
      </w:tr>
    </w:tbl>
    <w:p>
      <w:pPr>
        <w:spacing w:before="200" w:after="80"/>
      </w:pPr>
      <w:r>
        <w:rPr>
          <w:rFonts w:ascii="Calibri" w:hAnsi="Calibri"/>
          <w:b/>
          <w:color w:val="0072C6"/>
          <w:sz w:val="24"/>
        </w:rPr>
        <w:t>Objectif : Gérer les procédures de règlement amiable des conflits du travail</w:t>
      </w:r>
    </w:p>
    <w:p>
      <w:pPr>
        <w:pStyle w:val="ListBullet"/>
        <w:spacing w:before="40" w:after="40"/>
      </w:pPr>
      <w:r>
        <w:rPr>
          <w:rFonts w:ascii="Calibri" w:hAnsi="Calibri"/>
          <w:b w:val="0"/>
          <w:color w:val="2D2D2D"/>
          <w:sz w:val="21"/>
        </w:rPr>
        <w:t>Création de dossiers de médiation liés à une plainte ou déclenchés directement</w:t>
      </w:r>
    </w:p>
    <w:p>
      <w:pPr>
        <w:pStyle w:val="ListBullet"/>
        <w:spacing w:before="40" w:after="40"/>
      </w:pPr>
      <w:r>
        <w:rPr>
          <w:rFonts w:ascii="Calibri" w:hAnsi="Calibri"/>
          <w:b w:val="0"/>
          <w:color w:val="2D2D2D"/>
          <w:sz w:val="21"/>
        </w:rPr>
        <w:t>3 formats de séances : présentiel (convocation physique), en ligne (lien visioconférence), hybride</w:t>
      </w:r>
    </w:p>
    <w:p>
      <w:pPr>
        <w:pStyle w:val="ListBullet"/>
        <w:spacing w:before="40" w:after="40"/>
      </w:pPr>
      <w:r>
        <w:rPr>
          <w:rFonts w:ascii="Calibri" w:hAnsi="Calibri"/>
          <w:b w:val="0"/>
          <w:color w:val="2D2D2D"/>
          <w:sz w:val="21"/>
        </w:rPr>
        <w:t>Planification et envoi automatique des convocations aux parties (employeur + salarié + médiateur)</w:t>
      </w:r>
    </w:p>
    <w:p>
      <w:pPr>
        <w:pStyle w:val="ListBullet"/>
        <w:spacing w:before="40" w:after="40"/>
      </w:pPr>
      <w:r>
        <w:rPr>
          <w:rFonts w:ascii="Calibri" w:hAnsi="Calibri"/>
          <w:b w:val="0"/>
          <w:color w:val="2D2D2D"/>
          <w:sz w:val="21"/>
        </w:rPr>
        <w:t>Gestion du calendrier du médiateur avec disponibilités et réservations</w:t>
      </w:r>
    </w:p>
    <w:p>
      <w:pPr>
        <w:pStyle w:val="ListBullet"/>
        <w:spacing w:before="40" w:after="40"/>
      </w:pPr>
      <w:r>
        <w:rPr>
          <w:rFonts w:ascii="Calibri" w:hAnsi="Calibri"/>
          <w:b w:val="0"/>
          <w:color w:val="2D2D2D"/>
          <w:sz w:val="21"/>
        </w:rPr>
        <w:t>4 types de résultats : Accord total, Accord partiel, Désaccord constaté, En attente</w:t>
      </w:r>
    </w:p>
    <w:p>
      <w:pPr>
        <w:pStyle w:val="ListBullet"/>
        <w:spacing w:before="40" w:after="40"/>
      </w:pPr>
      <w:r>
        <w:rPr>
          <w:rFonts w:ascii="Calibri" w:hAnsi="Calibri"/>
          <w:b w:val="0"/>
          <w:color w:val="2D2D2D"/>
          <w:sz w:val="21"/>
        </w:rPr>
        <w:t>Génération automatique du procès-verbal de conciliation (PDF) avec signature électronique</w:t>
      </w:r>
    </w:p>
    <w:p>
      <w:pPr>
        <w:pStyle w:val="ListBullet"/>
        <w:spacing w:before="40" w:after="40"/>
      </w:pPr>
      <w:r>
        <w:rPr>
          <w:rFonts w:ascii="Calibri" w:hAnsi="Calibri"/>
          <w:b w:val="0"/>
          <w:color w:val="2D2D2D"/>
          <w:sz w:val="21"/>
        </w:rPr>
        <w:t>Archivage des accords dans la GED avec indexation par entreprise, plaignant et type de litige</w:t>
      </w:r>
    </w:p>
    <w:p>
      <w:pPr>
        <w:pStyle w:val="ListBullet"/>
        <w:spacing w:before="40" w:after="40"/>
      </w:pPr>
      <w:r>
        <w:rPr>
          <w:rFonts w:ascii="Calibri" w:hAnsi="Calibri"/>
          <w:b w:val="0"/>
          <w:color w:val="2D2D2D"/>
          <w:sz w:val="21"/>
        </w:rPr>
        <w:t>Indicateurs : taux de médiation réussie, délai moyen de résolution, taux d'accord par type de litige</w:t>
      </w:r>
    </w:p>
    <w:tbl>
      <w:tblPr>
        <w:tblW w:type="auto" w:w="0"/>
        <w:jc w:val="center"/>
        <w:tblLook w:firstColumn="1" w:firstRow="1" w:lastColumn="0" w:lastRow="0" w:noHBand="0" w:noVBand="1" w:val="04A0"/>
      </w:tblPr>
      <w:tblGrid>
        <w:gridCol w:w="9406"/>
      </w:tblGrid>
      <w:tr>
        <w:tc>
          <w:tcPr>
            <w:tcW w:type="dxa" w:w="9406"/>
            <w:shd w:val="clear" w:color="auto" w:fill="00347C"/>
            <w:vAlign w:val="center"/>
          </w:tcPr>
          <w:p>
            <w:pPr>
              <w:spacing w:before="160" w:after="160"/>
              <w:jc w:val="left"/>
            </w:pPr>
            <w:r>
              <w:rPr>
                <w:rFonts w:ascii="Calibri" w:hAnsi="Calibri"/>
                <w:b/>
                <w:color w:val="FFFFFF"/>
                <w:sz w:val="22"/>
              </w:rPr>
              <w:t xml:space="preserve">  MODULE 7  –  Procédures Judiciaires</w:t>
            </w:r>
          </w:p>
        </w:tc>
      </w:tr>
    </w:tbl>
    <w:p>
      <w:pPr>
        <w:spacing w:before="200" w:after="80"/>
      </w:pPr>
      <w:r>
        <w:rPr>
          <w:rFonts w:ascii="Calibri" w:hAnsi="Calibri"/>
          <w:b/>
          <w:color w:val="0072C6"/>
          <w:sz w:val="24"/>
        </w:rPr>
        <w:t>Objectif : Assurer le suivi des dossiers transmis à la justice du travail</w:t>
      </w:r>
    </w:p>
    <w:p>
      <w:pPr>
        <w:pStyle w:val="ListBullet"/>
        <w:spacing w:before="40" w:after="40"/>
      </w:pPr>
      <w:r>
        <w:rPr>
          <w:rFonts w:ascii="Calibri" w:hAnsi="Calibri"/>
          <w:b w:val="0"/>
          <w:color w:val="2D2D2D"/>
          <w:sz w:val="21"/>
        </w:rPr>
        <w:t>Création de procédures judiciaires avec numérotation : PROC-CI-AAAA-XXXXXX</w:t>
      </w:r>
    </w:p>
    <w:p>
      <w:pPr>
        <w:pStyle w:val="ListBullet"/>
        <w:spacing w:before="40" w:after="40"/>
      </w:pPr>
      <w:r>
        <w:rPr>
          <w:rFonts w:ascii="Calibri" w:hAnsi="Calibri"/>
          <w:b w:val="0"/>
          <w:color w:val="2D2D2D"/>
          <w:sz w:val="21"/>
        </w:rPr>
        <w:t>7 types d'affaires : litiges contractuels, licenciement abusif, discrimination, harcèlement, salaires, accidents du travail, droits syndicaux</w:t>
      </w:r>
    </w:p>
    <w:p>
      <w:pPr>
        <w:pStyle w:val="ListBullet"/>
        <w:spacing w:before="40" w:after="40"/>
      </w:pPr>
      <w:r>
        <w:rPr>
          <w:rFonts w:ascii="Calibri" w:hAnsi="Calibri"/>
          <w:b w:val="0"/>
          <w:color w:val="2D2D2D"/>
          <w:sz w:val="21"/>
        </w:rPr>
        <w:t>Cycle complet sur 8 statuts : Préparation → Déposé → En examen → Audience programmée → En attente de décision → Décision rendue → Appel → Clôturé</w:t>
      </w:r>
    </w:p>
    <w:p>
      <w:pPr>
        <w:pStyle w:val="ListBullet"/>
        <w:spacing w:before="40" w:after="40"/>
      </w:pPr>
      <w:r>
        <w:rPr>
          <w:rFonts w:ascii="Calibri" w:hAnsi="Calibri"/>
          <w:b w:val="0"/>
          <w:color w:val="2D2D2D"/>
          <w:sz w:val="21"/>
        </w:rPr>
        <w:t>Gestion des audiences : date, heure, lieu, juge, parties présentes, observations</w:t>
      </w:r>
    </w:p>
    <w:p>
      <w:pPr>
        <w:pStyle w:val="ListBullet"/>
        <w:spacing w:before="40" w:after="40"/>
      </w:pPr>
      <w:r>
        <w:rPr>
          <w:rFonts w:ascii="Calibri" w:hAnsi="Calibri"/>
          <w:b w:val="0"/>
          <w:color w:val="2D2D2D"/>
          <w:sz w:val="21"/>
        </w:rPr>
        <w:t>Interface avec le Tribunal du Travail d'Abidjan et les tribunaux de travail régionaux</w:t>
      </w:r>
    </w:p>
    <w:p>
      <w:pPr>
        <w:pStyle w:val="ListBullet"/>
        <w:spacing w:before="40" w:after="40"/>
      </w:pPr>
      <w:r>
        <w:rPr>
          <w:rFonts w:ascii="Calibri" w:hAnsi="Calibri"/>
          <w:b w:val="0"/>
          <w:color w:val="2D2D2D"/>
          <w:sz w:val="21"/>
        </w:rPr>
        <w:t>Stockage sécurisé de toutes les pièces judiciaires : mémoires, conclusions, décisions</w:t>
      </w:r>
    </w:p>
    <w:p>
      <w:pPr>
        <w:pStyle w:val="ListBullet"/>
        <w:spacing w:before="40" w:after="40"/>
      </w:pPr>
      <w:r>
        <w:rPr>
          <w:rFonts w:ascii="Calibri" w:hAnsi="Calibri"/>
          <w:b w:val="0"/>
          <w:color w:val="2D2D2D"/>
          <w:sz w:val="21"/>
        </w:rPr>
        <w:t>Alertes sur les délais procéduraux (prescription, délais légaux d'appel)</w:t>
      </w:r>
    </w:p>
    <w:tbl>
      <w:tblPr>
        <w:tblW w:type="auto" w:w="0"/>
        <w:jc w:val="center"/>
        <w:tblLook w:firstColumn="1" w:firstRow="1" w:lastColumn="0" w:lastRow="0" w:noHBand="0" w:noVBand="1" w:val="04A0"/>
      </w:tblPr>
      <w:tblGrid>
        <w:gridCol w:w="9406"/>
      </w:tblGrid>
      <w:tr>
        <w:tc>
          <w:tcPr>
            <w:tcW w:type="dxa" w:w="9406"/>
            <w:shd w:val="clear" w:color="auto" w:fill="006BAF"/>
            <w:vAlign w:val="center"/>
          </w:tcPr>
          <w:p>
            <w:pPr>
              <w:spacing w:before="160" w:after="160"/>
              <w:jc w:val="left"/>
            </w:pPr>
            <w:r>
              <w:rPr>
                <w:rFonts w:ascii="Calibri" w:hAnsi="Calibri"/>
                <w:b/>
                <w:color w:val="FFFFFF"/>
                <w:sz w:val="22"/>
              </w:rPr>
              <w:t xml:space="preserve">  MODULE 8  –  Travailleurs Domestiques</w:t>
            </w:r>
          </w:p>
        </w:tc>
      </w:tr>
    </w:tbl>
    <w:p>
      <w:pPr>
        <w:spacing w:before="200" w:after="80"/>
      </w:pPr>
      <w:r>
        <w:rPr>
          <w:rFonts w:ascii="Calibri" w:hAnsi="Calibri"/>
          <w:b/>
          <w:color w:val="0072C6"/>
          <w:sz w:val="24"/>
        </w:rPr>
        <w:t>Objectif : Formaliser et protéger le secteur du travail domestique (400K+ personnes en CI)</w:t>
      </w:r>
    </w:p>
    <w:p>
      <w:pPr>
        <w:pStyle w:val="ListBullet"/>
        <w:spacing w:before="40" w:after="40"/>
      </w:pPr>
      <w:r>
        <w:rPr>
          <w:rFonts w:ascii="Calibri" w:hAnsi="Calibri"/>
          <w:b w:val="0"/>
          <w:color w:val="2D2D2D"/>
          <w:sz w:val="21"/>
        </w:rPr>
        <w:t>9 catégories : employés de maison, cuisiniers, nourrices/gardes d'enfants, chauffeurs, jardiniers, agents de sécurité, aides-soignants, baby-sitters, personnel polyvalent</w:t>
      </w:r>
    </w:p>
    <w:p>
      <w:pPr>
        <w:pStyle w:val="ListBullet"/>
        <w:spacing w:before="40" w:after="40"/>
      </w:pPr>
      <w:r>
        <w:rPr>
          <w:rFonts w:ascii="Calibri" w:hAnsi="Calibri"/>
          <w:b w:val="0"/>
          <w:color w:val="2D2D2D"/>
          <w:sz w:val="21"/>
        </w:rPr>
        <w:t>Profil complet : identité, photo, CV numérique, certifications, expériences, références</w:t>
      </w:r>
    </w:p>
    <w:p>
      <w:pPr>
        <w:pStyle w:val="ListBullet"/>
        <w:spacing w:before="40" w:after="40"/>
      </w:pPr>
      <w:r>
        <w:rPr>
          <w:rFonts w:ascii="Calibri" w:hAnsi="Calibri"/>
          <w:b w:val="0"/>
          <w:color w:val="2D2D2D"/>
          <w:sz w:val="21"/>
        </w:rPr>
        <w:t>Enregistrement du contrat de travail domestique conforme au Décret 2017-552</w:t>
      </w:r>
    </w:p>
    <w:p>
      <w:pPr>
        <w:pStyle w:val="ListBullet"/>
        <w:spacing w:before="40" w:after="40"/>
      </w:pPr>
      <w:r>
        <w:rPr>
          <w:rFonts w:ascii="Calibri" w:hAnsi="Calibri"/>
          <w:b w:val="0"/>
          <w:color w:val="2D2D2D"/>
          <w:sz w:val="21"/>
        </w:rPr>
        <w:t>Carte professionnelle numérique avec QR code vérifiable par l'inspecteur sur le terrain</w:t>
      </w:r>
    </w:p>
    <w:p>
      <w:pPr>
        <w:pStyle w:val="ListBullet"/>
        <w:spacing w:before="40" w:after="40"/>
      </w:pPr>
      <w:r>
        <w:rPr>
          <w:rFonts w:ascii="Calibri" w:hAnsi="Calibri"/>
          <w:b w:val="0"/>
          <w:color w:val="2D2D2D"/>
          <w:sz w:val="21"/>
        </w:rPr>
        <w:t>Suivi des entrées et sorties de service (check-in / check-out) pour les agences de placement</w:t>
      </w:r>
    </w:p>
    <w:p>
      <w:pPr>
        <w:pStyle w:val="ListBullet"/>
        <w:spacing w:before="40" w:after="40"/>
      </w:pPr>
      <w:r>
        <w:rPr>
          <w:rFonts w:ascii="Calibri" w:hAnsi="Calibri"/>
          <w:b w:val="0"/>
          <w:color w:val="2D2D2D"/>
          <w:sz w:val="21"/>
        </w:rPr>
        <w:t>Gestion des langues parlées (Français, Dioula, Baoulé, Bété, autres langues ivoiriennes)</w:t>
      </w:r>
    </w:p>
    <w:p>
      <w:pPr>
        <w:pStyle w:val="ListBullet"/>
        <w:spacing w:before="40" w:after="40"/>
      </w:pPr>
      <w:r>
        <w:rPr>
          <w:rFonts w:ascii="Calibri" w:hAnsi="Calibri"/>
          <w:b w:val="0"/>
          <w:color w:val="2D2D2D"/>
          <w:sz w:val="21"/>
        </w:rPr>
        <w:t>Module de mise en relation entre travailleurs disponibles et familles employeurs (optionnel)</w:t>
      </w:r>
    </w:p>
    <w:tbl>
      <w:tblPr>
        <w:tblW w:type="auto" w:w="0"/>
        <w:jc w:val="center"/>
        <w:tblLook w:firstColumn="1" w:firstRow="1" w:lastColumn="0" w:lastRow="0" w:noHBand="0" w:noVBand="1" w:val="04A0"/>
      </w:tblPr>
      <w:tblGrid>
        <w:gridCol w:w="9406"/>
      </w:tblGrid>
      <w:tr>
        <w:tc>
          <w:tcPr>
            <w:tcW w:type="dxa" w:w="9406"/>
            <w:shd w:val="clear" w:color="auto" w:fill="00347C"/>
            <w:vAlign w:val="center"/>
          </w:tcPr>
          <w:p>
            <w:pPr>
              <w:spacing w:before="160" w:after="160"/>
              <w:jc w:val="left"/>
            </w:pPr>
            <w:r>
              <w:rPr>
                <w:rFonts w:ascii="Calibri" w:hAnsi="Calibri"/>
                <w:b/>
                <w:color w:val="FFFFFF"/>
                <w:sz w:val="22"/>
              </w:rPr>
              <w:t xml:space="preserve">  MODULE 9  –  Intelligence Artificielle et Analyse Documentaire</w:t>
            </w:r>
          </w:p>
        </w:tc>
      </w:tr>
    </w:tbl>
    <w:p>
      <w:pPr>
        <w:spacing w:before="200" w:after="80"/>
      </w:pPr>
      <w:r>
        <w:rPr>
          <w:rFonts w:ascii="Calibri" w:hAnsi="Calibri"/>
          <w:b/>
          <w:color w:val="0072C6"/>
          <w:sz w:val="24"/>
        </w:rPr>
        <w:t>Objectif : Augmenter la productivité des agents et améliorer l'accès au droit</w:t>
      </w:r>
    </w:p>
    <w:p>
      <w:pPr>
        <w:pStyle w:val="ListBullet"/>
        <w:spacing w:before="40" w:after="40"/>
      </w:pPr>
      <w:r>
        <w:rPr>
          <w:rFonts w:ascii="Calibri" w:hAnsi="Calibri"/>
          <w:b w:val="0"/>
          <w:color w:val="2D2D2D"/>
          <w:sz w:val="21"/>
        </w:rPr>
        <w:t>Chatbot juridique en Français : répond aux questions des travailleurs sur leurs droits (licenciement, contrat, congés, salaire minimum, etc.) en s'appuyant sur le Code du Travail ivoirien</w:t>
      </w:r>
    </w:p>
    <w:p>
      <w:pPr>
        <w:pStyle w:val="ListBullet"/>
        <w:spacing w:before="40" w:after="40"/>
      </w:pPr>
      <w:r>
        <w:rPr>
          <w:rFonts w:ascii="Calibri" w:hAnsi="Calibri"/>
          <w:b w:val="0"/>
          <w:color w:val="2D2D2D"/>
          <w:sz w:val="21"/>
        </w:rPr>
        <w:t>Analyse automatique des documents : extraction des informations clés d'un contrat de travail, d'un bulletin de paie, d'un bilan social</w:t>
      </w:r>
    </w:p>
    <w:p>
      <w:pPr>
        <w:pStyle w:val="ListBullet"/>
        <w:spacing w:before="40" w:after="40"/>
      </w:pPr>
      <w:r>
        <w:rPr>
          <w:rFonts w:ascii="Calibri" w:hAnsi="Calibri"/>
          <w:b w:val="0"/>
          <w:color w:val="2D2D2D"/>
          <w:sz w:val="21"/>
        </w:rPr>
        <w:t>OCR avancé (Reconnaissance Optique de Caractères) pour numériser les documents papier remis par les plaignants</w:t>
      </w:r>
    </w:p>
    <w:p>
      <w:pPr>
        <w:pStyle w:val="ListBullet"/>
        <w:spacing w:before="40" w:after="40"/>
      </w:pPr>
      <w:r>
        <w:rPr>
          <w:rFonts w:ascii="Calibri" w:hAnsi="Calibri"/>
          <w:b w:val="0"/>
          <w:color w:val="2D2D2D"/>
          <w:sz w:val="21"/>
        </w:rPr>
        <w:t>Transcription audio multilingue via OpenAI Whisper : Français, Dioula, Baoulé, Attié — utile pour les témoignages oraux des travailleurs peu alphabétisés</w:t>
      </w:r>
    </w:p>
    <w:p>
      <w:pPr>
        <w:pStyle w:val="ListBullet"/>
        <w:spacing w:before="40" w:after="40"/>
      </w:pPr>
      <w:r>
        <w:rPr>
          <w:rFonts w:ascii="Calibri" w:hAnsi="Calibri"/>
          <w:b w:val="0"/>
          <w:color w:val="2D2D2D"/>
          <w:sz w:val="21"/>
        </w:rPr>
        <w:t>Suggestion de qualification juridique des faits rapportés dans la plainte (aide à l'inspecteur)</w:t>
      </w:r>
    </w:p>
    <w:p>
      <w:pPr>
        <w:pStyle w:val="ListBullet"/>
        <w:spacing w:before="40" w:after="40"/>
      </w:pPr>
      <w:r>
        <w:rPr>
          <w:rFonts w:ascii="Calibri" w:hAnsi="Calibri"/>
          <w:b w:val="0"/>
          <w:color w:val="2D2D2D"/>
          <w:sz w:val="21"/>
        </w:rPr>
        <w:t>Détection d'anomalies : signalement automatique de bulletins de paie incohérents ou de contrats non conformes</w:t>
      </w:r>
    </w:p>
    <w:p>
      <w:pPr>
        <w:pStyle w:val="ListBullet"/>
        <w:spacing w:before="40" w:after="40"/>
      </w:pPr>
      <w:r>
        <w:rPr>
          <w:rFonts w:ascii="Calibri" w:hAnsi="Calibri"/>
          <w:b w:val="0"/>
          <w:color w:val="2D2D2D"/>
          <w:sz w:val="21"/>
        </w:rPr>
        <w:t>Résumés automatiques de dossiers complexes pour les rapports hiérarchiques</w:t>
      </w:r>
    </w:p>
    <w:tbl>
      <w:tblPr>
        <w:tblW w:type="auto" w:w="0"/>
        <w:jc w:val="center"/>
        <w:tblLook w:firstColumn="1" w:firstRow="1" w:lastColumn="0" w:lastRow="0" w:noHBand="0" w:noVBand="1" w:val="04A0"/>
      </w:tblPr>
      <w:tblGrid>
        <w:gridCol w:w="9406"/>
      </w:tblGrid>
      <w:tr>
        <w:tc>
          <w:tcPr>
            <w:tcW w:type="dxa" w:w="9406"/>
            <w:shd w:val="clear" w:color="auto" w:fill="006BAF"/>
            <w:vAlign w:val="center"/>
          </w:tcPr>
          <w:p>
            <w:pPr>
              <w:spacing w:before="160" w:after="160"/>
              <w:jc w:val="left"/>
            </w:pPr>
            <w:r>
              <w:rPr>
                <w:rFonts w:ascii="Calibri" w:hAnsi="Calibri"/>
                <w:b/>
                <w:color w:val="FFFFFF"/>
                <w:sz w:val="22"/>
              </w:rPr>
              <w:t xml:space="preserve">  MODULE 10  –  Observatoire des Statistiques Sociales</w:t>
            </w:r>
          </w:p>
        </w:tc>
      </w:tr>
    </w:tbl>
    <w:p>
      <w:pPr>
        <w:spacing w:before="200" w:after="80"/>
      </w:pPr>
      <w:r>
        <w:rPr>
          <w:rFonts w:ascii="Calibri" w:hAnsi="Calibri"/>
          <w:b/>
          <w:color w:val="0072C6"/>
          <w:sz w:val="24"/>
        </w:rPr>
        <w:t>Objectif : Produire des données fiables pour la politique sociale et les rapports OIT</w:t>
      </w:r>
    </w:p>
    <w:p>
      <w:pPr>
        <w:pStyle w:val="ListBullet"/>
        <w:spacing w:before="40" w:after="40"/>
      </w:pPr>
      <w:r>
        <w:rPr>
          <w:rFonts w:ascii="Calibri" w:hAnsi="Calibri"/>
          <w:b w:val="0"/>
          <w:color w:val="2D2D2D"/>
          <w:sz w:val="21"/>
        </w:rPr>
        <w:t>Tableau de bord DG : vue nationale en temps réel — plaintes reçues, résolues, en cours, escaladées</w:t>
      </w:r>
    </w:p>
    <w:p>
      <w:pPr>
        <w:pStyle w:val="ListBullet"/>
        <w:spacing w:before="40" w:after="40"/>
      </w:pPr>
      <w:r>
        <w:rPr>
          <w:rFonts w:ascii="Calibri" w:hAnsi="Calibri"/>
          <w:b w:val="0"/>
          <w:color w:val="2D2D2D"/>
          <w:sz w:val="21"/>
        </w:rPr>
        <w:t>Statistiques quotidiennes automatisées : nombre de plaintes, taux de résolution, délai moyen</w:t>
      </w:r>
    </w:p>
    <w:p>
      <w:pPr>
        <w:pStyle w:val="ListBullet"/>
        <w:spacing w:before="40" w:after="40"/>
      </w:pPr>
      <w:r>
        <w:rPr>
          <w:rFonts w:ascii="Calibri" w:hAnsi="Calibri"/>
          <w:b w:val="0"/>
          <w:color w:val="2D2D2D"/>
          <w:sz w:val="21"/>
        </w:rPr>
        <w:t>Rapports mensuels et annuels générés automatiquement au format PDF et Excel</w:t>
      </w:r>
    </w:p>
    <w:p>
      <w:pPr>
        <w:pStyle w:val="ListBullet"/>
        <w:spacing w:before="40" w:after="40"/>
      </w:pPr>
      <w:r>
        <w:rPr>
          <w:rFonts w:ascii="Calibri" w:hAnsi="Calibri"/>
          <w:b w:val="0"/>
          <w:color w:val="2D2D2D"/>
          <w:sz w:val="21"/>
        </w:rPr>
        <w:t>Cartographie des risques sociaux par région, secteur d'activité et type d'infraction</w:t>
      </w:r>
    </w:p>
    <w:p>
      <w:pPr>
        <w:pStyle w:val="ListBullet"/>
        <w:spacing w:before="40" w:after="40"/>
      </w:pPr>
      <w:r>
        <w:rPr>
          <w:rFonts w:ascii="Calibri" w:hAnsi="Calibri"/>
          <w:b w:val="0"/>
          <w:color w:val="2D2D2D"/>
          <w:sz w:val="21"/>
        </w:rPr>
        <w:t>Taux de médiation réussie, taux de récidive des entreprises en infraction, taux d'accidents du travail</w:t>
      </w:r>
    </w:p>
    <w:p>
      <w:pPr>
        <w:pStyle w:val="ListBullet"/>
        <w:spacing w:before="40" w:after="40"/>
      </w:pPr>
      <w:r>
        <w:rPr>
          <w:rFonts w:ascii="Calibri" w:hAnsi="Calibri"/>
          <w:b w:val="0"/>
          <w:color w:val="2D2D2D"/>
          <w:sz w:val="21"/>
        </w:rPr>
        <w:t>Comparatifs annuels et analyse des tendances sur 5 ans</w:t>
      </w:r>
    </w:p>
    <w:p>
      <w:pPr>
        <w:pStyle w:val="ListBullet"/>
        <w:spacing w:before="40" w:after="40"/>
      </w:pPr>
      <w:r>
        <w:rPr>
          <w:rFonts w:ascii="Calibri" w:hAnsi="Calibri"/>
          <w:b w:val="0"/>
          <w:color w:val="2D2D2D"/>
          <w:sz w:val="21"/>
        </w:rPr>
        <w:t>Exportation vers les systèmes de reporting OIT (ILOSTAT) et vers les portails open data gouvernementaux</w:t>
      </w:r>
    </w:p>
    <w:p>
      <w:pPr>
        <w:pStyle w:val="ListBullet"/>
        <w:spacing w:before="40" w:after="40"/>
      </w:pPr>
      <w:r>
        <w:rPr>
          <w:rFonts w:ascii="Calibri" w:hAnsi="Calibri"/>
          <w:b w:val="0"/>
          <w:color w:val="2D2D2D"/>
          <w:sz w:val="21"/>
        </w:rPr>
        <w:t>Alertes automatiques sur les indicateurs hors normes (hausse soudaine des plaintes dans un secteur, etc.)</w:t>
      </w:r>
    </w:p>
    <w:tbl>
      <w:tblPr>
        <w:tblW w:type="auto" w:w="0"/>
        <w:jc w:val="center"/>
        <w:tblLook w:firstColumn="1" w:firstRow="1" w:lastColumn="0" w:lastRow="0" w:noHBand="0" w:noVBand="1" w:val="04A0"/>
      </w:tblPr>
      <w:tblGrid>
        <w:gridCol w:w="9406"/>
      </w:tblGrid>
      <w:tr>
        <w:tc>
          <w:tcPr>
            <w:tcW w:type="dxa" w:w="9406"/>
            <w:shd w:val="clear" w:color="auto" w:fill="00347C"/>
            <w:vAlign w:val="center"/>
          </w:tcPr>
          <w:p>
            <w:pPr>
              <w:spacing w:before="160" w:after="160"/>
              <w:jc w:val="left"/>
            </w:pPr>
            <w:r>
              <w:rPr>
                <w:rFonts w:ascii="Calibri" w:hAnsi="Calibri"/>
                <w:b/>
                <w:color w:val="FFFFFF"/>
                <w:sz w:val="22"/>
              </w:rPr>
              <w:t xml:space="preserve">  MODULE 11  –  Business Intelligence et Tableaux de Bord</w:t>
            </w:r>
          </w:p>
        </w:tc>
      </w:tr>
    </w:tbl>
    <w:p>
      <w:pPr>
        <w:spacing w:before="200" w:after="80"/>
      </w:pPr>
      <w:r>
        <w:rPr>
          <w:rFonts w:ascii="Calibri" w:hAnsi="Calibri"/>
          <w:b/>
          <w:color w:val="0072C6"/>
          <w:sz w:val="24"/>
        </w:rPr>
        <w:t>Objectif : Offrir des outils de pilotage personnalisés à chaque niveau hiérarchique</w:t>
      </w:r>
    </w:p>
    <w:p>
      <w:pPr>
        <w:pStyle w:val="ListBullet"/>
        <w:spacing w:before="40" w:after="40"/>
      </w:pPr>
      <w:r>
        <w:rPr>
          <w:rFonts w:ascii="Calibri" w:hAnsi="Calibri"/>
          <w:b w:val="0"/>
          <w:color w:val="2D2D2D"/>
          <w:sz w:val="21"/>
        </w:rPr>
        <w:t>Tableaux de bord modulaires configurables (widgets glisser-déposer) pour chaque profil</w:t>
      </w:r>
    </w:p>
    <w:p>
      <w:pPr>
        <w:pStyle w:val="ListBullet"/>
        <w:spacing w:before="40" w:after="40"/>
      </w:pPr>
      <w:r>
        <w:rPr>
          <w:rFonts w:ascii="Calibri" w:hAnsi="Calibri"/>
          <w:b w:val="0"/>
          <w:color w:val="2D2D2D"/>
          <w:sz w:val="21"/>
        </w:rPr>
        <w:t>4 types de visualisations : tableaux de données, graphiques (barres, courbes, camembert, radar), tableaux croisés dynamiques, cartes choroplèthes</w:t>
      </w:r>
    </w:p>
    <w:p>
      <w:pPr>
        <w:pStyle w:val="ListBullet"/>
        <w:spacing w:before="40" w:after="40"/>
      </w:pPr>
      <w:r>
        <w:rPr>
          <w:rFonts w:ascii="Calibri" w:hAnsi="Calibri"/>
          <w:b w:val="0"/>
          <w:color w:val="2D2D2D"/>
          <w:sz w:val="21"/>
        </w:rPr>
        <w:t>Filtres dynamiques : période, région, type de plainte, secteur d'activité, inspecteur</w:t>
      </w:r>
    </w:p>
    <w:p>
      <w:pPr>
        <w:pStyle w:val="ListBullet"/>
        <w:spacing w:before="40" w:after="40"/>
      </w:pPr>
      <w:r>
        <w:rPr>
          <w:rFonts w:ascii="Calibri" w:hAnsi="Calibri"/>
          <w:b w:val="0"/>
          <w:color w:val="2D2D2D"/>
          <w:sz w:val="21"/>
        </w:rPr>
        <w:t>Partage de rapports entre utilisateurs avec contrôle des droits de lecture/écriture</w:t>
      </w:r>
    </w:p>
    <w:p>
      <w:pPr>
        <w:pStyle w:val="ListBullet"/>
        <w:spacing w:before="40" w:after="40"/>
      </w:pPr>
      <w:r>
        <w:rPr>
          <w:rFonts w:ascii="Calibri" w:hAnsi="Calibri"/>
          <w:b w:val="0"/>
          <w:color w:val="2D2D2D"/>
          <w:sz w:val="21"/>
        </w:rPr>
        <w:t>Rapports planifiés : envoi automatique par e-mail à une liste de destinataires (ex : rapport hebdomadaire pour le DG)</w:t>
      </w:r>
    </w:p>
    <w:p>
      <w:pPr>
        <w:pStyle w:val="ListBullet"/>
        <w:spacing w:before="40" w:after="40"/>
      </w:pPr>
      <w:r>
        <w:rPr>
          <w:rFonts w:ascii="Calibri" w:hAnsi="Calibri"/>
          <w:b w:val="0"/>
          <w:color w:val="2D2D2D"/>
          <w:sz w:val="21"/>
        </w:rPr>
        <w:t>Export en PDF, Excel (.xlsx), CSV et PNG (pour les graphiques)</w:t>
      </w:r>
    </w:p>
    <w:tbl>
      <w:tblPr>
        <w:tblW w:type="auto" w:w="0"/>
        <w:jc w:val="center"/>
        <w:tblLook w:firstColumn="1" w:firstRow="1" w:lastColumn="0" w:lastRow="0" w:noHBand="0" w:noVBand="1" w:val="04A0"/>
      </w:tblPr>
      <w:tblGrid>
        <w:gridCol w:w="9406"/>
      </w:tblGrid>
      <w:tr>
        <w:tc>
          <w:tcPr>
            <w:tcW w:type="dxa" w:w="9406"/>
            <w:shd w:val="clear" w:color="auto" w:fill="006BAF"/>
            <w:vAlign w:val="center"/>
          </w:tcPr>
          <w:p>
            <w:pPr>
              <w:spacing w:before="160" w:after="160"/>
              <w:jc w:val="left"/>
            </w:pPr>
            <w:r>
              <w:rPr>
                <w:rFonts w:ascii="Calibri" w:hAnsi="Calibri"/>
                <w:b/>
                <w:color w:val="FFFFFF"/>
                <w:sz w:val="22"/>
              </w:rPr>
              <w:t xml:space="preserve">  MODULE 12  –  GED – Gestion Électronique des Documents</w:t>
            </w:r>
          </w:p>
        </w:tc>
      </w:tr>
    </w:tbl>
    <w:p>
      <w:pPr>
        <w:spacing w:before="200" w:after="80"/>
      </w:pPr>
      <w:r>
        <w:rPr>
          <w:rFonts w:ascii="Calibri" w:hAnsi="Calibri"/>
          <w:b/>
          <w:color w:val="0072C6"/>
          <w:sz w:val="24"/>
        </w:rPr>
        <w:t>Objectif : Dématérialiser et sécuriser l'archivage de tous les actes administratifs</w:t>
      </w:r>
    </w:p>
    <w:p>
      <w:pPr>
        <w:pStyle w:val="ListBullet"/>
        <w:spacing w:before="40" w:after="40"/>
      </w:pPr>
      <w:r>
        <w:rPr>
          <w:rFonts w:ascii="Calibri" w:hAnsi="Calibri"/>
          <w:b w:val="0"/>
          <w:color w:val="2D2D2D"/>
          <w:sz w:val="21"/>
        </w:rPr>
        <w:t>Arborescence documentaire hiérarchique (catégories, sous-catégories) avec politiques de rétention configurables</w:t>
      </w:r>
    </w:p>
    <w:p>
      <w:pPr>
        <w:pStyle w:val="ListBullet"/>
        <w:spacing w:before="40" w:after="40"/>
      </w:pPr>
      <w:r>
        <w:rPr>
          <w:rFonts w:ascii="Calibri" w:hAnsi="Calibri"/>
          <w:b w:val="0"/>
          <w:color w:val="2D2D2D"/>
          <w:sz w:val="21"/>
        </w:rPr>
        <w:t>Cycle de vie complet : Brouillon → Actif → Archivé → Supprimé (avec corbeille et restauration)</w:t>
      </w:r>
    </w:p>
    <w:p>
      <w:pPr>
        <w:pStyle w:val="ListBullet"/>
        <w:spacing w:before="40" w:after="40"/>
      </w:pPr>
      <w:r>
        <w:rPr>
          <w:rFonts w:ascii="Calibri" w:hAnsi="Calibri"/>
          <w:b w:val="0"/>
          <w:color w:val="2D2D2D"/>
          <w:sz w:val="21"/>
        </w:rPr>
        <w:t>Versionnage intégral : chaque modification crée une nouvelle version, l'historique complet est conservé</w:t>
      </w:r>
    </w:p>
    <w:p>
      <w:pPr>
        <w:pStyle w:val="ListBullet"/>
        <w:spacing w:before="40" w:after="40"/>
      </w:pPr>
      <w:r>
        <w:rPr>
          <w:rFonts w:ascii="Calibri" w:hAnsi="Calibri"/>
          <w:b w:val="0"/>
          <w:color w:val="2D2D2D"/>
          <w:sz w:val="21"/>
        </w:rPr>
        <w:t>Contrôle d'accès granulaire par document : lecture seule, modification, téléchargement, partage</w:t>
      </w:r>
    </w:p>
    <w:p>
      <w:pPr>
        <w:pStyle w:val="ListBullet"/>
        <w:spacing w:before="40" w:after="40"/>
      </w:pPr>
      <w:r>
        <w:rPr>
          <w:rFonts w:ascii="Calibri" w:hAnsi="Calibri"/>
          <w:b w:val="0"/>
          <w:color w:val="2D2D2D"/>
          <w:sz w:val="21"/>
        </w:rPr>
        <w:t>Piste d'audit exhaustive : qui a consulté, téléchargé, modifié ou supprimé chaque document, avec horodatage</w:t>
      </w:r>
    </w:p>
    <w:p>
      <w:pPr>
        <w:pStyle w:val="ListBullet"/>
        <w:spacing w:before="40" w:after="40"/>
      </w:pPr>
      <w:r>
        <w:rPr>
          <w:rFonts w:ascii="Calibri" w:hAnsi="Calibri"/>
          <w:b w:val="0"/>
          <w:color w:val="2D2D2D"/>
          <w:sz w:val="21"/>
        </w:rPr>
        <w:t>Recherche plein texte dans les métadonnées des documents</w:t>
      </w:r>
    </w:p>
    <w:p>
      <w:pPr>
        <w:pStyle w:val="ListBullet"/>
        <w:spacing w:before="40" w:after="40"/>
      </w:pPr>
      <w:r>
        <w:rPr>
          <w:rFonts w:ascii="Calibri" w:hAnsi="Calibri"/>
          <w:b w:val="0"/>
          <w:color w:val="2D2D2D"/>
          <w:sz w:val="21"/>
        </w:rPr>
        <w:t>Organisation automatique par date : ged/documents/AAAA/MM/</w:t>
      </w:r>
    </w:p>
    <w:p>
      <w:pPr>
        <w:pStyle w:val="ListBullet"/>
        <w:spacing w:before="40" w:after="40"/>
      </w:pPr>
      <w:r>
        <w:rPr>
          <w:rFonts w:ascii="Calibri" w:hAnsi="Calibri"/>
          <w:b w:val="0"/>
          <w:color w:val="2D2D2D"/>
          <w:sz w:val="21"/>
        </w:rPr>
        <w:t>Conformité aux standards ISO 15489 (Records Management) et NF Z42-013 (archivage numérique)</w:t>
      </w:r>
    </w:p>
    <w:tbl>
      <w:tblPr>
        <w:tblW w:type="auto" w:w="0"/>
        <w:jc w:val="center"/>
        <w:tblLook w:firstColumn="1" w:firstRow="1" w:lastColumn="0" w:lastRow="0" w:noHBand="0" w:noVBand="1" w:val="04A0"/>
      </w:tblPr>
      <w:tblGrid>
        <w:gridCol w:w="9406"/>
      </w:tblGrid>
      <w:tr>
        <w:tc>
          <w:tcPr>
            <w:tcW w:type="dxa" w:w="9406"/>
            <w:shd w:val="clear" w:color="auto" w:fill="00347C"/>
            <w:vAlign w:val="center"/>
          </w:tcPr>
          <w:p>
            <w:pPr>
              <w:spacing w:before="160" w:after="160"/>
              <w:jc w:val="left"/>
            </w:pPr>
            <w:r>
              <w:rPr>
                <w:rFonts w:ascii="Calibri" w:hAnsi="Calibri"/>
                <w:b/>
                <w:color w:val="FFFFFF"/>
                <w:sz w:val="22"/>
              </w:rPr>
              <w:t xml:space="preserve">  MODULE 13  –  Notifications Multi-canaux</w:t>
            </w:r>
          </w:p>
        </w:tc>
      </w:tr>
    </w:tbl>
    <w:p>
      <w:pPr>
        <w:spacing w:before="200" w:after="80"/>
      </w:pPr>
      <w:r>
        <w:rPr>
          <w:rFonts w:ascii="Calibri" w:hAnsi="Calibri"/>
          <w:b/>
          <w:color w:val="0072C6"/>
          <w:sz w:val="24"/>
        </w:rPr>
        <w:t>Objectif : Tenir informés tous les acteurs en temps réel et de manière proactive</w:t>
      </w:r>
    </w:p>
    <w:p>
      <w:pPr>
        <w:pStyle w:val="ListBullet"/>
        <w:spacing w:before="40" w:after="40"/>
      </w:pPr>
      <w:r>
        <w:rPr>
          <w:rFonts w:ascii="Calibri" w:hAnsi="Calibri"/>
          <w:b w:val="0"/>
          <w:color w:val="2D2D2D"/>
          <w:sz w:val="21"/>
        </w:rPr>
        <w:t>E-mail : modèles HTML/texte personnalisés par type d'événement (plainte reçue, dossier assigné, médiation programmée, décision rendue)</w:t>
      </w:r>
    </w:p>
    <w:p>
      <w:pPr>
        <w:pStyle w:val="ListBullet"/>
        <w:spacing w:before="40" w:after="40"/>
      </w:pPr>
      <w:r>
        <w:rPr>
          <w:rFonts w:ascii="Calibri" w:hAnsi="Calibri"/>
          <w:b w:val="0"/>
          <w:color w:val="2D2D2D"/>
          <w:sz w:val="21"/>
        </w:rPr>
        <w:t>SMS : notifications critiques pour les plaignants sans accès internet, via opérateurs ivoiriens (Orange CI, MTN CI, Moov Africa)</w:t>
      </w:r>
    </w:p>
    <w:p>
      <w:pPr>
        <w:pStyle w:val="ListBullet"/>
        <w:spacing w:before="40" w:after="40"/>
      </w:pPr>
      <w:r>
        <w:rPr>
          <w:rFonts w:ascii="Calibri" w:hAnsi="Calibri"/>
          <w:b w:val="0"/>
          <w:color w:val="2D2D2D"/>
          <w:sz w:val="21"/>
        </w:rPr>
        <w:t>Notifications in-app en temps réel via WebSocket (Django Channels) — pastille rouge sur l'interface</w:t>
      </w:r>
    </w:p>
    <w:p>
      <w:pPr>
        <w:pStyle w:val="ListBullet"/>
        <w:spacing w:before="40" w:after="40"/>
      </w:pPr>
      <w:r>
        <w:rPr>
          <w:rFonts w:ascii="Calibri" w:hAnsi="Calibri"/>
          <w:b w:val="0"/>
          <w:color w:val="2D2D2D"/>
          <w:sz w:val="21"/>
        </w:rPr>
        <w:t>Push notifications mobiles (iOS et Android) pour l'application mobile</w:t>
      </w:r>
    </w:p>
    <w:p>
      <w:pPr>
        <w:pStyle w:val="ListBullet"/>
        <w:spacing w:before="40" w:after="40"/>
      </w:pPr>
      <w:r>
        <w:rPr>
          <w:rFonts w:ascii="Calibri" w:hAnsi="Calibri"/>
          <w:b w:val="0"/>
          <w:color w:val="2D2D2D"/>
          <w:sz w:val="21"/>
        </w:rPr>
        <w:t>Préférences de notification personnalisables par utilisateur (désactivation canal par canal)</w:t>
      </w:r>
    </w:p>
    <w:p>
      <w:pPr>
        <w:pStyle w:val="ListBullet"/>
        <w:spacing w:before="40" w:after="40"/>
      </w:pPr>
      <w:r>
        <w:rPr>
          <w:rFonts w:ascii="Calibri" w:hAnsi="Calibri"/>
          <w:b w:val="0"/>
          <w:color w:val="2D2D2D"/>
          <w:sz w:val="21"/>
        </w:rPr>
        <w:t>Historique complet des notifications envoyées avec statut de livraison</w:t>
      </w:r>
    </w:p>
    <w:p>
      <w:pPr>
        <w:pStyle w:val="ListBullet"/>
        <w:spacing w:before="40" w:after="40"/>
      </w:pPr>
      <w:r>
        <w:rPr>
          <w:rFonts w:ascii="Calibri" w:hAnsi="Calibri"/>
          <w:b w:val="0"/>
          <w:color w:val="2D2D2D"/>
          <w:sz w:val="21"/>
        </w:rPr>
        <w:t>Alerte hiérarchique automatique en cas de dépassement de délai</w:t>
      </w:r>
    </w:p>
    <w:tbl>
      <w:tblPr>
        <w:tblW w:type="auto" w:w="0"/>
        <w:jc w:val="center"/>
        <w:tblLook w:firstColumn="1" w:firstRow="1" w:lastColumn="0" w:lastRow="0" w:noHBand="0" w:noVBand="1" w:val="04A0"/>
      </w:tblPr>
      <w:tblGrid>
        <w:gridCol w:w="9406"/>
      </w:tblGrid>
      <w:tr>
        <w:tc>
          <w:tcPr>
            <w:tcW w:type="dxa" w:w="9406"/>
            <w:shd w:val="clear" w:color="auto" w:fill="006BAF"/>
            <w:vAlign w:val="center"/>
          </w:tcPr>
          <w:p>
            <w:pPr>
              <w:spacing w:before="160" w:after="160"/>
              <w:jc w:val="left"/>
            </w:pPr>
            <w:r>
              <w:rPr>
                <w:rFonts w:ascii="Calibri" w:hAnsi="Calibri"/>
                <w:b/>
                <w:color w:val="FFFFFF"/>
                <w:sz w:val="22"/>
              </w:rPr>
              <w:t xml:space="preserve">  MODULE 14  –  Portail Public et Page d'Accueil</w:t>
            </w:r>
          </w:p>
        </w:tc>
      </w:tr>
    </w:tbl>
    <w:p>
      <w:pPr>
        <w:spacing w:before="200" w:after="80"/>
      </w:pPr>
      <w:r>
        <w:rPr>
          <w:rFonts w:ascii="Calibri" w:hAnsi="Calibri"/>
          <w:b/>
          <w:color w:val="0072C6"/>
          <w:sz w:val="24"/>
        </w:rPr>
        <w:t>Objectif : Offrir une vitrine institutionnelle et un point d'entrée citoyen</w:t>
      </w:r>
    </w:p>
    <w:p>
      <w:pPr>
        <w:pStyle w:val="ListBullet"/>
        <w:spacing w:before="40" w:after="40"/>
      </w:pPr>
      <w:r>
        <w:rPr>
          <w:rFonts w:ascii="Calibri" w:hAnsi="Calibri"/>
          <w:b w:val="0"/>
          <w:color w:val="2D2D2D"/>
          <w:sz w:val="21"/>
        </w:rPr>
        <w:t>Site web public de la DGT : actualités, annonces, communiqués de presse</w:t>
      </w:r>
    </w:p>
    <w:p>
      <w:pPr>
        <w:pStyle w:val="ListBullet"/>
        <w:spacing w:before="40" w:after="40"/>
      </w:pPr>
      <w:r>
        <w:rPr>
          <w:rFonts w:ascii="Calibri" w:hAnsi="Calibri"/>
          <w:b w:val="0"/>
          <w:color w:val="2D2D2D"/>
          <w:sz w:val="21"/>
        </w:rPr>
        <w:t>FAQ dynamique par catégorie : droit des salariés, obligations des employeurs, procédures de plainte</w:t>
      </w:r>
    </w:p>
    <w:p>
      <w:pPr>
        <w:pStyle w:val="ListBullet"/>
        <w:spacing w:before="40" w:after="40"/>
      </w:pPr>
      <w:r>
        <w:rPr>
          <w:rFonts w:ascii="Calibri" w:hAnsi="Calibri"/>
          <w:b w:val="0"/>
          <w:color w:val="2D2D2D"/>
          <w:sz w:val="21"/>
        </w:rPr>
        <w:t>Annuaire des directions régionales et locales avec coordonnées, horaires et carte</w:t>
      </w:r>
    </w:p>
    <w:p>
      <w:pPr>
        <w:pStyle w:val="ListBullet"/>
        <w:spacing w:before="40" w:after="40"/>
      </w:pPr>
      <w:r>
        <w:rPr>
          <w:rFonts w:ascii="Calibri" w:hAnsi="Calibri"/>
          <w:b w:val="0"/>
          <w:color w:val="2D2D2D"/>
          <w:sz w:val="21"/>
        </w:rPr>
        <w:t>Accès aux textes réglementaires : Code du Travail ivoirien, conventions collectives, décrets d'application</w:t>
      </w:r>
    </w:p>
    <w:p>
      <w:pPr>
        <w:pStyle w:val="ListBullet"/>
        <w:spacing w:before="40" w:after="40"/>
      </w:pPr>
      <w:r>
        <w:rPr>
          <w:rFonts w:ascii="Calibri" w:hAnsi="Calibri"/>
          <w:b w:val="0"/>
          <w:color w:val="2D2D2D"/>
          <w:sz w:val="21"/>
        </w:rPr>
        <w:t>Formulaire de dépôt de plainte en ligne avec suivi par numéro de référence</w:t>
      </w:r>
    </w:p>
    <w:p>
      <w:pPr>
        <w:pStyle w:val="ListBullet"/>
        <w:spacing w:before="40" w:after="40"/>
      </w:pPr>
      <w:r>
        <w:rPr>
          <w:rFonts w:ascii="Calibri" w:hAnsi="Calibri"/>
          <w:b w:val="0"/>
          <w:color w:val="2D2D2D"/>
          <w:sz w:val="21"/>
        </w:rPr>
        <w:t>Accessibilité : responsive design (mobile-first), conforme WCAG 2.1 (niveau AA), optimisé pour les connexions lentes</w:t>
      </w:r>
    </w:p>
    <w:p>
      <w:pPr>
        <w:pStyle w:val="ListBullet"/>
        <w:spacing w:before="40" w:after="40"/>
      </w:pPr>
      <w:r>
        <w:rPr>
          <w:rFonts w:ascii="Calibri" w:hAnsi="Calibri"/>
          <w:b w:val="0"/>
          <w:color w:val="2D2D2D"/>
          <w:sz w:val="21"/>
        </w:rPr>
        <w:t>SEO optimisé pour la visibilité dans les moteurs de recherche</w:t>
      </w:r>
    </w:p>
    <w:tbl>
      <w:tblPr>
        <w:tblW w:type="auto" w:w="0"/>
        <w:jc w:val="center"/>
        <w:tblLook w:firstColumn="1" w:firstRow="1" w:lastColumn="0" w:lastRow="0" w:noHBand="0" w:noVBand="1" w:val="04A0"/>
      </w:tblPr>
      <w:tblGrid>
        <w:gridCol w:w="9406"/>
      </w:tblGrid>
      <w:tr>
        <w:tc>
          <w:tcPr>
            <w:tcW w:type="dxa" w:w="9406"/>
            <w:shd w:val="clear" w:color="auto" w:fill="00347C"/>
            <w:vAlign w:val="center"/>
          </w:tcPr>
          <w:p>
            <w:pPr>
              <w:spacing w:before="160" w:after="160"/>
              <w:jc w:val="left"/>
            </w:pPr>
            <w:r>
              <w:rPr>
                <w:rFonts w:ascii="Calibri" w:hAnsi="Calibri"/>
                <w:b/>
                <w:color w:val="FFFFFF"/>
                <w:sz w:val="22"/>
              </w:rPr>
              <w:t xml:space="preserve">  MODULE 15  –  Administration Système et Audit</w:t>
            </w:r>
          </w:p>
        </w:tc>
      </w:tr>
    </w:tbl>
    <w:p>
      <w:pPr>
        <w:spacing w:before="200" w:after="80"/>
      </w:pPr>
      <w:r>
        <w:rPr>
          <w:rFonts w:ascii="Calibri" w:hAnsi="Calibri"/>
          <w:b/>
          <w:color w:val="0072C6"/>
          <w:sz w:val="24"/>
        </w:rPr>
        <w:t>Objectif : Garantir la sécurité, la conformité et la maîtrise technique de la plateforme</w:t>
      </w:r>
    </w:p>
    <w:p>
      <w:pPr>
        <w:pStyle w:val="ListBullet"/>
        <w:spacing w:before="40" w:after="40"/>
      </w:pPr>
      <w:r>
        <w:rPr>
          <w:rFonts w:ascii="Calibri" w:hAnsi="Calibri"/>
          <w:b w:val="0"/>
          <w:color w:val="2D2D2D"/>
          <w:sz w:val="21"/>
        </w:rPr>
        <w:t>Console d'administration dédiée pour la gestion des utilisateurs, des droits et des configurations</w:t>
      </w:r>
    </w:p>
    <w:p>
      <w:pPr>
        <w:pStyle w:val="ListBullet"/>
        <w:spacing w:before="40" w:after="40"/>
      </w:pPr>
      <w:r>
        <w:rPr>
          <w:rFonts w:ascii="Calibri" w:hAnsi="Calibri"/>
          <w:b w:val="0"/>
          <w:color w:val="2D2D2D"/>
          <w:sz w:val="21"/>
        </w:rPr>
        <w:t>Journal d'audit complet et immuable : toutes les actions (création, modification, suppression, consultation de dossiers sensibles) sont enregistrées avec identité de l'agent, horodatage et adresse IP</w:t>
      </w:r>
    </w:p>
    <w:p>
      <w:pPr>
        <w:pStyle w:val="ListBullet"/>
        <w:spacing w:before="40" w:after="40"/>
      </w:pPr>
      <w:r>
        <w:rPr>
          <w:rFonts w:ascii="Calibri" w:hAnsi="Calibri"/>
          <w:b w:val="0"/>
          <w:color w:val="2D2D2D"/>
          <w:sz w:val="21"/>
        </w:rPr>
        <w:t>Surveillance en temps réel des performances (temps de réponse API, charge serveur, erreurs)</w:t>
      </w:r>
    </w:p>
    <w:p>
      <w:pPr>
        <w:pStyle w:val="ListBullet"/>
        <w:spacing w:before="40" w:after="40"/>
      </w:pPr>
      <w:r>
        <w:rPr>
          <w:rFonts w:ascii="Calibri" w:hAnsi="Calibri"/>
          <w:b w:val="0"/>
          <w:color w:val="2D2D2D"/>
          <w:sz w:val="21"/>
        </w:rPr>
        <w:t>Gestion des configurations système avec chiffrement des paramètres sensibles (clés API, mots de passe)</w:t>
      </w:r>
    </w:p>
    <w:p>
      <w:pPr>
        <w:pStyle w:val="ListBullet"/>
        <w:spacing w:before="40" w:after="40"/>
      </w:pPr>
      <w:r>
        <w:rPr>
          <w:rFonts w:ascii="Calibri" w:hAnsi="Calibri"/>
          <w:b w:val="0"/>
          <w:color w:val="2D2D2D"/>
          <w:sz w:val="21"/>
        </w:rPr>
        <w:t>Outils de purge et d'archivage conformes aux politiques de rétention de données</w:t>
      </w:r>
    </w:p>
    <w:p>
      <w:pPr>
        <w:pStyle w:val="ListBullet"/>
        <w:spacing w:before="40" w:after="40"/>
      </w:pPr>
      <w:r>
        <w:rPr>
          <w:rFonts w:ascii="Calibri" w:hAnsi="Calibri"/>
          <w:b w:val="0"/>
          <w:color w:val="2D2D2D"/>
          <w:sz w:val="21"/>
        </w:rPr>
        <w:t>Rapports d'audit exportables pour les inspections et certifications de sécurité</w:t>
      </w:r>
    </w:p>
    <w:tbl>
      <w:tblPr>
        <w:tblW w:type="auto" w:w="0"/>
        <w:jc w:val="center"/>
        <w:tblLook w:firstColumn="1" w:firstRow="1" w:lastColumn="0" w:lastRow="0" w:noHBand="0" w:noVBand="1" w:val="04A0"/>
      </w:tblPr>
      <w:tblGrid>
        <w:gridCol w:w="9406"/>
      </w:tblGrid>
      <w:tr>
        <w:tc>
          <w:tcPr>
            <w:tcW w:type="dxa" w:w="9406"/>
            <w:shd w:val="clear" w:color="auto" w:fill="006BAF"/>
            <w:vAlign w:val="center"/>
          </w:tcPr>
          <w:p>
            <w:pPr>
              <w:spacing w:before="160" w:after="160"/>
              <w:jc w:val="left"/>
            </w:pPr>
            <w:r>
              <w:rPr>
                <w:rFonts w:ascii="Calibri" w:hAnsi="Calibri"/>
                <w:b/>
                <w:color w:val="FFFFFF"/>
                <w:sz w:val="22"/>
              </w:rPr>
              <w:t xml:space="preserve">  MODULE 16  –  Application Mobile (iOS et Android)</w:t>
            </w:r>
          </w:p>
        </w:tc>
      </w:tr>
    </w:tbl>
    <w:p>
      <w:pPr>
        <w:spacing w:before="200" w:after="80"/>
      </w:pPr>
      <w:r>
        <w:rPr>
          <w:rFonts w:ascii="Calibri" w:hAnsi="Calibri"/>
          <w:b/>
          <w:color w:val="0072C6"/>
          <w:sz w:val="24"/>
        </w:rPr>
        <w:t>Objectif : Étendre la plateforme aux usages terrain et aux zones peu connectées</w:t>
      </w:r>
    </w:p>
    <w:p>
      <w:pPr>
        <w:pStyle w:val="ListBullet"/>
        <w:spacing w:before="40" w:after="40"/>
      </w:pPr>
      <w:r>
        <w:rPr>
          <w:rFonts w:ascii="Calibri" w:hAnsi="Calibri"/>
          <w:b w:val="0"/>
          <w:color w:val="2D2D2D"/>
          <w:sz w:val="21"/>
        </w:rPr>
        <w:t>Application React Native disponible sur App Store (iOS) et Google Play (Android)</w:t>
      </w:r>
    </w:p>
    <w:p>
      <w:pPr>
        <w:pStyle w:val="ListBullet"/>
        <w:spacing w:before="40" w:after="40"/>
      </w:pPr>
      <w:r>
        <w:rPr>
          <w:rFonts w:ascii="Calibri" w:hAnsi="Calibri"/>
          <w:b w:val="0"/>
          <w:color w:val="2D2D2D"/>
          <w:sz w:val="21"/>
        </w:rPr>
        <w:t>Fonctionnement hors-ligne partiel (PWA) : consultation de dossiers, saisie de rapports d'inspection, synchronisation automatique à la reconnexion</w:t>
      </w:r>
    </w:p>
    <w:p>
      <w:pPr>
        <w:pStyle w:val="ListBullet"/>
        <w:spacing w:before="40" w:after="40"/>
      </w:pPr>
      <w:r>
        <w:rPr>
          <w:rFonts w:ascii="Calibri" w:hAnsi="Calibri"/>
          <w:b w:val="0"/>
          <w:color w:val="2D2D2D"/>
          <w:sz w:val="21"/>
        </w:rPr>
        <w:t>Scan QR Code d'une entreprise pour accéder instantanément à son dossier</w:t>
      </w:r>
    </w:p>
    <w:p>
      <w:pPr>
        <w:pStyle w:val="ListBullet"/>
        <w:spacing w:before="40" w:after="40"/>
      </w:pPr>
      <w:r>
        <w:rPr>
          <w:rFonts w:ascii="Calibri" w:hAnsi="Calibri"/>
          <w:b w:val="0"/>
          <w:color w:val="2D2D2D"/>
          <w:sz w:val="21"/>
        </w:rPr>
        <w:t>Géolocalisation de l'inspecteur et de l'entreprise visitée pour validation de présence</w:t>
      </w:r>
    </w:p>
    <w:p>
      <w:pPr>
        <w:pStyle w:val="ListBullet"/>
        <w:spacing w:before="40" w:after="40"/>
      </w:pPr>
      <w:r>
        <w:rPr>
          <w:rFonts w:ascii="Calibri" w:hAnsi="Calibri"/>
          <w:b w:val="0"/>
          <w:color w:val="2D2D2D"/>
          <w:sz w:val="21"/>
        </w:rPr>
        <w:t>Prise de photo et enregistrement audio directement intégrés au rapport d'inspection</w:t>
      </w:r>
    </w:p>
    <w:p>
      <w:pPr>
        <w:pStyle w:val="ListBullet"/>
        <w:spacing w:before="40" w:after="40"/>
      </w:pPr>
      <w:r>
        <w:rPr>
          <w:rFonts w:ascii="Calibri" w:hAnsi="Calibri"/>
          <w:b w:val="0"/>
          <w:color w:val="2D2D2D"/>
          <w:sz w:val="21"/>
        </w:rPr>
        <w:t>Push notifications pour les alertes et assignations</w:t>
      </w:r>
    </w:p>
    <w:p>
      <w:pPr>
        <w:pStyle w:val="ListBullet"/>
        <w:spacing w:before="40" w:after="40"/>
      </w:pPr>
      <w:r>
        <w:rPr>
          <w:rFonts w:ascii="Calibri" w:hAnsi="Calibri"/>
          <w:b w:val="0"/>
          <w:color w:val="2D2D2D"/>
          <w:sz w:val="21"/>
        </w:rPr>
        <w:t>Interface simplifiée pour les travailleurs : dépôt de plainte en 5 étapes, suivi de dossier</w:t>
      </w:r>
    </w:p>
    <w:p>
      <w:pPr>
        <w:pStyle w:val="ListBullet"/>
        <w:spacing w:before="40" w:after="40"/>
      </w:pPr>
      <w:r>
        <w:rPr>
          <w:rFonts w:ascii="Calibri" w:hAnsi="Calibri"/>
          <w:b w:val="0"/>
          <w:color w:val="2D2D2D"/>
          <w:sz w:val="21"/>
        </w:rPr>
        <w:t>Support multilingue : Français (interface principale), avec assistance vocale Dioula et Baoulé (via IA)</w:t>
      </w:r>
    </w:p>
    <w:p>
      <w:r>
        <w:br w:type="page"/>
      </w:r>
    </w:p>
    <w:p>
      <w:pPr>
        <w:spacing w:before="0" w:after="120"/>
      </w:pPr>
      <w:r>
        <w:rPr>
          <w:rFonts w:ascii="Calibri" w:hAnsi="Calibri"/>
          <w:b/>
          <w:color w:val="00347C"/>
          <w:sz w:val="30"/>
        </w:rPr>
        <w:t>6.  ARCHITECTURE TECHNIQUE ET SÉCURITÉ</w:t>
      </w:r>
    </w:p>
    <w:p>
      <w:pPr>
        <w:pBdr>
          <w:bottom w:val="single" w:sz="6" w:space="1" w:color="00347C"/>
        </w:pBdr>
        <w:spacing w:before="20" w:after="40"/>
      </w:pPr>
    </w:p>
    <w:p>
      <w:pPr>
        <w:spacing w:before="60" w:after="60" w:line="360" w:lineRule="auto"/>
        <w:jc w:val="both"/>
      </w:pPr>
      <w:r>
        <w:rPr>
          <w:rFonts w:ascii="Calibri" w:hAnsi="Calibri"/>
          <w:i w:val="0"/>
          <w:color w:val="2D2D2D"/>
          <w:sz w:val="21"/>
        </w:rPr>
        <w:t>La plateforme est construite selon une architecture en microservices découplés, déployable sur infrastructure cloud ou on-premise au sein des datacenters du gouvernement ivoirien (CIE-Datacenter, Infrastructure nationale SI). Elle garantit scalabilité, haute disponibilité et sécurité de niveau institutionnel.</w:t>
      </w:r>
    </w:p>
    <w:p>
      <w:pPr>
        <w:spacing w:before="200" w:after="80"/>
      </w:pPr>
      <w:r>
        <w:rPr>
          <w:rFonts w:ascii="Calibri" w:hAnsi="Calibri"/>
          <w:b/>
          <w:color w:val="0072C6"/>
          <w:sz w:val="24"/>
        </w:rPr>
        <w:t>6.1  Pile technologique complète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0347C"/>
          </w:tcPr>
          <w:p>
            <w:pPr>
              <w:spacing w:before="80" w:after="80"/>
            </w:pPr>
            <w:r>
              <w:rPr>
                <w:rFonts w:ascii="Calibri" w:hAnsi="Calibri"/>
                <w:b/>
                <w:color w:val="FFFFFF"/>
                <w:sz w:val="18"/>
              </w:rPr>
              <w:t>Couche</w:t>
            </w:r>
          </w:p>
        </w:tc>
        <w:tc>
          <w:tcPr>
            <w:tcW w:type="dxa" w:w="2351"/>
            <w:shd w:val="clear" w:color="auto" w:fill="00347C"/>
          </w:tcPr>
          <w:p>
            <w:pPr>
              <w:spacing w:before="80" w:after="80"/>
            </w:pPr>
            <w:r>
              <w:rPr>
                <w:rFonts w:ascii="Calibri" w:hAnsi="Calibri"/>
                <w:b/>
                <w:color w:val="FFFFFF"/>
                <w:sz w:val="18"/>
              </w:rPr>
              <w:t>Technologie</w:t>
            </w:r>
          </w:p>
        </w:tc>
        <w:tc>
          <w:tcPr>
            <w:tcW w:type="dxa" w:w="2351"/>
            <w:shd w:val="clear" w:color="auto" w:fill="00347C"/>
          </w:tcPr>
          <w:p>
            <w:pPr>
              <w:spacing w:before="80" w:after="80"/>
            </w:pPr>
            <w:r>
              <w:rPr>
                <w:rFonts w:ascii="Calibri" w:hAnsi="Calibri"/>
                <w:b/>
                <w:color w:val="FFFFFF"/>
                <w:sz w:val="18"/>
              </w:rPr>
              <w:t>Version</w:t>
            </w:r>
          </w:p>
        </w:tc>
        <w:tc>
          <w:tcPr>
            <w:tcW w:type="dxa" w:w="2351"/>
            <w:shd w:val="clear" w:color="auto" w:fill="00347C"/>
          </w:tcPr>
          <w:p>
            <w:pPr>
              <w:spacing w:before="80" w:after="80"/>
            </w:pPr>
            <w:r>
              <w:rPr>
                <w:rFonts w:ascii="Calibri" w:hAnsi="Calibri"/>
                <w:b/>
                <w:color w:val="FFFFFF"/>
                <w:sz w:val="18"/>
              </w:rPr>
              <w:t>Rôle</w:t>
            </w:r>
          </w:p>
        </w:tc>
      </w:tr>
      <w:tr>
        <w:tc>
          <w:tcPr>
            <w:tcW w:type="dxa" w:w="2351"/>
            <w:shd w:val="clear" w:color="auto" w:fill="FFFFFF"/>
          </w:tcPr>
          <w:p>
            <w:pPr>
              <w:spacing w:before="80" w:after="80"/>
            </w:pPr>
            <w:r>
              <w:rPr>
                <w:rFonts w:ascii="Calibri" w:hAnsi="Calibri"/>
                <w:b/>
                <w:color w:val="2D2D2D"/>
                <w:sz w:val="18"/>
              </w:rPr>
              <w:t>Framework Backend</w:t>
            </w:r>
          </w:p>
        </w:tc>
        <w:tc>
          <w:tcPr>
            <w:tcW w:type="dxa" w:w="2351"/>
            <w:shd w:val="clear" w:color="auto" w:fill="FFFFFF"/>
          </w:tcPr>
          <w:p>
            <w:pPr>
              <w:spacing w:before="80" w:after="80"/>
            </w:pPr>
            <w:r>
              <w:rPr>
                <w:rFonts w:ascii="Calibri" w:hAnsi="Calibri"/>
                <w:b w:val="0"/>
                <w:color w:val="2D2D2D"/>
                <w:sz w:val="18"/>
              </w:rPr>
              <w:t>Django</w:t>
            </w:r>
          </w:p>
        </w:tc>
        <w:tc>
          <w:tcPr>
            <w:tcW w:type="dxa" w:w="2351"/>
            <w:shd w:val="clear" w:color="auto" w:fill="FFFFFF"/>
          </w:tcPr>
          <w:p>
            <w:pPr>
              <w:spacing w:before="80" w:after="80"/>
            </w:pPr>
            <w:r>
              <w:rPr>
                <w:rFonts w:ascii="Calibri" w:hAnsi="Calibri"/>
                <w:b w:val="0"/>
                <w:color w:val="2D2D2D"/>
                <w:sz w:val="18"/>
              </w:rPr>
              <w:t>5.0.6</w:t>
            </w:r>
          </w:p>
        </w:tc>
        <w:tc>
          <w:tcPr>
            <w:tcW w:type="dxa" w:w="2351"/>
            <w:shd w:val="clear" w:color="auto" w:fill="FFFFFF"/>
          </w:tcPr>
          <w:p>
            <w:pPr>
              <w:spacing w:before="80" w:after="80"/>
            </w:pPr>
            <w:r>
              <w:rPr>
                <w:rFonts w:ascii="Calibri" w:hAnsi="Calibri"/>
                <w:b w:val="0"/>
                <w:color w:val="2D2D2D"/>
                <w:sz w:val="18"/>
              </w:rPr>
              <w:t>Logique métier, ORM, administration</w:t>
            </w:r>
          </w:p>
        </w:tc>
      </w:tr>
      <w:tr>
        <w:tc>
          <w:tcPr>
            <w:tcW w:type="dxa" w:w="2351"/>
            <w:shd w:val="clear" w:color="auto" w:fill="F5F7FA"/>
          </w:tcPr>
          <w:p>
            <w:pPr>
              <w:spacing w:before="80" w:after="80"/>
            </w:pPr>
            <w:r>
              <w:rPr>
                <w:rFonts w:ascii="Calibri" w:hAnsi="Calibri"/>
                <w:b/>
                <w:color w:val="2D2D2D"/>
                <w:sz w:val="18"/>
              </w:rPr>
              <w:t>API REST</w:t>
            </w:r>
          </w:p>
        </w:tc>
        <w:tc>
          <w:tcPr>
            <w:tcW w:type="dxa" w:w="2351"/>
            <w:shd w:val="clear" w:color="auto" w:fill="F5F7FA"/>
          </w:tcPr>
          <w:p>
            <w:pPr>
              <w:spacing w:before="80" w:after="80"/>
            </w:pPr>
            <w:r>
              <w:rPr>
                <w:rFonts w:ascii="Calibri" w:hAnsi="Calibri"/>
                <w:b w:val="0"/>
                <w:color w:val="2D2D2D"/>
                <w:sz w:val="18"/>
              </w:rPr>
              <w:t>Django REST Framework</w:t>
            </w:r>
          </w:p>
        </w:tc>
        <w:tc>
          <w:tcPr>
            <w:tcW w:type="dxa" w:w="2351"/>
            <w:shd w:val="clear" w:color="auto" w:fill="F5F7FA"/>
          </w:tcPr>
          <w:p>
            <w:pPr>
              <w:spacing w:before="80" w:after="80"/>
            </w:pPr>
            <w:r>
              <w:rPr>
                <w:rFonts w:ascii="Calibri" w:hAnsi="Calibri"/>
                <w:b w:val="0"/>
                <w:color w:val="2D2D2D"/>
                <w:sz w:val="18"/>
              </w:rPr>
              <w:t>3.15.1</w:t>
            </w:r>
          </w:p>
        </w:tc>
        <w:tc>
          <w:tcPr>
            <w:tcW w:type="dxa" w:w="2351"/>
            <w:shd w:val="clear" w:color="auto" w:fill="F5F7FA"/>
          </w:tcPr>
          <w:p>
            <w:pPr>
              <w:spacing w:before="80" w:after="80"/>
            </w:pPr>
            <w:r>
              <w:rPr>
                <w:rFonts w:ascii="Calibri" w:hAnsi="Calibri"/>
                <w:b w:val="0"/>
                <w:color w:val="2D2D2D"/>
                <w:sz w:val="18"/>
              </w:rPr>
              <w:t>Endpoints API sécurisés et documentés</w:t>
            </w:r>
          </w:p>
        </w:tc>
      </w:tr>
      <w:tr>
        <w:tc>
          <w:tcPr>
            <w:tcW w:type="dxa" w:w="2351"/>
            <w:shd w:val="clear" w:color="auto" w:fill="FFFFFF"/>
          </w:tcPr>
          <w:p>
            <w:pPr>
              <w:spacing w:before="80" w:after="80"/>
            </w:pPr>
            <w:r>
              <w:rPr>
                <w:rFonts w:ascii="Calibri" w:hAnsi="Calibri"/>
                <w:b/>
                <w:color w:val="2D2D2D"/>
                <w:sz w:val="18"/>
              </w:rPr>
              <w:t>Base de données</w:t>
            </w:r>
          </w:p>
        </w:tc>
        <w:tc>
          <w:tcPr>
            <w:tcW w:type="dxa" w:w="2351"/>
            <w:shd w:val="clear" w:color="auto" w:fill="FFFFFF"/>
          </w:tcPr>
          <w:p>
            <w:pPr>
              <w:spacing w:before="80" w:after="80"/>
            </w:pPr>
            <w:r>
              <w:rPr>
                <w:rFonts w:ascii="Calibri" w:hAnsi="Calibri"/>
                <w:b w:val="0"/>
                <w:color w:val="2D2D2D"/>
                <w:sz w:val="18"/>
              </w:rPr>
              <w:t>MySQL / MariaDB</w:t>
            </w:r>
          </w:p>
        </w:tc>
        <w:tc>
          <w:tcPr>
            <w:tcW w:type="dxa" w:w="2351"/>
            <w:shd w:val="clear" w:color="auto" w:fill="FFFFFF"/>
          </w:tcPr>
          <w:p>
            <w:pPr>
              <w:spacing w:before="80" w:after="80"/>
            </w:pPr>
            <w:r>
              <w:rPr>
                <w:rFonts w:ascii="Calibri" w:hAnsi="Calibri"/>
                <w:b w:val="0"/>
                <w:color w:val="2D2D2D"/>
                <w:sz w:val="18"/>
              </w:rPr>
              <w:t>8.0+</w:t>
            </w:r>
          </w:p>
        </w:tc>
        <w:tc>
          <w:tcPr>
            <w:tcW w:type="dxa" w:w="2351"/>
            <w:shd w:val="clear" w:color="auto" w:fill="FFFFFF"/>
          </w:tcPr>
          <w:p>
            <w:pPr>
              <w:spacing w:before="80" w:after="80"/>
            </w:pPr>
            <w:r>
              <w:rPr>
                <w:rFonts w:ascii="Calibri" w:hAnsi="Calibri"/>
                <w:b w:val="0"/>
                <w:color w:val="2D2D2D"/>
                <w:sz w:val="18"/>
              </w:rPr>
              <w:t>Stockage relationnel principal</w:t>
            </w:r>
          </w:p>
        </w:tc>
      </w:tr>
      <w:tr>
        <w:tc>
          <w:tcPr>
            <w:tcW w:type="dxa" w:w="2351"/>
            <w:shd w:val="clear" w:color="auto" w:fill="F5F7FA"/>
          </w:tcPr>
          <w:p>
            <w:pPr>
              <w:spacing w:before="80" w:after="80"/>
            </w:pPr>
            <w:r>
              <w:rPr>
                <w:rFonts w:ascii="Calibri" w:hAnsi="Calibri"/>
                <w:b/>
                <w:color w:val="2D2D2D"/>
                <w:sz w:val="18"/>
              </w:rPr>
              <w:t>Authentification</w:t>
            </w:r>
          </w:p>
        </w:tc>
        <w:tc>
          <w:tcPr>
            <w:tcW w:type="dxa" w:w="2351"/>
            <w:shd w:val="clear" w:color="auto" w:fill="F5F7FA"/>
          </w:tcPr>
          <w:p>
            <w:pPr>
              <w:spacing w:before="80" w:after="80"/>
            </w:pPr>
            <w:r>
              <w:rPr>
                <w:rFonts w:ascii="Calibri" w:hAnsi="Calibri"/>
                <w:b w:val="0"/>
                <w:color w:val="2D2D2D"/>
                <w:sz w:val="18"/>
              </w:rPr>
              <w:t>JWT + Simple JWT + PyOTP</w:t>
            </w:r>
          </w:p>
        </w:tc>
        <w:tc>
          <w:tcPr>
            <w:tcW w:type="dxa" w:w="2351"/>
            <w:shd w:val="clear" w:color="auto" w:fill="F5F7FA"/>
          </w:tcPr>
          <w:p>
            <w:pPr>
              <w:spacing w:before="80" w:after="80"/>
            </w:pPr>
            <w:r>
              <w:rPr>
                <w:rFonts w:ascii="Calibri" w:hAnsi="Calibri"/>
                <w:b w:val="0"/>
                <w:color w:val="2D2D2D"/>
                <w:sz w:val="18"/>
              </w:rPr>
              <w:t>5.3.1</w:t>
            </w:r>
          </w:p>
        </w:tc>
        <w:tc>
          <w:tcPr>
            <w:tcW w:type="dxa" w:w="2351"/>
            <w:shd w:val="clear" w:color="auto" w:fill="F5F7FA"/>
          </w:tcPr>
          <w:p>
            <w:pPr>
              <w:spacing w:before="80" w:after="80"/>
            </w:pPr>
            <w:r>
              <w:rPr>
                <w:rFonts w:ascii="Calibri" w:hAnsi="Calibri"/>
                <w:b w:val="0"/>
                <w:color w:val="2D2D2D"/>
                <w:sz w:val="18"/>
              </w:rPr>
              <w:t>Accès sécurisé + 2FA TOTP</w:t>
            </w:r>
          </w:p>
        </w:tc>
      </w:tr>
      <w:tr>
        <w:tc>
          <w:tcPr>
            <w:tcW w:type="dxa" w:w="2351"/>
            <w:shd w:val="clear" w:color="auto" w:fill="FFFFFF"/>
          </w:tcPr>
          <w:p>
            <w:pPr>
              <w:spacing w:before="80" w:after="80"/>
            </w:pPr>
            <w:r>
              <w:rPr>
                <w:rFonts w:ascii="Calibri" w:hAnsi="Calibri"/>
                <w:b/>
                <w:color w:val="2D2D2D"/>
                <w:sz w:val="18"/>
              </w:rPr>
              <w:t>Tâches asynchrones</w:t>
            </w:r>
          </w:p>
        </w:tc>
        <w:tc>
          <w:tcPr>
            <w:tcW w:type="dxa" w:w="2351"/>
            <w:shd w:val="clear" w:color="auto" w:fill="FFFFFF"/>
          </w:tcPr>
          <w:p>
            <w:pPr>
              <w:spacing w:before="80" w:after="80"/>
            </w:pPr>
            <w:r>
              <w:rPr>
                <w:rFonts w:ascii="Calibri" w:hAnsi="Calibri"/>
                <w:b w:val="0"/>
                <w:color w:val="2D2D2D"/>
                <w:sz w:val="18"/>
              </w:rPr>
              <w:t>Celery + Redis</w:t>
            </w:r>
          </w:p>
        </w:tc>
        <w:tc>
          <w:tcPr>
            <w:tcW w:type="dxa" w:w="2351"/>
            <w:shd w:val="clear" w:color="auto" w:fill="FFFFFF"/>
          </w:tcPr>
          <w:p>
            <w:pPr>
              <w:spacing w:before="80" w:after="80"/>
            </w:pPr>
            <w:r>
              <w:rPr>
                <w:rFonts w:ascii="Calibri" w:hAnsi="Calibri"/>
                <w:b w:val="0"/>
                <w:color w:val="2D2D2D"/>
                <w:sz w:val="18"/>
              </w:rPr>
              <w:t>5.3 / 5.0</w:t>
            </w:r>
          </w:p>
        </w:tc>
        <w:tc>
          <w:tcPr>
            <w:tcW w:type="dxa" w:w="2351"/>
            <w:shd w:val="clear" w:color="auto" w:fill="FFFFFF"/>
          </w:tcPr>
          <w:p>
            <w:pPr>
              <w:spacing w:before="80" w:after="80"/>
            </w:pPr>
            <w:r>
              <w:rPr>
                <w:rFonts w:ascii="Calibri" w:hAnsi="Calibri"/>
                <w:b w:val="0"/>
                <w:color w:val="2D2D2D"/>
                <w:sz w:val="18"/>
              </w:rPr>
              <w:t>Emails, notifications, calculs stats</w:t>
            </w:r>
          </w:p>
        </w:tc>
      </w:tr>
      <w:tr>
        <w:tc>
          <w:tcPr>
            <w:tcW w:type="dxa" w:w="2351"/>
            <w:shd w:val="clear" w:color="auto" w:fill="F5F7FA"/>
          </w:tcPr>
          <w:p>
            <w:pPr>
              <w:spacing w:before="80" w:after="80"/>
            </w:pPr>
            <w:r>
              <w:rPr>
                <w:rFonts w:ascii="Calibri" w:hAnsi="Calibri"/>
                <w:b/>
                <w:color w:val="2D2D2D"/>
                <w:sz w:val="18"/>
              </w:rPr>
              <w:t>Temps réel</w:t>
            </w:r>
          </w:p>
        </w:tc>
        <w:tc>
          <w:tcPr>
            <w:tcW w:type="dxa" w:w="2351"/>
            <w:shd w:val="clear" w:color="auto" w:fill="F5F7FA"/>
          </w:tcPr>
          <w:p>
            <w:pPr>
              <w:spacing w:before="80" w:after="80"/>
            </w:pPr>
            <w:r>
              <w:rPr>
                <w:rFonts w:ascii="Calibri" w:hAnsi="Calibri"/>
                <w:b w:val="0"/>
                <w:color w:val="2D2D2D"/>
                <w:sz w:val="18"/>
              </w:rPr>
              <w:t>Django Channels + WebSocket</w:t>
            </w:r>
          </w:p>
        </w:tc>
        <w:tc>
          <w:tcPr>
            <w:tcW w:type="dxa" w:w="2351"/>
            <w:shd w:val="clear" w:color="auto" w:fill="F5F7FA"/>
          </w:tcPr>
          <w:p>
            <w:pPr>
              <w:spacing w:before="80" w:after="80"/>
            </w:pPr>
            <w:r>
              <w:rPr>
                <w:rFonts w:ascii="Calibri" w:hAnsi="Calibri"/>
                <w:b w:val="0"/>
                <w:color w:val="2D2D2D"/>
                <w:sz w:val="18"/>
              </w:rPr>
              <w:t>4.1.0</w:t>
            </w:r>
          </w:p>
        </w:tc>
        <w:tc>
          <w:tcPr>
            <w:tcW w:type="dxa" w:w="2351"/>
            <w:shd w:val="clear" w:color="auto" w:fill="F5F7FA"/>
          </w:tcPr>
          <w:p>
            <w:pPr>
              <w:spacing w:before="80" w:after="80"/>
            </w:pPr>
            <w:r>
              <w:rPr>
                <w:rFonts w:ascii="Calibri" w:hAnsi="Calibri"/>
                <w:b w:val="0"/>
                <w:color w:val="2D2D2D"/>
                <w:sz w:val="18"/>
              </w:rPr>
              <w:t>Notifications instantanées</w:t>
            </w:r>
          </w:p>
        </w:tc>
      </w:tr>
      <w:tr>
        <w:tc>
          <w:tcPr>
            <w:tcW w:type="dxa" w:w="2351"/>
            <w:shd w:val="clear" w:color="auto" w:fill="FFFFFF"/>
          </w:tcPr>
          <w:p>
            <w:pPr>
              <w:spacing w:before="80" w:after="80"/>
            </w:pPr>
            <w:r>
              <w:rPr>
                <w:rFonts w:ascii="Calibri" w:hAnsi="Calibri"/>
                <w:b/>
                <w:color w:val="2D2D2D"/>
                <w:sz w:val="18"/>
              </w:rPr>
              <w:t>Stockage fichiers</w:t>
            </w:r>
          </w:p>
        </w:tc>
        <w:tc>
          <w:tcPr>
            <w:tcW w:type="dxa" w:w="2351"/>
            <w:shd w:val="clear" w:color="auto" w:fill="FFFFFF"/>
          </w:tcPr>
          <w:p>
            <w:pPr>
              <w:spacing w:before="80" w:after="80"/>
            </w:pPr>
            <w:r>
              <w:rPr>
                <w:rFonts w:ascii="Calibri" w:hAnsi="Calibri"/>
                <w:b w:val="0"/>
                <w:color w:val="2D2D2D"/>
                <w:sz w:val="18"/>
              </w:rPr>
              <w:t>AWS S3 / MinIO (on-premise)</w:t>
            </w:r>
          </w:p>
        </w:tc>
        <w:tc>
          <w:tcPr>
            <w:tcW w:type="dxa" w:w="2351"/>
            <w:shd w:val="clear" w:color="auto" w:fill="FFFFFF"/>
          </w:tcPr>
          <w:p>
            <w:pPr>
              <w:spacing w:before="80" w:after="80"/>
            </w:pPr>
            <w:r>
              <w:rPr>
                <w:rFonts w:ascii="Calibri" w:hAnsi="Calibri"/>
                <w:b w:val="0"/>
                <w:color w:val="2D2D2D"/>
                <w:sz w:val="18"/>
              </w:rPr>
            </w:r>
          </w:p>
        </w:tc>
        <w:tc>
          <w:tcPr>
            <w:tcW w:type="dxa" w:w="2351"/>
            <w:shd w:val="clear" w:color="auto" w:fill="FFFFFF"/>
          </w:tcPr>
          <w:p>
            <w:pPr>
              <w:spacing w:before="80" w:after="80"/>
            </w:pPr>
            <w:r>
              <w:rPr>
                <w:rFonts w:ascii="Calibri" w:hAnsi="Calibri"/>
                <w:b w:val="0"/>
                <w:color w:val="2D2D2D"/>
                <w:sz w:val="18"/>
              </w:rPr>
              <w:t>Documents, médias, sauvegardes</w:t>
            </w:r>
          </w:p>
        </w:tc>
      </w:tr>
      <w:tr>
        <w:tc>
          <w:tcPr>
            <w:tcW w:type="dxa" w:w="2351"/>
            <w:shd w:val="clear" w:color="auto" w:fill="F5F7FA"/>
          </w:tcPr>
          <w:p>
            <w:pPr>
              <w:spacing w:before="80" w:after="80"/>
            </w:pPr>
            <w:r>
              <w:rPr>
                <w:rFonts w:ascii="Calibri" w:hAnsi="Calibri"/>
                <w:b/>
                <w:color w:val="2D2D2D"/>
                <w:sz w:val="18"/>
              </w:rPr>
              <w:t>IA / NLP</w:t>
            </w:r>
          </w:p>
        </w:tc>
        <w:tc>
          <w:tcPr>
            <w:tcW w:type="dxa" w:w="2351"/>
            <w:shd w:val="clear" w:color="auto" w:fill="F5F7FA"/>
          </w:tcPr>
          <w:p>
            <w:pPr>
              <w:spacing w:before="80" w:after="80"/>
            </w:pPr>
            <w:r>
              <w:rPr>
                <w:rFonts w:ascii="Calibri" w:hAnsi="Calibri"/>
                <w:b w:val="0"/>
                <w:color w:val="2D2D2D"/>
                <w:sz w:val="18"/>
              </w:rPr>
              <w:t>OpenAI GPT-4o + Whisper</w:t>
            </w:r>
          </w:p>
        </w:tc>
        <w:tc>
          <w:tcPr>
            <w:tcW w:type="dxa" w:w="2351"/>
            <w:shd w:val="clear" w:color="auto" w:fill="F5F7FA"/>
          </w:tcPr>
          <w:p>
            <w:pPr>
              <w:spacing w:before="80" w:after="80"/>
            </w:pPr>
            <w:r>
              <w:rPr>
                <w:rFonts w:ascii="Calibri" w:hAnsi="Calibri"/>
                <w:b w:val="0"/>
                <w:color w:val="2D2D2D"/>
                <w:sz w:val="18"/>
              </w:rPr>
            </w:r>
          </w:p>
        </w:tc>
        <w:tc>
          <w:tcPr>
            <w:tcW w:type="dxa" w:w="2351"/>
            <w:shd w:val="clear" w:color="auto" w:fill="F5F7FA"/>
          </w:tcPr>
          <w:p>
            <w:pPr>
              <w:spacing w:before="80" w:after="80"/>
            </w:pPr>
            <w:r>
              <w:rPr>
                <w:rFonts w:ascii="Calibri" w:hAnsi="Calibri"/>
                <w:b w:val="0"/>
                <w:color w:val="2D2D2D"/>
                <w:sz w:val="18"/>
              </w:rPr>
              <w:t>Chatbot juridique, OCR, transcription</w:t>
            </w:r>
          </w:p>
        </w:tc>
      </w:tr>
      <w:tr>
        <w:tc>
          <w:tcPr>
            <w:tcW w:type="dxa" w:w="2351"/>
            <w:shd w:val="clear" w:color="auto" w:fill="FFFFFF"/>
          </w:tcPr>
          <w:p>
            <w:pPr>
              <w:spacing w:before="80" w:after="80"/>
            </w:pPr>
            <w:r>
              <w:rPr>
                <w:rFonts w:ascii="Calibri" w:hAnsi="Calibri"/>
                <w:b/>
                <w:color w:val="2D2D2D"/>
                <w:sz w:val="18"/>
              </w:rPr>
              <w:t>Documentation API</w:t>
            </w:r>
          </w:p>
        </w:tc>
        <w:tc>
          <w:tcPr>
            <w:tcW w:type="dxa" w:w="2351"/>
            <w:shd w:val="clear" w:color="auto" w:fill="FFFFFF"/>
          </w:tcPr>
          <w:p>
            <w:pPr>
              <w:spacing w:before="80" w:after="80"/>
            </w:pPr>
            <w:r>
              <w:rPr>
                <w:rFonts w:ascii="Calibri" w:hAnsi="Calibri"/>
                <w:b w:val="0"/>
                <w:color w:val="2D2D2D"/>
                <w:sz w:val="18"/>
              </w:rPr>
              <w:t>drf-spectacular (Swagger/ReDoc)</w:t>
            </w:r>
          </w:p>
        </w:tc>
        <w:tc>
          <w:tcPr>
            <w:tcW w:type="dxa" w:w="2351"/>
            <w:shd w:val="clear" w:color="auto" w:fill="FFFFFF"/>
          </w:tcPr>
          <w:p>
            <w:pPr>
              <w:spacing w:before="80" w:after="80"/>
            </w:pPr>
            <w:r>
              <w:rPr>
                <w:rFonts w:ascii="Calibri" w:hAnsi="Calibri"/>
                <w:b w:val="0"/>
                <w:color w:val="2D2D2D"/>
                <w:sz w:val="18"/>
              </w:rPr>
            </w:r>
          </w:p>
        </w:tc>
        <w:tc>
          <w:tcPr>
            <w:tcW w:type="dxa" w:w="2351"/>
            <w:shd w:val="clear" w:color="auto" w:fill="FFFFFF"/>
          </w:tcPr>
          <w:p>
            <w:pPr>
              <w:spacing w:before="80" w:after="80"/>
            </w:pPr>
            <w:r>
              <w:rPr>
                <w:rFonts w:ascii="Calibri" w:hAnsi="Calibri"/>
                <w:b w:val="0"/>
                <w:color w:val="2D2D2D"/>
                <w:sz w:val="18"/>
              </w:rPr>
              <w:t>Documentation interactive</w:t>
            </w:r>
          </w:p>
        </w:tc>
      </w:tr>
      <w:tr>
        <w:tc>
          <w:tcPr>
            <w:tcW w:type="dxa" w:w="2351"/>
            <w:shd w:val="clear" w:color="auto" w:fill="F5F7FA"/>
          </w:tcPr>
          <w:p>
            <w:pPr>
              <w:spacing w:before="80" w:after="80"/>
            </w:pPr>
            <w:r>
              <w:rPr>
                <w:rFonts w:ascii="Calibri" w:hAnsi="Calibri"/>
                <w:b/>
                <w:color w:val="2D2D2D"/>
                <w:sz w:val="18"/>
              </w:rPr>
              <w:t>Frontend Web</w:t>
            </w:r>
          </w:p>
        </w:tc>
        <w:tc>
          <w:tcPr>
            <w:tcW w:type="dxa" w:w="2351"/>
            <w:shd w:val="clear" w:color="auto" w:fill="F5F7FA"/>
          </w:tcPr>
          <w:p>
            <w:pPr>
              <w:spacing w:before="80" w:after="80"/>
            </w:pPr>
            <w:r>
              <w:rPr>
                <w:rFonts w:ascii="Calibri" w:hAnsi="Calibri"/>
                <w:b w:val="0"/>
                <w:color w:val="2D2D2D"/>
                <w:sz w:val="18"/>
              </w:rPr>
              <w:t>React.js / TypeScript</w:t>
            </w:r>
          </w:p>
        </w:tc>
        <w:tc>
          <w:tcPr>
            <w:tcW w:type="dxa" w:w="2351"/>
            <w:shd w:val="clear" w:color="auto" w:fill="F5F7FA"/>
          </w:tcPr>
          <w:p>
            <w:pPr>
              <w:spacing w:before="80" w:after="80"/>
            </w:pPr>
            <w:r>
              <w:rPr>
                <w:rFonts w:ascii="Calibri" w:hAnsi="Calibri"/>
                <w:b w:val="0"/>
                <w:color w:val="2D2D2D"/>
                <w:sz w:val="18"/>
              </w:rPr>
            </w:r>
          </w:p>
        </w:tc>
        <w:tc>
          <w:tcPr>
            <w:tcW w:type="dxa" w:w="2351"/>
            <w:shd w:val="clear" w:color="auto" w:fill="F5F7FA"/>
          </w:tcPr>
          <w:p>
            <w:pPr>
              <w:spacing w:before="80" w:after="80"/>
            </w:pPr>
            <w:r>
              <w:rPr>
                <w:rFonts w:ascii="Calibri" w:hAnsi="Calibri"/>
                <w:b w:val="0"/>
                <w:color w:val="2D2D2D"/>
                <w:sz w:val="18"/>
              </w:rPr>
              <w:t>Interface utilisateur responsive</w:t>
            </w:r>
          </w:p>
        </w:tc>
      </w:tr>
      <w:tr>
        <w:tc>
          <w:tcPr>
            <w:tcW w:type="dxa" w:w="2351"/>
            <w:shd w:val="clear" w:color="auto" w:fill="FFFFFF"/>
          </w:tcPr>
          <w:p>
            <w:pPr>
              <w:spacing w:before="80" w:after="80"/>
            </w:pPr>
            <w:r>
              <w:rPr>
                <w:rFonts w:ascii="Calibri" w:hAnsi="Calibri"/>
                <w:b/>
                <w:color w:val="2D2D2D"/>
                <w:sz w:val="18"/>
              </w:rPr>
              <w:t>Application Mobile</w:t>
            </w:r>
          </w:p>
        </w:tc>
        <w:tc>
          <w:tcPr>
            <w:tcW w:type="dxa" w:w="2351"/>
            <w:shd w:val="clear" w:color="auto" w:fill="FFFFFF"/>
          </w:tcPr>
          <w:p>
            <w:pPr>
              <w:spacing w:before="80" w:after="80"/>
            </w:pPr>
            <w:r>
              <w:rPr>
                <w:rFonts w:ascii="Calibri" w:hAnsi="Calibri"/>
                <w:b w:val="0"/>
                <w:color w:val="2D2D2D"/>
                <w:sz w:val="18"/>
              </w:rPr>
              <w:t>React Native (Expo)</w:t>
            </w:r>
          </w:p>
        </w:tc>
        <w:tc>
          <w:tcPr>
            <w:tcW w:type="dxa" w:w="2351"/>
            <w:shd w:val="clear" w:color="auto" w:fill="FFFFFF"/>
          </w:tcPr>
          <w:p>
            <w:pPr>
              <w:spacing w:before="80" w:after="80"/>
            </w:pPr>
            <w:r>
              <w:rPr>
                <w:rFonts w:ascii="Calibri" w:hAnsi="Calibri"/>
                <w:b w:val="0"/>
                <w:color w:val="2D2D2D"/>
                <w:sz w:val="18"/>
              </w:rPr>
            </w:r>
          </w:p>
        </w:tc>
        <w:tc>
          <w:tcPr>
            <w:tcW w:type="dxa" w:w="2351"/>
            <w:shd w:val="clear" w:color="auto" w:fill="FFFFFF"/>
          </w:tcPr>
          <w:p>
            <w:pPr>
              <w:spacing w:before="80" w:after="80"/>
            </w:pPr>
            <w:r>
              <w:rPr>
                <w:rFonts w:ascii="Calibri" w:hAnsi="Calibri"/>
                <w:b w:val="0"/>
                <w:color w:val="2D2D2D"/>
                <w:sz w:val="18"/>
              </w:rPr>
              <w:t>iOS + Android</w:t>
            </w:r>
          </w:p>
        </w:tc>
      </w:tr>
      <w:tr>
        <w:tc>
          <w:tcPr>
            <w:tcW w:type="dxa" w:w="2351"/>
            <w:shd w:val="clear" w:color="auto" w:fill="F5F7FA"/>
          </w:tcPr>
          <w:p>
            <w:pPr>
              <w:spacing w:before="80" w:after="80"/>
            </w:pPr>
            <w:r>
              <w:rPr>
                <w:rFonts w:ascii="Calibri" w:hAnsi="Calibri"/>
                <w:b/>
                <w:color w:val="2D2D2D"/>
                <w:sz w:val="18"/>
              </w:rPr>
              <w:t>Envoi Email</w:t>
            </w:r>
          </w:p>
        </w:tc>
        <w:tc>
          <w:tcPr>
            <w:tcW w:type="dxa" w:w="2351"/>
            <w:shd w:val="clear" w:color="auto" w:fill="F5F7FA"/>
          </w:tcPr>
          <w:p>
            <w:pPr>
              <w:spacing w:before="80" w:after="80"/>
            </w:pPr>
            <w:r>
              <w:rPr>
                <w:rFonts w:ascii="Calibri" w:hAnsi="Calibri"/>
                <w:b w:val="0"/>
                <w:color w:val="2D2D2D"/>
                <w:sz w:val="18"/>
              </w:rPr>
              <w:t>SMTP (Gmail/Office 365) + SendGrid</w:t>
            </w:r>
          </w:p>
        </w:tc>
        <w:tc>
          <w:tcPr>
            <w:tcW w:type="dxa" w:w="2351"/>
            <w:shd w:val="clear" w:color="auto" w:fill="F5F7FA"/>
          </w:tcPr>
          <w:p>
            <w:pPr>
              <w:spacing w:before="80" w:after="80"/>
            </w:pPr>
            <w:r>
              <w:rPr>
                <w:rFonts w:ascii="Calibri" w:hAnsi="Calibri"/>
                <w:b w:val="0"/>
                <w:color w:val="2D2D2D"/>
                <w:sz w:val="18"/>
              </w:rPr>
            </w:r>
          </w:p>
        </w:tc>
        <w:tc>
          <w:tcPr>
            <w:tcW w:type="dxa" w:w="2351"/>
            <w:shd w:val="clear" w:color="auto" w:fill="F5F7FA"/>
          </w:tcPr>
          <w:p>
            <w:pPr>
              <w:spacing w:before="80" w:after="80"/>
            </w:pPr>
            <w:r>
              <w:rPr>
                <w:rFonts w:ascii="Calibri" w:hAnsi="Calibri"/>
                <w:b w:val="0"/>
                <w:color w:val="2D2D2D"/>
                <w:sz w:val="18"/>
              </w:rPr>
              <w:t>Notifications, alertes</w:t>
            </w:r>
          </w:p>
        </w:tc>
      </w:tr>
      <w:tr>
        <w:tc>
          <w:tcPr>
            <w:tcW w:type="dxa" w:w="2351"/>
            <w:shd w:val="clear" w:color="auto" w:fill="FFFFFF"/>
          </w:tcPr>
          <w:p>
            <w:pPr>
              <w:spacing w:before="80" w:after="80"/>
            </w:pPr>
            <w:r>
              <w:rPr>
                <w:rFonts w:ascii="Calibri" w:hAnsi="Calibri"/>
                <w:b/>
                <w:color w:val="2D2D2D"/>
                <w:sz w:val="18"/>
              </w:rPr>
              <w:t>Envoi SMS</w:t>
            </w:r>
          </w:p>
        </w:tc>
        <w:tc>
          <w:tcPr>
            <w:tcW w:type="dxa" w:w="2351"/>
            <w:shd w:val="clear" w:color="auto" w:fill="FFFFFF"/>
          </w:tcPr>
          <w:p>
            <w:pPr>
              <w:spacing w:before="80" w:after="80"/>
            </w:pPr>
            <w:r>
              <w:rPr>
                <w:rFonts w:ascii="Calibri" w:hAnsi="Calibri"/>
                <w:b w:val="0"/>
                <w:color w:val="2D2D2D"/>
                <w:sz w:val="18"/>
              </w:rPr>
              <w:t>Orange CI API / CinetPay SMS</w:t>
            </w:r>
          </w:p>
        </w:tc>
        <w:tc>
          <w:tcPr>
            <w:tcW w:type="dxa" w:w="2351"/>
            <w:shd w:val="clear" w:color="auto" w:fill="FFFFFF"/>
          </w:tcPr>
          <w:p>
            <w:pPr>
              <w:spacing w:before="80" w:after="80"/>
            </w:pPr>
            <w:r>
              <w:rPr>
                <w:rFonts w:ascii="Calibri" w:hAnsi="Calibri"/>
                <w:b w:val="0"/>
                <w:color w:val="2D2D2D"/>
                <w:sz w:val="18"/>
              </w:rPr>
            </w:r>
          </w:p>
        </w:tc>
        <w:tc>
          <w:tcPr>
            <w:tcW w:type="dxa" w:w="2351"/>
            <w:shd w:val="clear" w:color="auto" w:fill="FFFFFF"/>
          </w:tcPr>
          <w:p>
            <w:pPr>
              <w:spacing w:before="80" w:after="80"/>
            </w:pPr>
            <w:r>
              <w:rPr>
                <w:rFonts w:ascii="Calibri" w:hAnsi="Calibri"/>
                <w:b w:val="0"/>
                <w:color w:val="2D2D2D"/>
                <w:sz w:val="18"/>
              </w:rPr>
              <w:t>Alertes SMS aux travailleurs</w:t>
            </w:r>
          </w:p>
        </w:tc>
      </w:tr>
      <w:tr>
        <w:tc>
          <w:tcPr>
            <w:tcW w:type="dxa" w:w="2351"/>
            <w:shd w:val="clear" w:color="auto" w:fill="F5F7FA"/>
          </w:tcPr>
          <w:p>
            <w:pPr>
              <w:spacing w:before="80" w:after="80"/>
            </w:pPr>
            <w:r>
              <w:rPr>
                <w:rFonts w:ascii="Calibri" w:hAnsi="Calibri"/>
                <w:b/>
                <w:color w:val="2D2D2D"/>
                <w:sz w:val="18"/>
              </w:rPr>
              <w:t>Monitoring</w:t>
            </w:r>
          </w:p>
        </w:tc>
        <w:tc>
          <w:tcPr>
            <w:tcW w:type="dxa" w:w="2351"/>
            <w:shd w:val="clear" w:color="auto" w:fill="F5F7FA"/>
          </w:tcPr>
          <w:p>
            <w:pPr>
              <w:spacing w:before="80" w:after="80"/>
            </w:pPr>
            <w:r>
              <w:rPr>
                <w:rFonts w:ascii="Calibri" w:hAnsi="Calibri"/>
                <w:b w:val="0"/>
                <w:color w:val="2D2D2D"/>
                <w:sz w:val="18"/>
              </w:rPr>
              <w:t>Prometheus + Grafana / Sentry</w:t>
            </w:r>
          </w:p>
        </w:tc>
        <w:tc>
          <w:tcPr>
            <w:tcW w:type="dxa" w:w="2351"/>
            <w:shd w:val="clear" w:color="auto" w:fill="F5F7FA"/>
          </w:tcPr>
          <w:p>
            <w:pPr>
              <w:spacing w:before="80" w:after="80"/>
            </w:pPr>
            <w:r>
              <w:rPr>
                <w:rFonts w:ascii="Calibri" w:hAnsi="Calibri"/>
                <w:b w:val="0"/>
                <w:color w:val="2D2D2D"/>
                <w:sz w:val="18"/>
              </w:rPr>
            </w:r>
          </w:p>
        </w:tc>
        <w:tc>
          <w:tcPr>
            <w:tcW w:type="dxa" w:w="2351"/>
            <w:shd w:val="clear" w:color="auto" w:fill="F5F7FA"/>
          </w:tcPr>
          <w:p>
            <w:pPr>
              <w:spacing w:before="80" w:after="80"/>
            </w:pPr>
            <w:r>
              <w:rPr>
                <w:rFonts w:ascii="Calibri" w:hAnsi="Calibri"/>
                <w:b w:val="0"/>
                <w:color w:val="2D2D2D"/>
                <w:sz w:val="18"/>
              </w:rPr>
              <w:t>Performance, erreurs, alertes ops</w:t>
            </w:r>
          </w:p>
        </w:tc>
      </w:tr>
      <w:tr>
        <w:tc>
          <w:tcPr>
            <w:tcW w:type="dxa" w:w="2351"/>
            <w:shd w:val="clear" w:color="auto" w:fill="FFFFFF"/>
          </w:tcPr>
          <w:p>
            <w:pPr>
              <w:spacing w:before="80" w:after="80"/>
            </w:pPr>
            <w:r>
              <w:rPr>
                <w:rFonts w:ascii="Calibri" w:hAnsi="Calibri"/>
                <w:b/>
                <w:color w:val="2D2D2D"/>
                <w:sz w:val="18"/>
              </w:rPr>
              <w:t>CI/CD</w:t>
            </w:r>
          </w:p>
        </w:tc>
        <w:tc>
          <w:tcPr>
            <w:tcW w:type="dxa" w:w="2351"/>
            <w:shd w:val="clear" w:color="auto" w:fill="FFFFFF"/>
          </w:tcPr>
          <w:p>
            <w:pPr>
              <w:spacing w:before="80" w:after="80"/>
            </w:pPr>
            <w:r>
              <w:rPr>
                <w:rFonts w:ascii="Calibri" w:hAnsi="Calibri"/>
                <w:b w:val="0"/>
                <w:color w:val="2D2D2D"/>
                <w:sz w:val="18"/>
              </w:rPr>
              <w:t>GitHub Actions / GitLab CI</w:t>
            </w:r>
          </w:p>
        </w:tc>
        <w:tc>
          <w:tcPr>
            <w:tcW w:type="dxa" w:w="2351"/>
            <w:shd w:val="clear" w:color="auto" w:fill="FFFFFF"/>
          </w:tcPr>
          <w:p>
            <w:pPr>
              <w:spacing w:before="80" w:after="80"/>
            </w:pPr>
            <w:r>
              <w:rPr>
                <w:rFonts w:ascii="Calibri" w:hAnsi="Calibri"/>
                <w:b w:val="0"/>
                <w:color w:val="2D2D2D"/>
                <w:sz w:val="18"/>
              </w:rPr>
            </w:r>
          </w:p>
        </w:tc>
        <w:tc>
          <w:tcPr>
            <w:tcW w:type="dxa" w:w="2351"/>
            <w:shd w:val="clear" w:color="auto" w:fill="FFFFFF"/>
          </w:tcPr>
          <w:p>
            <w:pPr>
              <w:spacing w:before="80" w:after="80"/>
            </w:pPr>
            <w:r>
              <w:rPr>
                <w:rFonts w:ascii="Calibri" w:hAnsi="Calibri"/>
                <w:b w:val="0"/>
                <w:color w:val="2D2D2D"/>
                <w:sz w:val="18"/>
              </w:rPr>
              <w:t>Déploiement automatisé, tests</w:t>
            </w:r>
          </w:p>
        </w:tc>
      </w:tr>
    </w:tbl>
    <w:p>
      <w:pPr>
        <w:spacing w:before="200" w:after="80"/>
      </w:pPr>
      <w:r>
        <w:rPr>
          <w:rFonts w:ascii="Calibri" w:hAnsi="Calibri"/>
          <w:b/>
          <w:color w:val="0072C6"/>
          <w:sz w:val="24"/>
        </w:rPr>
        <w:t>6.2  Sécurité multi-couches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0347C"/>
            <w:vAlign w:val="center"/>
          </w:tcPr>
          <w:p>
            <w:pPr>
              <w:spacing w:before="120" w:after="120"/>
              <w:jc w:val="center"/>
            </w:pPr>
            <w:r>
              <w:rPr>
                <w:rFonts w:ascii="Calibri" w:hAnsi="Calibri"/>
                <w:b/>
                <w:color w:val="FFFFFF"/>
                <w:sz w:val="20"/>
              </w:rPr>
              <w:t>Couche de sécurité</w:t>
            </w:r>
          </w:p>
        </w:tc>
        <w:tc>
          <w:tcPr>
            <w:tcW w:type="dxa" w:w="4703"/>
            <w:shd w:val="clear" w:color="auto" w:fill="00347C"/>
            <w:vAlign w:val="center"/>
          </w:tcPr>
          <w:p>
            <w:pPr>
              <w:spacing w:before="120" w:after="120"/>
              <w:jc w:val="center"/>
            </w:pPr>
            <w:r>
              <w:rPr>
                <w:rFonts w:ascii="Calibri" w:hAnsi="Calibri"/>
                <w:b/>
                <w:color w:val="FFFFFF"/>
                <w:sz w:val="20"/>
              </w:rPr>
              <w:t>Mesure mise en œuvre</w:t>
            </w:r>
          </w:p>
        </w:tc>
      </w:tr>
      <w:tr>
        <w:tc>
          <w:tcPr>
            <w:tcW w:type="dxa" w:w="4703"/>
            <w:shd w:val="clear" w:color="auto" w:fill="FFFFFF"/>
            <w:vAlign w:val="center"/>
          </w:tcPr>
          <w:p>
            <w:pPr>
              <w:spacing w:before="80" w:after="80"/>
              <w:jc w:val="left"/>
            </w:pPr>
            <w:r>
              <w:rPr>
                <w:rFonts w:ascii="Calibri" w:hAnsi="Calibri"/>
                <w:b/>
                <w:color w:val="00347C"/>
                <w:sz w:val="19"/>
              </w:rPr>
              <w:t>Transport</w:t>
            </w:r>
          </w:p>
        </w:tc>
        <w:tc>
          <w:tcPr>
            <w:tcW w:type="dxa" w:w="4703"/>
            <w:shd w:val="clear" w:color="auto" w:fill="FFFFFF"/>
            <w:vAlign w:val="center"/>
          </w:tcPr>
          <w:p>
            <w:pPr>
              <w:spacing w:before="80" w:after="80"/>
              <w:jc w:val="left"/>
            </w:pPr>
            <w:r>
              <w:rPr>
                <w:rFonts w:ascii="Calibri" w:hAnsi="Calibri"/>
                <w:b w:val="0"/>
                <w:color w:val="2D2D2D"/>
                <w:sz w:val="19"/>
              </w:rPr>
              <w:t>TLS 1.3 obligatoire pour toutes les communications — aucune donnée en clair sur le réseau</w:t>
            </w:r>
          </w:p>
        </w:tc>
      </w:tr>
      <w:tr>
        <w:tc>
          <w:tcPr>
            <w:tcW w:type="dxa" w:w="4703"/>
            <w:shd w:val="clear" w:color="auto" w:fill="F5F7FA"/>
            <w:vAlign w:val="center"/>
          </w:tcPr>
          <w:p>
            <w:pPr>
              <w:spacing w:before="80" w:after="80"/>
              <w:jc w:val="left"/>
            </w:pPr>
            <w:r>
              <w:rPr>
                <w:rFonts w:ascii="Calibri" w:hAnsi="Calibri"/>
                <w:b/>
                <w:color w:val="00347C"/>
                <w:sz w:val="19"/>
              </w:rPr>
              <w:t>Authentification</w:t>
            </w:r>
          </w:p>
        </w:tc>
        <w:tc>
          <w:tcPr>
            <w:tcW w:type="dxa" w:w="4703"/>
            <w:shd w:val="clear" w:color="auto" w:fill="F5F7FA"/>
            <w:vAlign w:val="center"/>
          </w:tcPr>
          <w:p>
            <w:pPr>
              <w:spacing w:before="80" w:after="80"/>
              <w:jc w:val="left"/>
            </w:pPr>
            <w:r>
              <w:rPr>
                <w:rFonts w:ascii="Calibri" w:hAnsi="Calibri"/>
                <w:b w:val="0"/>
                <w:color w:val="2D2D2D"/>
                <w:sz w:val="19"/>
              </w:rPr>
              <w:t>JWT avec rotation des tokens + OTP à 6 chiffres (TOTP) obligatoire pour les agents DGT</w:t>
            </w:r>
          </w:p>
        </w:tc>
      </w:tr>
      <w:tr>
        <w:tc>
          <w:tcPr>
            <w:tcW w:type="dxa" w:w="4703"/>
            <w:shd w:val="clear" w:color="auto" w:fill="FFFFFF"/>
            <w:vAlign w:val="center"/>
          </w:tcPr>
          <w:p>
            <w:pPr>
              <w:spacing w:before="80" w:after="80"/>
              <w:jc w:val="left"/>
            </w:pPr>
            <w:r>
              <w:rPr>
                <w:rFonts w:ascii="Calibri" w:hAnsi="Calibri"/>
                <w:b/>
                <w:color w:val="00347C"/>
                <w:sz w:val="19"/>
              </w:rPr>
              <w:t>Chiffrement</w:t>
            </w:r>
          </w:p>
        </w:tc>
        <w:tc>
          <w:tcPr>
            <w:tcW w:type="dxa" w:w="4703"/>
            <w:shd w:val="clear" w:color="auto" w:fill="FFFFFF"/>
            <w:vAlign w:val="center"/>
          </w:tcPr>
          <w:p>
            <w:pPr>
              <w:spacing w:before="80" w:after="80"/>
              <w:jc w:val="left"/>
            </w:pPr>
            <w:r>
              <w:rPr>
                <w:rFonts w:ascii="Calibri" w:hAnsi="Calibri"/>
                <w:b w:val="0"/>
                <w:color w:val="2D2D2D"/>
                <w:sz w:val="19"/>
              </w:rPr>
              <w:t>Données sensibles chiffrées au repos avec AES-256 (configurations, tokens, données médicales)</w:t>
            </w:r>
          </w:p>
        </w:tc>
      </w:tr>
      <w:tr>
        <w:tc>
          <w:tcPr>
            <w:tcW w:type="dxa" w:w="4703"/>
            <w:shd w:val="clear" w:color="auto" w:fill="F5F7FA"/>
            <w:vAlign w:val="center"/>
          </w:tcPr>
          <w:p>
            <w:pPr>
              <w:spacing w:before="80" w:after="80"/>
              <w:jc w:val="left"/>
            </w:pPr>
            <w:r>
              <w:rPr>
                <w:rFonts w:ascii="Calibri" w:hAnsi="Calibri"/>
                <w:b/>
                <w:color w:val="00347C"/>
                <w:sz w:val="19"/>
              </w:rPr>
              <w:t>Autorisation</w:t>
            </w:r>
          </w:p>
        </w:tc>
        <w:tc>
          <w:tcPr>
            <w:tcW w:type="dxa" w:w="4703"/>
            <w:shd w:val="clear" w:color="auto" w:fill="F5F7FA"/>
            <w:vAlign w:val="center"/>
          </w:tcPr>
          <w:p>
            <w:pPr>
              <w:spacing w:before="80" w:after="80"/>
              <w:jc w:val="left"/>
            </w:pPr>
            <w:r>
              <w:rPr>
                <w:rFonts w:ascii="Calibri" w:hAnsi="Calibri"/>
                <w:b w:val="0"/>
                <w:color w:val="2D2D2D"/>
                <w:sz w:val="19"/>
              </w:rPr>
              <w:t>RBAC granulaire : chaque action est vérifiée contre les droits de l'utilisateur connecté</w:t>
            </w:r>
          </w:p>
        </w:tc>
      </w:tr>
      <w:tr>
        <w:tc>
          <w:tcPr>
            <w:tcW w:type="dxa" w:w="4703"/>
            <w:shd w:val="clear" w:color="auto" w:fill="FFFFFF"/>
            <w:vAlign w:val="center"/>
          </w:tcPr>
          <w:p>
            <w:pPr>
              <w:spacing w:before="80" w:after="80"/>
              <w:jc w:val="left"/>
            </w:pPr>
            <w:r>
              <w:rPr>
                <w:rFonts w:ascii="Calibri" w:hAnsi="Calibri"/>
                <w:b/>
                <w:color w:val="00347C"/>
                <w:sz w:val="19"/>
              </w:rPr>
              <w:t>Audit</w:t>
            </w:r>
          </w:p>
        </w:tc>
        <w:tc>
          <w:tcPr>
            <w:tcW w:type="dxa" w:w="4703"/>
            <w:shd w:val="clear" w:color="auto" w:fill="FFFFFF"/>
            <w:vAlign w:val="center"/>
          </w:tcPr>
          <w:p>
            <w:pPr>
              <w:spacing w:before="80" w:after="80"/>
              <w:jc w:val="left"/>
            </w:pPr>
            <w:r>
              <w:rPr>
                <w:rFonts w:ascii="Calibri" w:hAnsi="Calibri"/>
                <w:b w:val="0"/>
                <w:color w:val="2D2D2D"/>
                <w:sz w:val="19"/>
              </w:rPr>
              <w:t>Journal d'audit immuable en base de données avec signature numérique des entrées critiques</w:t>
            </w:r>
          </w:p>
        </w:tc>
      </w:tr>
      <w:tr>
        <w:tc>
          <w:tcPr>
            <w:tcW w:type="dxa" w:w="4703"/>
            <w:shd w:val="clear" w:color="auto" w:fill="F5F7FA"/>
            <w:vAlign w:val="center"/>
          </w:tcPr>
          <w:p>
            <w:pPr>
              <w:spacing w:before="80" w:after="80"/>
              <w:jc w:val="left"/>
            </w:pPr>
            <w:r>
              <w:rPr>
                <w:rFonts w:ascii="Calibri" w:hAnsi="Calibri"/>
                <w:b/>
                <w:color w:val="00347C"/>
                <w:sz w:val="19"/>
              </w:rPr>
              <w:t>Sauvegardes</w:t>
            </w:r>
          </w:p>
        </w:tc>
        <w:tc>
          <w:tcPr>
            <w:tcW w:type="dxa" w:w="4703"/>
            <w:shd w:val="clear" w:color="auto" w:fill="F5F7FA"/>
            <w:vAlign w:val="center"/>
          </w:tcPr>
          <w:p>
            <w:pPr>
              <w:spacing w:before="80" w:after="80"/>
              <w:jc w:val="left"/>
            </w:pPr>
            <w:r>
              <w:rPr>
                <w:rFonts w:ascii="Calibri" w:hAnsi="Calibri"/>
                <w:b w:val="0"/>
                <w:color w:val="2D2D2D"/>
                <w:sz w:val="19"/>
              </w:rPr>
              <w:t>Sauvegardes automatiques quotidiennes, chiffrées, stockées hors site — rétention 30 jours</w:t>
            </w:r>
          </w:p>
        </w:tc>
      </w:tr>
      <w:tr>
        <w:tc>
          <w:tcPr>
            <w:tcW w:type="dxa" w:w="4703"/>
            <w:shd w:val="clear" w:color="auto" w:fill="FFFFFF"/>
            <w:vAlign w:val="center"/>
          </w:tcPr>
          <w:p>
            <w:pPr>
              <w:spacing w:before="80" w:after="80"/>
              <w:jc w:val="left"/>
            </w:pPr>
            <w:r>
              <w:rPr>
                <w:rFonts w:ascii="Calibri" w:hAnsi="Calibri"/>
                <w:b/>
                <w:color w:val="00347C"/>
                <w:sz w:val="19"/>
              </w:rPr>
              <w:t>RGPD / PDCI</w:t>
            </w:r>
          </w:p>
        </w:tc>
        <w:tc>
          <w:tcPr>
            <w:tcW w:type="dxa" w:w="4703"/>
            <w:shd w:val="clear" w:color="auto" w:fill="FFFFFF"/>
            <w:vAlign w:val="center"/>
          </w:tcPr>
          <w:p>
            <w:pPr>
              <w:spacing w:before="80" w:after="80"/>
              <w:jc w:val="left"/>
            </w:pPr>
            <w:r>
              <w:rPr>
                <w:rFonts w:ascii="Calibri" w:hAnsi="Calibri"/>
                <w:b w:val="0"/>
                <w:color w:val="2D2D2D"/>
                <w:sz w:val="19"/>
              </w:rPr>
              <w:t>Conformité à la loi ivoirienne n° 2013-450 sur la protection des données personnelles (ARTCI)</w:t>
            </w:r>
          </w:p>
        </w:tc>
      </w:tr>
      <w:tr>
        <w:tc>
          <w:tcPr>
            <w:tcW w:type="dxa" w:w="4703"/>
            <w:shd w:val="clear" w:color="auto" w:fill="F5F7FA"/>
            <w:vAlign w:val="center"/>
          </w:tcPr>
          <w:p>
            <w:pPr>
              <w:spacing w:before="80" w:after="80"/>
              <w:jc w:val="left"/>
            </w:pPr>
            <w:r>
              <w:rPr>
                <w:rFonts w:ascii="Calibri" w:hAnsi="Calibri"/>
                <w:b/>
                <w:color w:val="00347C"/>
                <w:sz w:val="19"/>
              </w:rPr>
              <w:t>Tests sécurité</w:t>
            </w:r>
          </w:p>
        </w:tc>
        <w:tc>
          <w:tcPr>
            <w:tcW w:type="dxa" w:w="4703"/>
            <w:shd w:val="clear" w:color="auto" w:fill="F5F7FA"/>
            <w:vAlign w:val="center"/>
          </w:tcPr>
          <w:p>
            <w:pPr>
              <w:spacing w:before="80" w:after="80"/>
              <w:jc w:val="left"/>
            </w:pPr>
            <w:r>
              <w:rPr>
                <w:rFonts w:ascii="Calibri" w:hAnsi="Calibri"/>
                <w:b w:val="0"/>
                <w:color w:val="2D2D2D"/>
                <w:sz w:val="19"/>
              </w:rPr>
              <w:t>Test de pénétration (pentest) externe avant mise en production + analyse statique du code</w:t>
            </w:r>
          </w:p>
        </w:tc>
      </w:tr>
      <w:tr>
        <w:tc>
          <w:tcPr>
            <w:tcW w:type="dxa" w:w="4703"/>
            <w:shd w:val="clear" w:color="auto" w:fill="FFFFFF"/>
            <w:vAlign w:val="center"/>
          </w:tcPr>
          <w:p>
            <w:pPr>
              <w:spacing w:before="80" w:after="80"/>
              <w:jc w:val="left"/>
            </w:pPr>
            <w:r>
              <w:rPr>
                <w:rFonts w:ascii="Calibri" w:hAnsi="Calibri"/>
                <w:b/>
                <w:color w:val="00347C"/>
                <w:sz w:val="19"/>
              </w:rPr>
              <w:t>WAF</w:t>
            </w:r>
          </w:p>
        </w:tc>
        <w:tc>
          <w:tcPr>
            <w:tcW w:type="dxa" w:w="4703"/>
            <w:shd w:val="clear" w:color="auto" w:fill="FFFFFF"/>
            <w:vAlign w:val="center"/>
          </w:tcPr>
          <w:p>
            <w:pPr>
              <w:spacing w:before="80" w:after="80"/>
              <w:jc w:val="left"/>
            </w:pPr>
            <w:r>
              <w:rPr>
                <w:rFonts w:ascii="Calibri" w:hAnsi="Calibri"/>
                <w:b w:val="0"/>
                <w:color w:val="2D2D2D"/>
                <w:sz w:val="19"/>
              </w:rPr>
              <w:t>Pare-feu applicatif web (WAF) et protection DDoS sur l'infrastructure cloud</w:t>
            </w:r>
          </w:p>
        </w:tc>
      </w:tr>
    </w:tbl>
    <w:p>
      <w:r>
        <w:br w:type="page"/>
      </w:r>
    </w:p>
    <w:p>
      <w:pPr>
        <w:spacing w:before="0" w:after="120"/>
      </w:pPr>
      <w:r>
        <w:rPr>
          <w:rFonts w:ascii="Calibri" w:hAnsi="Calibri"/>
          <w:b/>
          <w:color w:val="00347C"/>
          <w:sz w:val="30"/>
        </w:rPr>
        <w:t>7.  PLAN DE DÉPLOIEMENT (4 PHASES – 18 MOIS)</w:t>
      </w:r>
    </w:p>
    <w:p>
      <w:pPr>
        <w:pBdr>
          <w:bottom w:val="single" w:sz="6" w:space="1" w:color="00347C"/>
        </w:pBdr>
        <w:spacing w:before="20" w:after="40"/>
      </w:pPr>
    </w:p>
    <w:p>
      <w:pPr>
        <w:spacing w:before="60" w:after="60" w:line="360" w:lineRule="auto"/>
        <w:jc w:val="both"/>
      </w:pPr>
      <w:r>
        <w:rPr>
          <w:rFonts w:ascii="Calibri" w:hAnsi="Calibri"/>
          <w:i w:val="0"/>
          <w:color w:val="2D2D2D"/>
          <w:sz w:val="21"/>
        </w:rPr>
        <w:t>Le déploiement est organisé en quatre phases progressives permettant une montée en puissance contrôlée, une réduction des risques et une adoption durable par les équipes de la DGT. Chaque phase fait l'objet d'un Procès-Verbal de Réception signé conjointement.</w:t>
      </w:r>
    </w:p>
    <w:tbl>
      <w:tblPr>
        <w:tblW w:type="auto" w:w="0"/>
        <w:jc w:val="center"/>
        <w:tblLook w:firstColumn="1" w:firstRow="1" w:lastColumn="0" w:lastRow="0" w:noHBand="0" w:noVBand="1" w:val="04A0"/>
      </w:tblPr>
      <w:tblGrid>
        <w:gridCol w:w="9406"/>
      </w:tblGrid>
      <w:tr>
        <w:tc>
          <w:tcPr>
            <w:tcW w:type="dxa" w:w="9406"/>
            <w:shd w:val="clear" w:color="auto" w:fill="00347C"/>
            <w:vAlign w:val="center"/>
          </w:tcPr>
          <w:p>
            <w:pPr>
              <w:spacing w:before="160" w:after="160"/>
              <w:jc w:val="left"/>
            </w:pPr>
            <w:r>
              <w:rPr>
                <w:rFonts w:ascii="Calibri" w:hAnsi="Calibri"/>
                <w:b/>
                <w:color w:val="FFFFFF"/>
                <w:sz w:val="22"/>
              </w:rPr>
              <w:t xml:space="preserve">  PHASE 1  –  Cadrage, Configuration et Migration (Mois 1–3)</w:t>
            </w:r>
          </w:p>
        </w:tc>
      </w:tr>
    </w:tbl>
    <w:p/>
    <w:p>
      <w:pPr>
        <w:pStyle w:val="ListBullet"/>
        <w:spacing w:before="40" w:after="40"/>
      </w:pPr>
      <w:r>
        <w:rPr>
          <w:rFonts w:ascii="Calibri" w:hAnsi="Calibri"/>
          <w:b w:val="0"/>
          <w:color w:val="2D2D2D"/>
          <w:sz w:val="21"/>
        </w:rPr>
        <w:t>Atelier de lancement avec la DGT : validation du périmètre fonctionnel, cartographie des processus existants, identification des parties prenantes</w:t>
      </w:r>
    </w:p>
    <w:p>
      <w:pPr>
        <w:pStyle w:val="ListBullet"/>
        <w:spacing w:before="40" w:after="40"/>
      </w:pPr>
      <w:r>
        <w:rPr>
          <w:rFonts w:ascii="Calibri" w:hAnsi="Calibri"/>
          <w:b w:val="0"/>
          <w:color w:val="2D2D2D"/>
          <w:sz w:val="21"/>
        </w:rPr>
        <w:t>Installation et configuration de l'environnement de recette (UAT) et de production</w:t>
      </w:r>
    </w:p>
    <w:p>
      <w:pPr>
        <w:pStyle w:val="ListBullet"/>
        <w:spacing w:before="40" w:after="40"/>
      </w:pPr>
      <w:r>
        <w:rPr>
          <w:rFonts w:ascii="Calibri" w:hAnsi="Calibri"/>
          <w:b w:val="0"/>
          <w:color w:val="2D2D2D"/>
          <w:sz w:val="21"/>
        </w:rPr>
        <w:t>Paramétrage du référentiel métier : 19 directions régionales, zones d'inspection, types de plaintes, rôles et droits</w:t>
      </w:r>
    </w:p>
    <w:p>
      <w:pPr>
        <w:pStyle w:val="ListBullet"/>
        <w:spacing w:before="40" w:after="40"/>
      </w:pPr>
      <w:r>
        <w:rPr>
          <w:rFonts w:ascii="Calibri" w:hAnsi="Calibri"/>
          <w:b w:val="0"/>
          <w:color w:val="2D2D2D"/>
          <w:sz w:val="21"/>
        </w:rPr>
        <w:t>Migration de l'annuaire des agents DGT existants (import sécurisé depuis fichiers Excel)</w:t>
      </w:r>
    </w:p>
    <w:p>
      <w:pPr>
        <w:pStyle w:val="ListBullet"/>
        <w:spacing w:before="40" w:after="40"/>
      </w:pPr>
      <w:r>
        <w:rPr>
          <w:rFonts w:ascii="Calibri" w:hAnsi="Calibri"/>
          <w:b w:val="0"/>
          <w:color w:val="2D2D2D"/>
          <w:sz w:val="21"/>
        </w:rPr>
        <w:t>Import du registre des entreprises existant (RCCM/CNPS) avec dédoublonnage</w:t>
      </w:r>
    </w:p>
    <w:p>
      <w:pPr>
        <w:pStyle w:val="ListBullet"/>
        <w:spacing w:before="40" w:after="40"/>
      </w:pPr>
      <w:r>
        <w:rPr>
          <w:rFonts w:ascii="Calibri" w:hAnsi="Calibri"/>
          <w:b w:val="0"/>
          <w:color w:val="2D2D2D"/>
          <w:sz w:val="21"/>
        </w:rPr>
        <w:t>Déploiement de l'infrastructure cloud (hébergement, DNS, certificats SSL)</w:t>
      </w:r>
    </w:p>
    <w:p>
      <w:pPr>
        <w:pStyle w:val="ListBullet"/>
        <w:spacing w:before="40" w:after="40"/>
      </w:pPr>
      <w:r>
        <w:rPr>
          <w:rFonts w:ascii="Calibri" w:hAnsi="Calibri"/>
          <w:b w:val="0"/>
          <w:color w:val="2D2D2D"/>
          <w:sz w:val="21"/>
        </w:rPr>
        <w:t>Formation de l'équipe IT du Ministère sur l'administration système</w:t>
      </w:r>
    </w:p>
    <w:p>
      <w:pPr>
        <w:pStyle w:val="ListBullet"/>
        <w:spacing w:before="40" w:after="40"/>
      </w:pPr>
      <w:r>
        <w:rPr>
          <w:rFonts w:ascii="Calibri" w:hAnsi="Calibri"/>
          <w:b w:val="0"/>
          <w:color w:val="2D2D2D"/>
          <w:sz w:val="21"/>
        </w:rPr>
        <w:t>PV de réception de la Phase 1</w:t>
      </w:r>
    </w:p>
    <w:p/>
    <w:tbl>
      <w:tblPr>
        <w:tblW w:type="auto" w:w="0"/>
        <w:jc w:val="center"/>
        <w:tblLook w:firstColumn="1" w:firstRow="1" w:lastColumn="0" w:lastRow="0" w:noHBand="0" w:noVBand="1" w:val="04A0"/>
      </w:tblPr>
      <w:tblGrid>
        <w:gridCol w:w="9406"/>
      </w:tblGrid>
      <w:tr>
        <w:tc>
          <w:tcPr>
            <w:tcW w:type="dxa" w:w="9406"/>
            <w:shd w:val="clear" w:color="auto" w:fill="005A99"/>
            <w:vAlign w:val="center"/>
          </w:tcPr>
          <w:p>
            <w:pPr>
              <w:spacing w:before="160" w:after="160"/>
              <w:jc w:val="left"/>
            </w:pPr>
            <w:r>
              <w:rPr>
                <w:rFonts w:ascii="Calibri" w:hAnsi="Calibri"/>
                <w:b/>
                <w:color w:val="FFFFFF"/>
                <w:sz w:val="22"/>
              </w:rPr>
              <w:t xml:space="preserve">  PHASE 2  –  Pilote Abidjan-Plateau et Districts (Mois 4–7)</w:t>
            </w:r>
          </w:p>
        </w:tc>
      </w:tr>
    </w:tbl>
    <w:p/>
    <w:p>
      <w:pPr>
        <w:pStyle w:val="ListBullet"/>
        <w:spacing w:before="40" w:after="40"/>
      </w:pPr>
      <w:r>
        <w:rPr>
          <w:rFonts w:ascii="Calibri" w:hAnsi="Calibri"/>
          <w:b w:val="0"/>
          <w:color w:val="2D2D2D"/>
          <w:sz w:val="21"/>
        </w:rPr>
        <w:t>Mise en production sur le périmètre Abidjan-Plateau, Cocody, Marcory, Yopougon</w:t>
      </w:r>
    </w:p>
    <w:p>
      <w:pPr>
        <w:pStyle w:val="ListBullet"/>
        <w:spacing w:before="40" w:after="40"/>
      </w:pPr>
      <w:r>
        <w:rPr>
          <w:rFonts w:ascii="Calibri" w:hAnsi="Calibri"/>
          <w:b w:val="0"/>
          <w:color w:val="2D2D2D"/>
          <w:sz w:val="21"/>
        </w:rPr>
        <w:t>Formation des 40 premiers inspecteurs (présentiel – 3 jours par groupe de 20)</w:t>
      </w:r>
    </w:p>
    <w:p>
      <w:pPr>
        <w:pStyle w:val="ListBullet"/>
        <w:spacing w:before="40" w:after="40"/>
      </w:pPr>
      <w:r>
        <w:rPr>
          <w:rFonts w:ascii="Calibri" w:hAnsi="Calibri"/>
          <w:b w:val="0"/>
          <w:color w:val="2D2D2D"/>
          <w:sz w:val="21"/>
        </w:rPr>
        <w:t>Formation des agents du guichet de réception des plaintes</w:t>
      </w:r>
    </w:p>
    <w:p>
      <w:pPr>
        <w:pStyle w:val="ListBullet"/>
        <w:spacing w:before="40" w:after="40"/>
      </w:pPr>
      <w:r>
        <w:rPr>
          <w:rFonts w:ascii="Calibri" w:hAnsi="Calibri"/>
          <w:b w:val="0"/>
          <w:color w:val="2D2D2D"/>
          <w:sz w:val="21"/>
        </w:rPr>
        <w:t>Activation du portail citoyen pour le dépôt de plaintes en ligne</w:t>
      </w:r>
    </w:p>
    <w:p>
      <w:pPr>
        <w:pStyle w:val="ListBullet"/>
        <w:spacing w:before="40" w:after="40"/>
      </w:pPr>
      <w:r>
        <w:rPr>
          <w:rFonts w:ascii="Calibri" w:hAnsi="Calibri"/>
          <w:b w:val="0"/>
          <w:color w:val="2D2D2D"/>
          <w:sz w:val="21"/>
        </w:rPr>
        <w:t>Support renforcé sur site (1 ingénieur Numerix Digital en résidence à la DGT)</w:t>
      </w:r>
    </w:p>
    <w:p>
      <w:pPr>
        <w:pStyle w:val="ListBullet"/>
        <w:spacing w:before="40" w:after="40"/>
      </w:pPr>
      <w:r>
        <w:rPr>
          <w:rFonts w:ascii="Calibri" w:hAnsi="Calibri"/>
          <w:b w:val="0"/>
          <w:color w:val="2D2D2D"/>
          <w:sz w:val="21"/>
        </w:rPr>
        <w:t>Collecte systématique des retours utilisateurs avec formulaire de feedback</w:t>
      </w:r>
    </w:p>
    <w:p>
      <w:pPr>
        <w:pStyle w:val="ListBullet"/>
        <w:spacing w:before="40" w:after="40"/>
      </w:pPr>
      <w:r>
        <w:rPr>
          <w:rFonts w:ascii="Calibri" w:hAnsi="Calibri"/>
          <w:b w:val="0"/>
          <w:color w:val="2D2D2D"/>
          <w:sz w:val="21"/>
        </w:rPr>
        <w:t>Ajustements fonctionnels et corrections d'anomalies (sprint bi-hebdomadaire)</w:t>
      </w:r>
    </w:p>
    <w:p>
      <w:pPr>
        <w:pStyle w:val="ListBullet"/>
        <w:spacing w:before="40" w:after="40"/>
      </w:pPr>
      <w:r>
        <w:rPr>
          <w:rFonts w:ascii="Calibri" w:hAnsi="Calibri"/>
          <w:b w:val="0"/>
          <w:color w:val="2D2D2D"/>
          <w:sz w:val="21"/>
        </w:rPr>
        <w:t>Premier rapport de performance pilote à 30 jours et à 90 jours</w:t>
      </w:r>
    </w:p>
    <w:p>
      <w:pPr>
        <w:pStyle w:val="ListBullet"/>
        <w:spacing w:before="40" w:after="40"/>
      </w:pPr>
      <w:r>
        <w:rPr>
          <w:rFonts w:ascii="Calibri" w:hAnsi="Calibri"/>
          <w:b w:val="0"/>
          <w:color w:val="2D2D2D"/>
          <w:sz w:val="21"/>
        </w:rPr>
        <w:t>PV de réception de la Phase 2</w:t>
      </w:r>
    </w:p>
    <w:p/>
    <w:tbl>
      <w:tblPr>
        <w:tblW w:type="auto" w:w="0"/>
        <w:jc w:val="center"/>
        <w:tblLook w:firstColumn="1" w:firstRow="1" w:lastColumn="0" w:lastRow="0" w:noHBand="0" w:noVBand="1" w:val="04A0"/>
      </w:tblPr>
      <w:tblGrid>
        <w:gridCol w:w="9406"/>
      </w:tblGrid>
      <w:tr>
        <w:tc>
          <w:tcPr>
            <w:tcW w:type="dxa" w:w="9406"/>
            <w:shd w:val="clear" w:color="auto" w:fill="009A44"/>
            <w:vAlign w:val="center"/>
          </w:tcPr>
          <w:p>
            <w:pPr>
              <w:spacing w:before="160" w:after="160"/>
              <w:jc w:val="left"/>
            </w:pPr>
            <w:r>
              <w:rPr>
                <w:rFonts w:ascii="Calibri" w:hAnsi="Calibri"/>
                <w:b/>
                <w:color w:val="FFFFFF"/>
                <w:sz w:val="22"/>
              </w:rPr>
              <w:t xml:space="preserve">  PHASE 3  –  Déploiement National (Mois 8–14)</w:t>
            </w:r>
          </w:p>
        </w:tc>
      </w:tr>
    </w:tbl>
    <w:p/>
    <w:p>
      <w:pPr>
        <w:pStyle w:val="ListBullet"/>
        <w:spacing w:before="40" w:after="40"/>
      </w:pPr>
      <w:r>
        <w:rPr>
          <w:rFonts w:ascii="Calibri" w:hAnsi="Calibri"/>
          <w:b w:val="0"/>
          <w:color w:val="2D2D2D"/>
          <w:sz w:val="21"/>
        </w:rPr>
        <w:t>Extension à toutes les 19 directions régionales : Bouaké, Yamoussoukro, Daloa, San-Pédro, Korhogo, Man, Abengourou, Divo, Gagnoa, Bondoukou, Dimbokro, Odienné, Guiglo, Lakota, Soubré, Sassandra, Agboville, Adzopé, Aboisso</w:t>
      </w:r>
    </w:p>
    <w:p>
      <w:pPr>
        <w:pStyle w:val="ListBullet"/>
        <w:spacing w:before="40" w:after="40"/>
      </w:pPr>
      <w:r>
        <w:rPr>
          <w:rFonts w:ascii="Calibri" w:hAnsi="Calibri"/>
          <w:b w:val="0"/>
          <w:color w:val="2D2D2D"/>
          <w:sz w:val="21"/>
        </w:rPr>
        <w:t>Formation de 360 agents supplémentaires (inspecteurs, chefs, directeurs régionaux)</w:t>
      </w:r>
    </w:p>
    <w:p>
      <w:pPr>
        <w:pStyle w:val="ListBullet"/>
        <w:spacing w:before="40" w:after="40"/>
      </w:pPr>
      <w:r>
        <w:rPr>
          <w:rFonts w:ascii="Calibri" w:hAnsi="Calibri"/>
          <w:b w:val="0"/>
          <w:color w:val="2D2D2D"/>
          <w:sz w:val="21"/>
        </w:rPr>
        <w:t>Activation des modules avancés : IA/chatbot, observatoire statistique, GED complète</w:t>
      </w:r>
    </w:p>
    <w:p>
      <w:pPr>
        <w:pStyle w:val="ListBullet"/>
        <w:spacing w:before="40" w:after="40"/>
      </w:pPr>
      <w:r>
        <w:rPr>
          <w:rFonts w:ascii="Calibri" w:hAnsi="Calibri"/>
          <w:b w:val="0"/>
          <w:color w:val="2D2D2D"/>
          <w:sz w:val="21"/>
        </w:rPr>
        <w:t>Lancement du module Travailleurs Domestiques avec campagne de communication</w:t>
      </w:r>
    </w:p>
    <w:p>
      <w:pPr>
        <w:pStyle w:val="ListBullet"/>
        <w:spacing w:before="40" w:after="40"/>
      </w:pPr>
      <w:r>
        <w:rPr>
          <w:rFonts w:ascii="Calibri" w:hAnsi="Calibri"/>
          <w:b w:val="0"/>
          <w:color w:val="2D2D2D"/>
          <w:sz w:val="21"/>
        </w:rPr>
        <w:t>Interconnexion avec le système CNPS (Caisse Nationale de Prévoyance Sociale)</w:t>
      </w:r>
    </w:p>
    <w:p>
      <w:pPr>
        <w:pStyle w:val="ListBullet"/>
        <w:spacing w:before="40" w:after="40"/>
      </w:pPr>
      <w:r>
        <w:rPr>
          <w:rFonts w:ascii="Calibri" w:hAnsi="Calibri"/>
          <w:b w:val="0"/>
          <w:color w:val="2D2D2D"/>
          <w:sz w:val="21"/>
        </w:rPr>
        <w:t>Mise en place du tableau de bord national du DG et des directeurs régionaux</w:t>
      </w:r>
    </w:p>
    <w:p>
      <w:pPr>
        <w:pStyle w:val="ListBullet"/>
        <w:spacing w:before="40" w:after="40"/>
      </w:pPr>
      <w:r>
        <w:rPr>
          <w:rFonts w:ascii="Calibri" w:hAnsi="Calibri"/>
          <w:b w:val="0"/>
          <w:color w:val="2D2D2D"/>
          <w:sz w:val="21"/>
        </w:rPr>
        <w:t>Activation des alertes SMS via opérateurs ivoiriens</w:t>
      </w:r>
    </w:p>
    <w:p>
      <w:pPr>
        <w:pStyle w:val="ListBullet"/>
        <w:spacing w:before="40" w:after="40"/>
      </w:pPr>
      <w:r>
        <w:rPr>
          <w:rFonts w:ascii="Calibri" w:hAnsi="Calibri"/>
          <w:b w:val="0"/>
          <w:color w:val="2D2D2D"/>
          <w:sz w:val="21"/>
        </w:rPr>
        <w:t>Atelier de présentation des premiers résultats à la hiérarchie du Ministère</w:t>
      </w:r>
    </w:p>
    <w:p>
      <w:pPr>
        <w:pStyle w:val="ListBullet"/>
        <w:spacing w:before="40" w:after="40"/>
      </w:pPr>
      <w:r>
        <w:rPr>
          <w:rFonts w:ascii="Calibri" w:hAnsi="Calibri"/>
          <w:b w:val="0"/>
          <w:color w:val="2D2D2D"/>
          <w:sz w:val="21"/>
        </w:rPr>
        <w:t>PV de réception de la Phase 3</w:t>
      </w:r>
    </w:p>
    <w:p/>
    <w:tbl>
      <w:tblPr>
        <w:tblW w:type="auto" w:w="0"/>
        <w:jc w:val="center"/>
        <w:tblLook w:firstColumn="1" w:firstRow="1" w:lastColumn="0" w:lastRow="0" w:noHBand="0" w:noVBand="1" w:val="04A0"/>
      </w:tblPr>
      <w:tblGrid>
        <w:gridCol w:w="9406"/>
      </w:tblGrid>
      <w:tr>
        <w:tc>
          <w:tcPr>
            <w:tcW w:type="dxa" w:w="9406"/>
            <w:shd w:val="clear" w:color="auto" w:fill="F47E1C"/>
            <w:vAlign w:val="center"/>
          </w:tcPr>
          <w:p>
            <w:pPr>
              <w:spacing w:before="160" w:after="160"/>
              <w:jc w:val="left"/>
            </w:pPr>
            <w:r>
              <w:rPr>
                <w:rFonts w:ascii="Calibri" w:hAnsi="Calibri"/>
                <w:b/>
                <w:color w:val="FFFFFF"/>
                <w:sz w:val="22"/>
              </w:rPr>
              <w:t xml:space="preserve">  PHASE 4  –  Consolidation et Transfert de Compétences (Mois 15–18)</w:t>
            </w:r>
          </w:p>
        </w:tc>
      </w:tr>
    </w:tbl>
    <w:p/>
    <w:p>
      <w:pPr>
        <w:pStyle w:val="ListBullet"/>
        <w:spacing w:before="40" w:after="40"/>
      </w:pPr>
      <w:r>
        <w:rPr>
          <w:rFonts w:ascii="Calibri" w:hAnsi="Calibri"/>
          <w:b w:val="0"/>
          <w:color w:val="2D2D2D"/>
          <w:sz w:val="21"/>
        </w:rPr>
        <w:t>Audit de performance technique et fonctionnelle</w:t>
      </w:r>
    </w:p>
    <w:p>
      <w:pPr>
        <w:pStyle w:val="ListBullet"/>
        <w:spacing w:before="40" w:after="40"/>
      </w:pPr>
      <w:r>
        <w:rPr>
          <w:rFonts w:ascii="Calibri" w:hAnsi="Calibri"/>
          <w:b w:val="0"/>
          <w:color w:val="2D2D2D"/>
          <w:sz w:val="21"/>
        </w:rPr>
        <w:t>Optimisations basées sur les données d'usage (6 mois de production)</w:t>
      </w:r>
    </w:p>
    <w:p>
      <w:pPr>
        <w:pStyle w:val="ListBullet"/>
        <w:spacing w:before="40" w:after="40"/>
      </w:pPr>
      <w:r>
        <w:rPr>
          <w:rFonts w:ascii="Calibri" w:hAnsi="Calibri"/>
          <w:b w:val="0"/>
          <w:color w:val="2D2D2D"/>
          <w:sz w:val="21"/>
        </w:rPr>
        <w:t>Production du premier Rapport Annuel Numérique de l'Inspection du Travail de Côte d'Ivoire</w:t>
      </w:r>
    </w:p>
    <w:p>
      <w:pPr>
        <w:pStyle w:val="ListBullet"/>
        <w:spacing w:before="40" w:after="40"/>
      </w:pPr>
      <w:r>
        <w:rPr>
          <w:rFonts w:ascii="Calibri" w:hAnsi="Calibri"/>
          <w:b w:val="0"/>
          <w:color w:val="2D2D2D"/>
          <w:sz w:val="21"/>
        </w:rPr>
        <w:t>Transfert de compétences complet : formation des développeurs IT du Ministère sur le code source</w:t>
      </w:r>
    </w:p>
    <w:p>
      <w:pPr>
        <w:pStyle w:val="ListBullet"/>
        <w:spacing w:before="40" w:after="40"/>
      </w:pPr>
      <w:r>
        <w:rPr>
          <w:rFonts w:ascii="Calibri" w:hAnsi="Calibri"/>
          <w:b w:val="0"/>
          <w:color w:val="2D2D2D"/>
          <w:sz w:val="21"/>
        </w:rPr>
        <w:t>Documentation technique complète : architecture, APIs, modèle de données</w:t>
      </w:r>
    </w:p>
    <w:p>
      <w:pPr>
        <w:pStyle w:val="ListBullet"/>
        <w:spacing w:before="40" w:after="40"/>
      </w:pPr>
      <w:r>
        <w:rPr>
          <w:rFonts w:ascii="Calibri" w:hAnsi="Calibri"/>
          <w:b w:val="0"/>
          <w:color w:val="2D2D2D"/>
          <w:sz w:val="21"/>
        </w:rPr>
        <w:t>Mise en place du contrat de maintenance et du SLA post-déploiement</w:t>
      </w:r>
    </w:p>
    <w:p>
      <w:pPr>
        <w:pStyle w:val="ListBullet"/>
        <w:spacing w:before="40" w:after="40"/>
      </w:pPr>
      <w:r>
        <w:rPr>
          <w:rFonts w:ascii="Calibri" w:hAnsi="Calibri"/>
          <w:b w:val="0"/>
          <w:color w:val="2D2D2D"/>
          <w:sz w:val="21"/>
        </w:rPr>
        <w:t>Présentation du bilan et de la roadmap des évolutions futures au Directeur Général</w:t>
      </w:r>
    </w:p>
    <w:p>
      <w:pPr>
        <w:pStyle w:val="ListBullet"/>
        <w:spacing w:before="40" w:after="40"/>
      </w:pPr>
      <w:r>
        <w:rPr>
          <w:rFonts w:ascii="Calibri" w:hAnsi="Calibri"/>
          <w:b w:val="0"/>
          <w:color w:val="2D2D2D"/>
          <w:sz w:val="21"/>
        </w:rPr>
        <w:t>PV de Réception Définitive signé par la DGT et Numerix Digital</w:t>
      </w:r>
    </w:p>
    <w:p/>
    <w:p>
      <w:pPr>
        <w:spacing w:before="200" w:after="80"/>
      </w:pPr>
      <w:r>
        <w:rPr>
          <w:rFonts w:ascii="Calibri" w:hAnsi="Calibri"/>
          <w:b/>
          <w:color w:val="0072C6"/>
          <w:sz w:val="24"/>
        </w:rPr>
        <w:t>7.1  Chronogramme synthétique</w:t>
      </w:r>
    </w:p>
    <w:tbl>
      <w:tblPr>
        <w:tblStyle w:val="TableGrid"/>
        <w:tblW w:type="auto" w:w="0"/>
        <w:jc w:val="center"/>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shd w:val="clear" w:color="auto" w:fill="00347C"/>
          </w:tcPr>
          <w:p>
            <w:pPr>
              <w:spacing w:before="80" w:after="80"/>
              <w:jc w:val="left"/>
            </w:pPr>
            <w:r>
              <w:rPr>
                <w:rFonts w:ascii="Calibri" w:hAnsi="Calibri"/>
                <w:b/>
                <w:color w:val="FFFFFF"/>
                <w:sz w:val="17"/>
              </w:rPr>
              <w:t>Livrable / Jalon</w:t>
            </w:r>
          </w:p>
        </w:tc>
        <w:tc>
          <w:tcPr>
            <w:tcW w:type="dxa" w:w="855"/>
            <w:shd w:val="clear" w:color="auto" w:fill="00347C"/>
          </w:tcPr>
          <w:p>
            <w:pPr>
              <w:spacing w:before="80" w:after="80"/>
              <w:jc w:val="center"/>
            </w:pPr>
            <w:r>
              <w:rPr>
                <w:rFonts w:ascii="Calibri" w:hAnsi="Calibri"/>
                <w:b/>
                <w:color w:val="FFFFFF"/>
                <w:sz w:val="17"/>
              </w:rPr>
              <w:t>M1</w:t>
            </w:r>
          </w:p>
        </w:tc>
        <w:tc>
          <w:tcPr>
            <w:tcW w:type="dxa" w:w="855"/>
            <w:shd w:val="clear" w:color="auto" w:fill="00347C"/>
          </w:tcPr>
          <w:p>
            <w:pPr>
              <w:spacing w:before="80" w:after="80"/>
              <w:jc w:val="center"/>
            </w:pPr>
            <w:r>
              <w:rPr>
                <w:rFonts w:ascii="Calibri" w:hAnsi="Calibri"/>
                <w:b/>
                <w:color w:val="FFFFFF"/>
                <w:sz w:val="17"/>
              </w:rPr>
              <w:t>M2</w:t>
            </w:r>
          </w:p>
        </w:tc>
        <w:tc>
          <w:tcPr>
            <w:tcW w:type="dxa" w:w="855"/>
            <w:shd w:val="clear" w:color="auto" w:fill="00347C"/>
          </w:tcPr>
          <w:p>
            <w:pPr>
              <w:spacing w:before="80" w:after="80"/>
              <w:jc w:val="center"/>
            </w:pPr>
            <w:r>
              <w:rPr>
                <w:rFonts w:ascii="Calibri" w:hAnsi="Calibri"/>
                <w:b/>
                <w:color w:val="FFFFFF"/>
                <w:sz w:val="17"/>
              </w:rPr>
              <w:t>M3</w:t>
            </w:r>
          </w:p>
        </w:tc>
        <w:tc>
          <w:tcPr>
            <w:tcW w:type="dxa" w:w="855"/>
            <w:shd w:val="clear" w:color="auto" w:fill="00347C"/>
          </w:tcPr>
          <w:p>
            <w:pPr>
              <w:spacing w:before="80" w:after="80"/>
              <w:jc w:val="center"/>
            </w:pPr>
            <w:r>
              <w:rPr>
                <w:rFonts w:ascii="Calibri" w:hAnsi="Calibri"/>
                <w:b/>
                <w:color w:val="FFFFFF"/>
                <w:sz w:val="17"/>
              </w:rPr>
              <w:t>M4</w:t>
            </w:r>
          </w:p>
        </w:tc>
        <w:tc>
          <w:tcPr>
            <w:tcW w:type="dxa" w:w="855"/>
            <w:shd w:val="clear" w:color="auto" w:fill="00347C"/>
          </w:tcPr>
          <w:p>
            <w:pPr>
              <w:spacing w:before="80" w:after="80"/>
              <w:jc w:val="center"/>
            </w:pPr>
            <w:r>
              <w:rPr>
                <w:rFonts w:ascii="Calibri" w:hAnsi="Calibri"/>
                <w:b/>
                <w:color w:val="FFFFFF"/>
                <w:sz w:val="17"/>
              </w:rPr>
              <w:t>M5</w:t>
            </w:r>
          </w:p>
        </w:tc>
        <w:tc>
          <w:tcPr>
            <w:tcW w:type="dxa" w:w="855"/>
            <w:shd w:val="clear" w:color="auto" w:fill="00347C"/>
          </w:tcPr>
          <w:p>
            <w:pPr>
              <w:spacing w:before="80" w:after="80"/>
              <w:jc w:val="center"/>
            </w:pPr>
            <w:r>
              <w:rPr>
                <w:rFonts w:ascii="Calibri" w:hAnsi="Calibri"/>
                <w:b/>
                <w:color w:val="FFFFFF"/>
                <w:sz w:val="17"/>
              </w:rPr>
              <w:t>M6</w:t>
            </w:r>
          </w:p>
        </w:tc>
        <w:tc>
          <w:tcPr>
            <w:tcW w:type="dxa" w:w="855"/>
            <w:shd w:val="clear" w:color="auto" w:fill="00347C"/>
          </w:tcPr>
          <w:p>
            <w:pPr>
              <w:spacing w:before="80" w:after="80"/>
              <w:jc w:val="center"/>
            </w:pPr>
            <w:r>
              <w:rPr>
                <w:rFonts w:ascii="Calibri" w:hAnsi="Calibri"/>
                <w:b/>
                <w:color w:val="FFFFFF"/>
                <w:sz w:val="17"/>
              </w:rPr>
              <w:t>M7</w:t>
            </w:r>
          </w:p>
        </w:tc>
        <w:tc>
          <w:tcPr>
            <w:tcW w:type="dxa" w:w="855"/>
            <w:shd w:val="clear" w:color="auto" w:fill="00347C"/>
          </w:tcPr>
          <w:p>
            <w:pPr>
              <w:spacing w:before="80" w:after="80"/>
              <w:jc w:val="center"/>
            </w:pPr>
            <w:r>
              <w:rPr>
                <w:rFonts w:ascii="Calibri" w:hAnsi="Calibri"/>
                <w:b/>
                <w:color w:val="FFFFFF"/>
                <w:sz w:val="17"/>
              </w:rPr>
              <w:t>M8-10</w:t>
            </w:r>
          </w:p>
        </w:tc>
        <w:tc>
          <w:tcPr>
            <w:tcW w:type="dxa" w:w="855"/>
            <w:shd w:val="clear" w:color="auto" w:fill="00347C"/>
          </w:tcPr>
          <w:p>
            <w:pPr>
              <w:spacing w:before="80" w:after="80"/>
              <w:jc w:val="center"/>
            </w:pPr>
            <w:r>
              <w:rPr>
                <w:rFonts w:ascii="Calibri" w:hAnsi="Calibri"/>
                <w:b/>
                <w:color w:val="FFFFFF"/>
                <w:sz w:val="17"/>
              </w:rPr>
              <w:t>M11-14</w:t>
            </w:r>
          </w:p>
        </w:tc>
        <w:tc>
          <w:tcPr>
            <w:tcW w:type="dxa" w:w="855"/>
            <w:shd w:val="clear" w:color="auto" w:fill="00347C"/>
          </w:tcPr>
          <w:p>
            <w:pPr>
              <w:spacing w:before="80" w:after="80"/>
              <w:jc w:val="center"/>
            </w:pPr>
            <w:r>
              <w:rPr>
                <w:rFonts w:ascii="Calibri" w:hAnsi="Calibri"/>
                <w:b/>
                <w:color w:val="FFFFFF"/>
                <w:sz w:val="17"/>
              </w:rPr>
              <w:t>M15-18</w:t>
            </w:r>
          </w:p>
        </w:tc>
      </w:tr>
      <w:tr>
        <w:tc>
          <w:tcPr>
            <w:tcW w:type="dxa" w:w="855"/>
            <w:shd w:val="clear" w:color="auto" w:fill="FFFFFF"/>
          </w:tcPr>
          <w:p>
            <w:pPr>
              <w:spacing w:before="80" w:after="80"/>
              <w:jc w:val="left"/>
            </w:pPr>
            <w:r>
              <w:rPr>
                <w:rFonts w:ascii="Calibri" w:hAnsi="Calibri"/>
                <w:b w:val="0"/>
                <w:color w:val="2D2D2D"/>
                <w:sz w:val="17"/>
              </w:rPr>
              <w:t>Cadrage et paramétrage</w:t>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r>
      <w:tr>
        <w:tc>
          <w:tcPr>
            <w:tcW w:type="dxa" w:w="855"/>
            <w:shd w:val="clear" w:color="auto" w:fill="F5F7FA"/>
          </w:tcPr>
          <w:p>
            <w:pPr>
              <w:spacing w:before="80" w:after="80"/>
              <w:jc w:val="left"/>
            </w:pPr>
            <w:r>
              <w:rPr>
                <w:rFonts w:ascii="Calibri" w:hAnsi="Calibri"/>
                <w:b w:val="0"/>
                <w:color w:val="2D2D2D"/>
                <w:sz w:val="17"/>
              </w:rPr>
              <w:t>Migration données existantes</w:t>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r>
      <w:tr>
        <w:tc>
          <w:tcPr>
            <w:tcW w:type="dxa" w:w="855"/>
            <w:shd w:val="clear" w:color="auto" w:fill="FFFFFF"/>
          </w:tcPr>
          <w:p>
            <w:pPr>
              <w:spacing w:before="80" w:after="80"/>
              <w:jc w:val="left"/>
            </w:pPr>
            <w:r>
              <w:rPr>
                <w:rFonts w:ascii="Calibri" w:hAnsi="Calibri"/>
                <w:b w:val="0"/>
                <w:color w:val="2D2D2D"/>
                <w:sz w:val="17"/>
              </w:rPr>
              <w:t>Infrastructure cloud</w:t>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r>
      <w:tr>
        <w:tc>
          <w:tcPr>
            <w:tcW w:type="dxa" w:w="855"/>
            <w:shd w:val="clear" w:color="auto" w:fill="F5F7FA"/>
          </w:tcPr>
          <w:p>
            <w:pPr>
              <w:spacing w:before="80" w:after="80"/>
              <w:jc w:val="left"/>
            </w:pPr>
            <w:r>
              <w:rPr>
                <w:rFonts w:ascii="Calibri" w:hAnsi="Calibri"/>
                <w:b w:val="0"/>
                <w:color w:val="2D2D2D"/>
                <w:sz w:val="17"/>
              </w:rPr>
              <w:t>Pilote Abidjan</w:t>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r>
      <w:tr>
        <w:tc>
          <w:tcPr>
            <w:tcW w:type="dxa" w:w="855"/>
            <w:shd w:val="clear" w:color="auto" w:fill="FFFFFF"/>
          </w:tcPr>
          <w:p>
            <w:pPr>
              <w:spacing w:before="80" w:after="80"/>
              <w:jc w:val="left"/>
            </w:pPr>
            <w:r>
              <w:rPr>
                <w:rFonts w:ascii="Calibri" w:hAnsi="Calibri"/>
                <w:b w:val="0"/>
                <w:color w:val="2D2D2D"/>
                <w:sz w:val="17"/>
              </w:rPr>
              <w:t>Formation 1ère vague</w:t>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r>
      <w:tr>
        <w:tc>
          <w:tcPr>
            <w:tcW w:type="dxa" w:w="855"/>
            <w:shd w:val="clear" w:color="auto" w:fill="F5F7FA"/>
          </w:tcPr>
          <w:p>
            <w:pPr>
              <w:spacing w:before="80" w:after="80"/>
              <w:jc w:val="left"/>
            </w:pPr>
            <w:r>
              <w:rPr>
                <w:rFonts w:ascii="Calibri" w:hAnsi="Calibri"/>
                <w:b w:val="0"/>
                <w:color w:val="2D2D2D"/>
                <w:sz w:val="17"/>
              </w:rPr>
              <w:t>Déploiement national</w:t>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r>
      <w:tr>
        <w:tc>
          <w:tcPr>
            <w:tcW w:type="dxa" w:w="855"/>
            <w:shd w:val="clear" w:color="auto" w:fill="FFFFFF"/>
          </w:tcPr>
          <w:p>
            <w:pPr>
              <w:spacing w:before="80" w:after="80"/>
              <w:jc w:val="left"/>
            </w:pPr>
            <w:r>
              <w:rPr>
                <w:rFonts w:ascii="Calibri" w:hAnsi="Calibri"/>
                <w:b w:val="0"/>
                <w:color w:val="2D2D2D"/>
                <w:sz w:val="17"/>
              </w:rPr>
              <w:t>Formation 2ème vague</w:t>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r>
      <w:tr>
        <w:tc>
          <w:tcPr>
            <w:tcW w:type="dxa" w:w="855"/>
            <w:shd w:val="clear" w:color="auto" w:fill="F5F7FA"/>
          </w:tcPr>
          <w:p>
            <w:pPr>
              <w:spacing w:before="80" w:after="80"/>
              <w:jc w:val="left"/>
            </w:pPr>
            <w:r>
              <w:rPr>
                <w:rFonts w:ascii="Calibri" w:hAnsi="Calibri"/>
                <w:b w:val="0"/>
                <w:color w:val="2D2D2D"/>
                <w:sz w:val="17"/>
              </w:rPr>
              <w:t>Modules avancés (IA, GED, Observatoire)</w:t>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F5F7FA"/>
          </w:tcPr>
          <w:p>
            <w:pPr>
              <w:spacing w:before="80" w:after="80"/>
              <w:jc w:val="center"/>
            </w:pPr>
            <w:r>
              <w:rPr>
                <w:rFonts w:ascii="Calibri" w:hAnsi="Calibri"/>
                <w:b w:val="0"/>
                <w:color w:val="2D2D2D"/>
                <w:sz w:val="17"/>
              </w:rPr>
            </w:r>
          </w:p>
        </w:tc>
      </w:tr>
      <w:tr>
        <w:tc>
          <w:tcPr>
            <w:tcW w:type="dxa" w:w="855"/>
            <w:shd w:val="clear" w:color="auto" w:fill="FFFFFF"/>
          </w:tcPr>
          <w:p>
            <w:pPr>
              <w:spacing w:before="80" w:after="80"/>
              <w:jc w:val="left"/>
            </w:pPr>
            <w:r>
              <w:rPr>
                <w:rFonts w:ascii="Calibri" w:hAnsi="Calibri"/>
                <w:b w:val="0"/>
                <w:color w:val="2D2D2D"/>
                <w:sz w:val="17"/>
              </w:rPr>
              <w:t>Interconnexion CNPS</w:t>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B8D8FF"/>
          </w:tcPr>
          <w:p>
            <w:pPr>
              <w:spacing w:before="80" w:after="80"/>
              <w:jc w:val="center"/>
            </w:pPr>
            <w:r>
              <w:rPr>
                <w:rFonts w:ascii="Calibri" w:hAnsi="Calibri"/>
                <w:b/>
                <w:color w:val="00347C"/>
                <w:sz w:val="17"/>
              </w:rPr>
              <w:t>●</w:t>
            </w:r>
          </w:p>
        </w:tc>
        <w:tc>
          <w:tcPr>
            <w:tcW w:type="dxa" w:w="855"/>
            <w:shd w:val="clear" w:color="auto" w:fill="FFFFFF"/>
          </w:tcPr>
          <w:p>
            <w:pPr>
              <w:spacing w:before="80" w:after="80"/>
              <w:jc w:val="center"/>
            </w:pPr>
            <w:r>
              <w:rPr>
                <w:rFonts w:ascii="Calibri" w:hAnsi="Calibri"/>
                <w:b w:val="0"/>
                <w:color w:val="2D2D2D"/>
                <w:sz w:val="17"/>
              </w:rPr>
            </w:r>
          </w:p>
        </w:tc>
      </w:tr>
      <w:tr>
        <w:tc>
          <w:tcPr>
            <w:tcW w:type="dxa" w:w="855"/>
            <w:shd w:val="clear" w:color="auto" w:fill="F5F7FA"/>
          </w:tcPr>
          <w:p>
            <w:pPr>
              <w:spacing w:before="80" w:after="80"/>
              <w:jc w:val="left"/>
            </w:pPr>
            <w:r>
              <w:rPr>
                <w:rFonts w:ascii="Calibri" w:hAnsi="Calibri"/>
                <w:b w:val="0"/>
                <w:color w:val="2D2D2D"/>
                <w:sz w:val="17"/>
              </w:rPr>
              <w:t>Optimisation et transfert compétences</w:t>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F5F7FA"/>
          </w:tcPr>
          <w:p>
            <w:pPr>
              <w:spacing w:before="80" w:after="80"/>
              <w:jc w:val="center"/>
            </w:pPr>
            <w:r>
              <w:rPr>
                <w:rFonts w:ascii="Calibri" w:hAnsi="Calibri"/>
                <w:b w:val="0"/>
                <w:color w:val="2D2D2D"/>
                <w:sz w:val="17"/>
              </w:rPr>
            </w:r>
          </w:p>
        </w:tc>
        <w:tc>
          <w:tcPr>
            <w:tcW w:type="dxa" w:w="855"/>
            <w:shd w:val="clear" w:color="auto" w:fill="B8D8FF"/>
          </w:tcPr>
          <w:p>
            <w:pPr>
              <w:spacing w:before="80" w:after="80"/>
              <w:jc w:val="center"/>
            </w:pPr>
            <w:r>
              <w:rPr>
                <w:rFonts w:ascii="Calibri" w:hAnsi="Calibri"/>
                <w:b/>
                <w:color w:val="00347C"/>
                <w:sz w:val="17"/>
              </w:rPr>
              <w:t>●</w:t>
            </w:r>
          </w:p>
        </w:tc>
      </w:tr>
      <w:tr>
        <w:tc>
          <w:tcPr>
            <w:tcW w:type="dxa" w:w="855"/>
            <w:shd w:val="clear" w:color="auto" w:fill="FFFFFF"/>
          </w:tcPr>
          <w:p>
            <w:pPr>
              <w:spacing w:before="80" w:after="80"/>
              <w:jc w:val="left"/>
            </w:pPr>
            <w:r>
              <w:rPr>
                <w:rFonts w:ascii="Calibri" w:hAnsi="Calibri"/>
                <w:b w:val="0"/>
                <w:color w:val="2D2D2D"/>
                <w:sz w:val="17"/>
              </w:rPr>
              <w:t>Rapport annuel et réception définitive</w:t>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FFFFFF"/>
          </w:tcPr>
          <w:p>
            <w:pPr>
              <w:spacing w:before="80" w:after="80"/>
              <w:jc w:val="center"/>
            </w:pPr>
            <w:r>
              <w:rPr>
                <w:rFonts w:ascii="Calibri" w:hAnsi="Calibri"/>
                <w:b w:val="0"/>
                <w:color w:val="2D2D2D"/>
                <w:sz w:val="17"/>
              </w:rPr>
            </w:r>
          </w:p>
        </w:tc>
        <w:tc>
          <w:tcPr>
            <w:tcW w:type="dxa" w:w="855"/>
            <w:shd w:val="clear" w:color="auto" w:fill="B8D8FF"/>
          </w:tcPr>
          <w:p>
            <w:pPr>
              <w:spacing w:before="80" w:after="80"/>
              <w:jc w:val="center"/>
            </w:pPr>
            <w:r>
              <w:rPr>
                <w:rFonts w:ascii="Calibri" w:hAnsi="Calibri"/>
                <w:b/>
                <w:color w:val="00347C"/>
                <w:sz w:val="17"/>
              </w:rPr>
              <w:t>●</w:t>
            </w:r>
          </w:p>
        </w:tc>
      </w:tr>
    </w:tbl>
    <w:p>
      <w:r>
        <w:br w:type="page"/>
      </w:r>
    </w:p>
    <w:p>
      <w:pPr>
        <w:spacing w:before="0" w:after="120"/>
      </w:pPr>
      <w:r>
        <w:rPr>
          <w:rFonts w:ascii="Calibri" w:hAnsi="Calibri"/>
          <w:b/>
          <w:color w:val="00347C"/>
          <w:sz w:val="30"/>
        </w:rPr>
        <w:t>8.  FORMATION ET ACCOMPAGNEMENT AU CHANGEMENT</w:t>
      </w:r>
    </w:p>
    <w:p>
      <w:pPr>
        <w:pBdr>
          <w:bottom w:val="single" w:sz="6" w:space="1" w:color="00347C"/>
        </w:pBdr>
        <w:spacing w:before="20" w:after="40"/>
      </w:pPr>
    </w:p>
    <w:p>
      <w:pPr>
        <w:spacing w:before="60" w:after="60" w:line="360" w:lineRule="auto"/>
        <w:jc w:val="both"/>
      </w:pPr>
      <w:r>
        <w:rPr>
          <w:rFonts w:ascii="Calibri" w:hAnsi="Calibri"/>
          <w:i w:val="0"/>
          <w:color w:val="2D2D2D"/>
          <w:sz w:val="21"/>
        </w:rPr>
        <w:t>Le succès d'un projet de transformation numérique repose à 30 % sur la technologie et à 70 % sur l'humain. Numerix Digital place la formation et l'accompagnement au changement au cœur de sa démarche de déploiement.</w:t>
      </w:r>
    </w:p>
    <w:p>
      <w:pPr>
        <w:spacing w:before="200" w:after="80"/>
      </w:pPr>
      <w:r>
        <w:rPr>
          <w:rFonts w:ascii="Calibri" w:hAnsi="Calibri"/>
          <w:b/>
          <w:color w:val="0072C6"/>
          <w:sz w:val="24"/>
        </w:rPr>
        <w:t>8.1  Catalogue de formations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0347C"/>
            <w:vAlign w:val="center"/>
          </w:tcPr>
          <w:p>
            <w:pPr>
              <w:spacing w:before="120" w:after="120"/>
              <w:jc w:val="center"/>
            </w:pPr>
            <w:r>
              <w:rPr>
                <w:rFonts w:ascii="Calibri" w:hAnsi="Calibri"/>
                <w:b/>
                <w:color w:val="FFFFFF"/>
                <w:sz w:val="20"/>
              </w:rPr>
              <w:t>Réf.</w:t>
            </w:r>
          </w:p>
        </w:tc>
        <w:tc>
          <w:tcPr>
            <w:tcW w:type="dxa" w:w="1881"/>
            <w:shd w:val="clear" w:color="auto" w:fill="00347C"/>
            <w:vAlign w:val="center"/>
          </w:tcPr>
          <w:p>
            <w:pPr>
              <w:spacing w:before="120" w:after="120"/>
              <w:jc w:val="center"/>
            </w:pPr>
            <w:r>
              <w:rPr>
                <w:rFonts w:ascii="Calibri" w:hAnsi="Calibri"/>
                <w:b/>
                <w:color w:val="FFFFFF"/>
                <w:sz w:val="20"/>
              </w:rPr>
              <w:t>Cible</w:t>
            </w:r>
          </w:p>
        </w:tc>
        <w:tc>
          <w:tcPr>
            <w:tcW w:type="dxa" w:w="1881"/>
            <w:shd w:val="clear" w:color="auto" w:fill="00347C"/>
            <w:vAlign w:val="center"/>
          </w:tcPr>
          <w:p>
            <w:pPr>
              <w:spacing w:before="120" w:after="120"/>
              <w:jc w:val="center"/>
            </w:pPr>
            <w:r>
              <w:rPr>
                <w:rFonts w:ascii="Calibri" w:hAnsi="Calibri"/>
                <w:b/>
                <w:color w:val="FFFFFF"/>
                <w:sz w:val="20"/>
              </w:rPr>
              <w:t>Durée</w:t>
            </w:r>
          </w:p>
        </w:tc>
        <w:tc>
          <w:tcPr>
            <w:tcW w:type="dxa" w:w="1881"/>
            <w:shd w:val="clear" w:color="auto" w:fill="00347C"/>
            <w:vAlign w:val="center"/>
          </w:tcPr>
          <w:p>
            <w:pPr>
              <w:spacing w:before="120" w:after="120"/>
              <w:jc w:val="center"/>
            </w:pPr>
            <w:r>
              <w:rPr>
                <w:rFonts w:ascii="Calibri" w:hAnsi="Calibri"/>
                <w:b/>
                <w:color w:val="FFFFFF"/>
                <w:sz w:val="20"/>
              </w:rPr>
              <w:t>Effectif</w:t>
            </w:r>
          </w:p>
        </w:tc>
        <w:tc>
          <w:tcPr>
            <w:tcW w:type="dxa" w:w="1881"/>
            <w:shd w:val="clear" w:color="auto" w:fill="00347C"/>
            <w:vAlign w:val="center"/>
          </w:tcPr>
          <w:p>
            <w:pPr>
              <w:spacing w:before="120" w:after="120"/>
              <w:jc w:val="center"/>
            </w:pPr>
            <w:r>
              <w:rPr>
                <w:rFonts w:ascii="Calibri" w:hAnsi="Calibri"/>
                <w:b/>
                <w:color w:val="FFFFFF"/>
                <w:sz w:val="20"/>
              </w:rPr>
              <w:t>Contenu principal</w:t>
            </w:r>
          </w:p>
        </w:tc>
      </w:tr>
      <w:tr>
        <w:tc>
          <w:tcPr>
            <w:tcW w:type="dxa" w:w="1881"/>
            <w:shd w:val="clear" w:color="auto" w:fill="FFFFFF"/>
            <w:vAlign w:val="center"/>
          </w:tcPr>
          <w:p>
            <w:pPr>
              <w:spacing w:before="80" w:after="80"/>
              <w:jc w:val="left"/>
            </w:pPr>
            <w:r>
              <w:rPr>
                <w:rFonts w:ascii="Calibri" w:hAnsi="Calibri"/>
                <w:b/>
                <w:color w:val="00347C"/>
                <w:sz w:val="19"/>
              </w:rPr>
              <w:t>F01</w:t>
            </w:r>
          </w:p>
        </w:tc>
        <w:tc>
          <w:tcPr>
            <w:tcW w:type="dxa" w:w="1881"/>
            <w:shd w:val="clear" w:color="auto" w:fill="FFFFFF"/>
            <w:vAlign w:val="center"/>
          </w:tcPr>
          <w:p>
            <w:pPr>
              <w:spacing w:before="80" w:after="80"/>
              <w:jc w:val="left"/>
            </w:pPr>
            <w:r>
              <w:rPr>
                <w:rFonts w:ascii="Calibri" w:hAnsi="Calibri"/>
                <w:b w:val="0"/>
                <w:color w:val="2D2D2D"/>
                <w:sz w:val="19"/>
              </w:rPr>
              <w:t>Administration système</w:t>
            </w:r>
          </w:p>
        </w:tc>
        <w:tc>
          <w:tcPr>
            <w:tcW w:type="dxa" w:w="1881"/>
            <w:shd w:val="clear" w:color="auto" w:fill="FFFFFF"/>
            <w:vAlign w:val="center"/>
          </w:tcPr>
          <w:p>
            <w:pPr>
              <w:spacing w:before="80" w:after="80"/>
              <w:jc w:val="left"/>
            </w:pPr>
            <w:r>
              <w:rPr>
                <w:rFonts w:ascii="Calibri" w:hAnsi="Calibri"/>
                <w:b w:val="0"/>
                <w:color w:val="2D2D2D"/>
                <w:sz w:val="19"/>
              </w:rPr>
              <w:t>2 jours</w:t>
            </w:r>
          </w:p>
        </w:tc>
        <w:tc>
          <w:tcPr>
            <w:tcW w:type="dxa" w:w="1881"/>
            <w:shd w:val="clear" w:color="auto" w:fill="FFFFFF"/>
            <w:vAlign w:val="center"/>
          </w:tcPr>
          <w:p>
            <w:pPr>
              <w:spacing w:before="80" w:after="80"/>
              <w:jc w:val="left"/>
            </w:pPr>
            <w:r>
              <w:rPr>
                <w:rFonts w:ascii="Calibri" w:hAnsi="Calibri"/>
                <w:b w:val="0"/>
                <w:color w:val="2D2D2D"/>
                <w:sz w:val="19"/>
              </w:rPr>
              <w:t>10 admins IT</w:t>
            </w:r>
          </w:p>
        </w:tc>
        <w:tc>
          <w:tcPr>
            <w:tcW w:type="dxa" w:w="1881"/>
            <w:shd w:val="clear" w:color="auto" w:fill="FFFFFF"/>
            <w:vAlign w:val="center"/>
          </w:tcPr>
          <w:p>
            <w:pPr>
              <w:spacing w:before="80" w:after="80"/>
              <w:jc w:val="left"/>
            </w:pPr>
            <w:r>
              <w:rPr>
                <w:rFonts w:ascii="Calibri" w:hAnsi="Calibri"/>
                <w:b w:val="0"/>
                <w:color w:val="2D2D2D"/>
                <w:sz w:val="19"/>
              </w:rPr>
              <w:t>Gestion utilisateurs, sauvegardes, monitoring, incidents</w:t>
            </w:r>
          </w:p>
        </w:tc>
      </w:tr>
      <w:tr>
        <w:tc>
          <w:tcPr>
            <w:tcW w:type="dxa" w:w="1881"/>
            <w:shd w:val="clear" w:color="auto" w:fill="F5F7FA"/>
            <w:vAlign w:val="center"/>
          </w:tcPr>
          <w:p>
            <w:pPr>
              <w:spacing w:before="80" w:after="80"/>
              <w:jc w:val="left"/>
            </w:pPr>
            <w:r>
              <w:rPr>
                <w:rFonts w:ascii="Calibri" w:hAnsi="Calibri"/>
                <w:b/>
                <w:color w:val="00347C"/>
                <w:sz w:val="19"/>
              </w:rPr>
              <w:t>F02</w:t>
            </w:r>
          </w:p>
        </w:tc>
        <w:tc>
          <w:tcPr>
            <w:tcW w:type="dxa" w:w="1881"/>
            <w:shd w:val="clear" w:color="auto" w:fill="F5F7FA"/>
            <w:vAlign w:val="center"/>
          </w:tcPr>
          <w:p>
            <w:pPr>
              <w:spacing w:before="80" w:after="80"/>
              <w:jc w:val="left"/>
            </w:pPr>
            <w:r>
              <w:rPr>
                <w:rFonts w:ascii="Calibri" w:hAnsi="Calibri"/>
                <w:b w:val="0"/>
                <w:color w:val="2D2D2D"/>
                <w:sz w:val="19"/>
              </w:rPr>
              <w:t>Inspecteurs du travail</w:t>
            </w:r>
          </w:p>
        </w:tc>
        <w:tc>
          <w:tcPr>
            <w:tcW w:type="dxa" w:w="1881"/>
            <w:shd w:val="clear" w:color="auto" w:fill="F5F7FA"/>
            <w:vAlign w:val="center"/>
          </w:tcPr>
          <w:p>
            <w:pPr>
              <w:spacing w:before="80" w:after="80"/>
              <w:jc w:val="left"/>
            </w:pPr>
            <w:r>
              <w:rPr>
                <w:rFonts w:ascii="Calibri" w:hAnsi="Calibri"/>
                <w:b w:val="0"/>
                <w:color w:val="2D2D2D"/>
                <w:sz w:val="19"/>
              </w:rPr>
              <w:t>3 jours</w:t>
            </w:r>
          </w:p>
        </w:tc>
        <w:tc>
          <w:tcPr>
            <w:tcW w:type="dxa" w:w="1881"/>
            <w:shd w:val="clear" w:color="auto" w:fill="F5F7FA"/>
            <w:vAlign w:val="center"/>
          </w:tcPr>
          <w:p>
            <w:pPr>
              <w:spacing w:before="80" w:after="80"/>
              <w:jc w:val="left"/>
            </w:pPr>
            <w:r>
              <w:rPr>
                <w:rFonts w:ascii="Calibri" w:hAnsi="Calibri"/>
                <w:b w:val="0"/>
                <w:color w:val="2D2D2D"/>
                <w:sz w:val="19"/>
              </w:rPr>
              <w:t>120/session</w:t>
            </w:r>
          </w:p>
        </w:tc>
        <w:tc>
          <w:tcPr>
            <w:tcW w:type="dxa" w:w="1881"/>
            <w:shd w:val="clear" w:color="auto" w:fill="F5F7FA"/>
            <w:vAlign w:val="center"/>
          </w:tcPr>
          <w:p>
            <w:pPr>
              <w:spacing w:before="80" w:after="80"/>
              <w:jc w:val="left"/>
            </w:pPr>
            <w:r>
              <w:rPr>
                <w:rFonts w:ascii="Calibri" w:hAnsi="Calibri"/>
                <w:b w:val="0"/>
                <w:color w:val="2D2D2D"/>
                <w:sz w:val="19"/>
              </w:rPr>
              <w:t>Saisie rapports, gestion plaintes, app mobile, signatures électroniques</w:t>
            </w:r>
          </w:p>
        </w:tc>
      </w:tr>
      <w:tr>
        <w:tc>
          <w:tcPr>
            <w:tcW w:type="dxa" w:w="1881"/>
            <w:shd w:val="clear" w:color="auto" w:fill="FFFFFF"/>
            <w:vAlign w:val="center"/>
          </w:tcPr>
          <w:p>
            <w:pPr>
              <w:spacing w:before="80" w:after="80"/>
              <w:jc w:val="left"/>
            </w:pPr>
            <w:r>
              <w:rPr>
                <w:rFonts w:ascii="Calibri" w:hAnsi="Calibri"/>
                <w:b/>
                <w:color w:val="00347C"/>
                <w:sz w:val="19"/>
              </w:rPr>
              <w:t>F03</w:t>
            </w:r>
          </w:p>
        </w:tc>
        <w:tc>
          <w:tcPr>
            <w:tcW w:type="dxa" w:w="1881"/>
            <w:shd w:val="clear" w:color="auto" w:fill="FFFFFF"/>
            <w:vAlign w:val="center"/>
          </w:tcPr>
          <w:p>
            <w:pPr>
              <w:spacing w:before="80" w:after="80"/>
              <w:jc w:val="left"/>
            </w:pPr>
            <w:r>
              <w:rPr>
                <w:rFonts w:ascii="Calibri" w:hAnsi="Calibri"/>
                <w:b w:val="0"/>
                <w:color w:val="2D2D2D"/>
                <w:sz w:val="19"/>
              </w:rPr>
              <w:t>Chefs d'inspection</w:t>
            </w:r>
          </w:p>
        </w:tc>
        <w:tc>
          <w:tcPr>
            <w:tcW w:type="dxa" w:w="1881"/>
            <w:shd w:val="clear" w:color="auto" w:fill="FFFFFF"/>
            <w:vAlign w:val="center"/>
          </w:tcPr>
          <w:p>
            <w:pPr>
              <w:spacing w:before="80" w:after="80"/>
              <w:jc w:val="left"/>
            </w:pPr>
            <w:r>
              <w:rPr>
                <w:rFonts w:ascii="Calibri" w:hAnsi="Calibri"/>
                <w:b w:val="0"/>
                <w:color w:val="2D2D2D"/>
                <w:sz w:val="19"/>
              </w:rPr>
              <w:t>2 jours</w:t>
            </w:r>
          </w:p>
        </w:tc>
        <w:tc>
          <w:tcPr>
            <w:tcW w:type="dxa" w:w="1881"/>
            <w:shd w:val="clear" w:color="auto" w:fill="FFFFFF"/>
            <w:vAlign w:val="center"/>
          </w:tcPr>
          <w:p>
            <w:pPr>
              <w:spacing w:before="80" w:after="80"/>
              <w:jc w:val="left"/>
            </w:pPr>
            <w:r>
              <w:rPr>
                <w:rFonts w:ascii="Calibri" w:hAnsi="Calibri"/>
                <w:b w:val="0"/>
                <w:color w:val="2D2D2D"/>
                <w:sz w:val="19"/>
              </w:rPr>
              <w:t>80 chefs</w:t>
            </w:r>
          </w:p>
        </w:tc>
        <w:tc>
          <w:tcPr>
            <w:tcW w:type="dxa" w:w="1881"/>
            <w:shd w:val="clear" w:color="auto" w:fill="FFFFFF"/>
            <w:vAlign w:val="center"/>
          </w:tcPr>
          <w:p>
            <w:pPr>
              <w:spacing w:before="80" w:after="80"/>
              <w:jc w:val="left"/>
            </w:pPr>
            <w:r>
              <w:rPr>
                <w:rFonts w:ascii="Calibri" w:hAnsi="Calibri"/>
                <w:b w:val="0"/>
                <w:color w:val="2D2D2D"/>
                <w:sz w:val="19"/>
              </w:rPr>
              <w:t>Validation, tableau de bord, statistiques d'équipe</w:t>
            </w:r>
          </w:p>
        </w:tc>
      </w:tr>
      <w:tr>
        <w:tc>
          <w:tcPr>
            <w:tcW w:type="dxa" w:w="1881"/>
            <w:shd w:val="clear" w:color="auto" w:fill="F5F7FA"/>
            <w:vAlign w:val="center"/>
          </w:tcPr>
          <w:p>
            <w:pPr>
              <w:spacing w:before="80" w:after="80"/>
              <w:jc w:val="left"/>
            </w:pPr>
            <w:r>
              <w:rPr>
                <w:rFonts w:ascii="Calibri" w:hAnsi="Calibri"/>
                <w:b/>
                <w:color w:val="00347C"/>
                <w:sz w:val="19"/>
              </w:rPr>
              <w:t>F04</w:t>
            </w:r>
          </w:p>
        </w:tc>
        <w:tc>
          <w:tcPr>
            <w:tcW w:type="dxa" w:w="1881"/>
            <w:shd w:val="clear" w:color="auto" w:fill="F5F7FA"/>
            <w:vAlign w:val="center"/>
          </w:tcPr>
          <w:p>
            <w:pPr>
              <w:spacing w:before="80" w:after="80"/>
              <w:jc w:val="left"/>
            </w:pPr>
            <w:r>
              <w:rPr>
                <w:rFonts w:ascii="Calibri" w:hAnsi="Calibri"/>
                <w:b w:val="0"/>
                <w:color w:val="2D2D2D"/>
                <w:sz w:val="19"/>
              </w:rPr>
              <w:t>Directeurs régionaux</w:t>
            </w:r>
          </w:p>
        </w:tc>
        <w:tc>
          <w:tcPr>
            <w:tcW w:type="dxa" w:w="1881"/>
            <w:shd w:val="clear" w:color="auto" w:fill="F5F7FA"/>
            <w:vAlign w:val="center"/>
          </w:tcPr>
          <w:p>
            <w:pPr>
              <w:spacing w:before="80" w:after="80"/>
              <w:jc w:val="left"/>
            </w:pPr>
            <w:r>
              <w:rPr>
                <w:rFonts w:ascii="Calibri" w:hAnsi="Calibri"/>
                <w:b w:val="0"/>
                <w:color w:val="2D2D2D"/>
                <w:sz w:val="19"/>
              </w:rPr>
              <w:t>1 jour</w:t>
            </w:r>
          </w:p>
        </w:tc>
        <w:tc>
          <w:tcPr>
            <w:tcW w:type="dxa" w:w="1881"/>
            <w:shd w:val="clear" w:color="auto" w:fill="F5F7FA"/>
            <w:vAlign w:val="center"/>
          </w:tcPr>
          <w:p>
            <w:pPr>
              <w:spacing w:before="80" w:after="80"/>
              <w:jc w:val="left"/>
            </w:pPr>
            <w:r>
              <w:rPr>
                <w:rFonts w:ascii="Calibri" w:hAnsi="Calibri"/>
                <w:b w:val="0"/>
                <w:color w:val="2D2D2D"/>
                <w:sz w:val="19"/>
              </w:rPr>
              <w:t>19 directeurs</w:t>
            </w:r>
          </w:p>
        </w:tc>
        <w:tc>
          <w:tcPr>
            <w:tcW w:type="dxa" w:w="1881"/>
            <w:shd w:val="clear" w:color="auto" w:fill="F5F7FA"/>
            <w:vAlign w:val="center"/>
          </w:tcPr>
          <w:p>
            <w:pPr>
              <w:spacing w:before="80" w:after="80"/>
              <w:jc w:val="left"/>
            </w:pPr>
            <w:r>
              <w:rPr>
                <w:rFonts w:ascii="Calibri" w:hAnsi="Calibri"/>
                <w:b w:val="0"/>
                <w:color w:val="2D2D2D"/>
                <w:sz w:val="19"/>
              </w:rPr>
              <w:t>Pilotage régional, indicateurs, approbation de dossiers complexes</w:t>
            </w:r>
          </w:p>
        </w:tc>
      </w:tr>
      <w:tr>
        <w:tc>
          <w:tcPr>
            <w:tcW w:type="dxa" w:w="1881"/>
            <w:shd w:val="clear" w:color="auto" w:fill="FFFFFF"/>
            <w:vAlign w:val="center"/>
          </w:tcPr>
          <w:p>
            <w:pPr>
              <w:spacing w:before="80" w:after="80"/>
              <w:jc w:val="left"/>
            </w:pPr>
            <w:r>
              <w:rPr>
                <w:rFonts w:ascii="Calibri" w:hAnsi="Calibri"/>
                <w:b/>
                <w:color w:val="00347C"/>
                <w:sz w:val="19"/>
              </w:rPr>
              <w:t>F05</w:t>
            </w:r>
          </w:p>
        </w:tc>
        <w:tc>
          <w:tcPr>
            <w:tcW w:type="dxa" w:w="1881"/>
            <w:shd w:val="clear" w:color="auto" w:fill="FFFFFF"/>
            <w:vAlign w:val="center"/>
          </w:tcPr>
          <w:p>
            <w:pPr>
              <w:spacing w:before="80" w:after="80"/>
              <w:jc w:val="left"/>
            </w:pPr>
            <w:r>
              <w:rPr>
                <w:rFonts w:ascii="Calibri" w:hAnsi="Calibri"/>
                <w:b w:val="0"/>
                <w:color w:val="2D2D2D"/>
                <w:sz w:val="19"/>
              </w:rPr>
              <w:t>Direction Générale</w:t>
            </w:r>
          </w:p>
        </w:tc>
        <w:tc>
          <w:tcPr>
            <w:tcW w:type="dxa" w:w="1881"/>
            <w:shd w:val="clear" w:color="auto" w:fill="FFFFFF"/>
            <w:vAlign w:val="center"/>
          </w:tcPr>
          <w:p>
            <w:pPr>
              <w:spacing w:before="80" w:after="80"/>
              <w:jc w:val="left"/>
            </w:pPr>
            <w:r>
              <w:rPr>
                <w:rFonts w:ascii="Calibri" w:hAnsi="Calibri"/>
                <w:b w:val="0"/>
                <w:color w:val="2D2D2D"/>
                <w:sz w:val="19"/>
              </w:rPr>
              <w:t>0,5 jour</w:t>
            </w:r>
          </w:p>
        </w:tc>
        <w:tc>
          <w:tcPr>
            <w:tcW w:type="dxa" w:w="1881"/>
            <w:shd w:val="clear" w:color="auto" w:fill="FFFFFF"/>
            <w:vAlign w:val="center"/>
          </w:tcPr>
          <w:p>
            <w:pPr>
              <w:spacing w:before="80" w:after="80"/>
              <w:jc w:val="left"/>
            </w:pPr>
            <w:r>
              <w:rPr>
                <w:rFonts w:ascii="Calibri" w:hAnsi="Calibri"/>
                <w:b w:val="0"/>
                <w:color w:val="2D2D2D"/>
                <w:sz w:val="19"/>
              </w:rPr>
              <w:t>DG + staff DG</w:t>
            </w:r>
          </w:p>
        </w:tc>
        <w:tc>
          <w:tcPr>
            <w:tcW w:type="dxa" w:w="1881"/>
            <w:shd w:val="clear" w:color="auto" w:fill="FFFFFF"/>
            <w:vAlign w:val="center"/>
          </w:tcPr>
          <w:p>
            <w:pPr>
              <w:spacing w:before="80" w:after="80"/>
              <w:jc w:val="left"/>
            </w:pPr>
            <w:r>
              <w:rPr>
                <w:rFonts w:ascii="Calibri" w:hAnsi="Calibri"/>
                <w:b w:val="0"/>
                <w:color w:val="2D2D2D"/>
                <w:sz w:val="19"/>
              </w:rPr>
              <w:t>Observatoire national, tableaux de bord stratégiques, exports OIT</w:t>
            </w:r>
          </w:p>
        </w:tc>
      </w:tr>
      <w:tr>
        <w:tc>
          <w:tcPr>
            <w:tcW w:type="dxa" w:w="1881"/>
            <w:shd w:val="clear" w:color="auto" w:fill="F5F7FA"/>
            <w:vAlign w:val="center"/>
          </w:tcPr>
          <w:p>
            <w:pPr>
              <w:spacing w:before="80" w:after="80"/>
              <w:jc w:val="left"/>
            </w:pPr>
            <w:r>
              <w:rPr>
                <w:rFonts w:ascii="Calibri" w:hAnsi="Calibri"/>
                <w:b/>
                <w:color w:val="00347C"/>
                <w:sz w:val="19"/>
              </w:rPr>
              <w:t>F06</w:t>
            </w:r>
          </w:p>
        </w:tc>
        <w:tc>
          <w:tcPr>
            <w:tcW w:type="dxa" w:w="1881"/>
            <w:shd w:val="clear" w:color="auto" w:fill="F5F7FA"/>
            <w:vAlign w:val="center"/>
          </w:tcPr>
          <w:p>
            <w:pPr>
              <w:spacing w:before="80" w:after="80"/>
              <w:jc w:val="left"/>
            </w:pPr>
            <w:r>
              <w:rPr>
                <w:rFonts w:ascii="Calibri" w:hAnsi="Calibri"/>
                <w:b w:val="0"/>
                <w:color w:val="2D2D2D"/>
                <w:sz w:val="19"/>
              </w:rPr>
              <w:t>Agents guichet plaintes</w:t>
            </w:r>
          </w:p>
        </w:tc>
        <w:tc>
          <w:tcPr>
            <w:tcW w:type="dxa" w:w="1881"/>
            <w:shd w:val="clear" w:color="auto" w:fill="F5F7FA"/>
            <w:vAlign w:val="center"/>
          </w:tcPr>
          <w:p>
            <w:pPr>
              <w:spacing w:before="80" w:after="80"/>
              <w:jc w:val="left"/>
            </w:pPr>
            <w:r>
              <w:rPr>
                <w:rFonts w:ascii="Calibri" w:hAnsi="Calibri"/>
                <w:b w:val="0"/>
                <w:color w:val="2D2D2D"/>
                <w:sz w:val="19"/>
              </w:rPr>
              <w:t>1 jour</w:t>
            </w:r>
          </w:p>
        </w:tc>
        <w:tc>
          <w:tcPr>
            <w:tcW w:type="dxa" w:w="1881"/>
            <w:shd w:val="clear" w:color="auto" w:fill="F5F7FA"/>
            <w:vAlign w:val="center"/>
          </w:tcPr>
          <w:p>
            <w:pPr>
              <w:spacing w:before="80" w:after="80"/>
              <w:jc w:val="left"/>
            </w:pPr>
            <w:r>
              <w:rPr>
                <w:rFonts w:ascii="Calibri" w:hAnsi="Calibri"/>
                <w:b w:val="0"/>
                <w:color w:val="2D2D2D"/>
                <w:sz w:val="19"/>
              </w:rPr>
              <w:t>60 agents</w:t>
            </w:r>
          </w:p>
        </w:tc>
        <w:tc>
          <w:tcPr>
            <w:tcW w:type="dxa" w:w="1881"/>
            <w:shd w:val="clear" w:color="auto" w:fill="F5F7FA"/>
            <w:vAlign w:val="center"/>
          </w:tcPr>
          <w:p>
            <w:pPr>
              <w:spacing w:before="80" w:after="80"/>
              <w:jc w:val="left"/>
            </w:pPr>
            <w:r>
              <w:rPr>
                <w:rFonts w:ascii="Calibri" w:hAnsi="Calibri"/>
                <w:b w:val="0"/>
                <w:color w:val="2D2D2D"/>
                <w:sz w:val="19"/>
              </w:rPr>
              <w:t>Réception et saisie des plaintes, gestion des PJ, communication plaignant</w:t>
            </w:r>
          </w:p>
        </w:tc>
      </w:tr>
      <w:tr>
        <w:tc>
          <w:tcPr>
            <w:tcW w:type="dxa" w:w="1881"/>
            <w:shd w:val="clear" w:color="auto" w:fill="FFFFFF"/>
            <w:vAlign w:val="center"/>
          </w:tcPr>
          <w:p>
            <w:pPr>
              <w:spacing w:before="80" w:after="80"/>
              <w:jc w:val="left"/>
            </w:pPr>
            <w:r>
              <w:rPr>
                <w:rFonts w:ascii="Calibri" w:hAnsi="Calibri"/>
                <w:b/>
                <w:color w:val="00347C"/>
                <w:sz w:val="19"/>
              </w:rPr>
              <w:t>F07</w:t>
            </w:r>
          </w:p>
        </w:tc>
        <w:tc>
          <w:tcPr>
            <w:tcW w:type="dxa" w:w="1881"/>
            <w:shd w:val="clear" w:color="auto" w:fill="FFFFFF"/>
            <w:vAlign w:val="center"/>
          </w:tcPr>
          <w:p>
            <w:pPr>
              <w:spacing w:before="80" w:after="80"/>
              <w:jc w:val="left"/>
            </w:pPr>
            <w:r>
              <w:rPr>
                <w:rFonts w:ascii="Calibri" w:hAnsi="Calibri"/>
                <w:b w:val="0"/>
                <w:color w:val="2D2D2D"/>
                <w:sz w:val="19"/>
              </w:rPr>
              <w:t>Médiateurs/Conciliateurs</w:t>
            </w:r>
          </w:p>
        </w:tc>
        <w:tc>
          <w:tcPr>
            <w:tcW w:type="dxa" w:w="1881"/>
            <w:shd w:val="clear" w:color="auto" w:fill="FFFFFF"/>
            <w:vAlign w:val="center"/>
          </w:tcPr>
          <w:p>
            <w:pPr>
              <w:spacing w:before="80" w:after="80"/>
              <w:jc w:val="left"/>
            </w:pPr>
            <w:r>
              <w:rPr>
                <w:rFonts w:ascii="Calibri" w:hAnsi="Calibri"/>
                <w:b w:val="0"/>
                <w:color w:val="2D2D2D"/>
                <w:sz w:val="19"/>
              </w:rPr>
              <w:t>1 jour</w:t>
            </w:r>
          </w:p>
        </w:tc>
        <w:tc>
          <w:tcPr>
            <w:tcW w:type="dxa" w:w="1881"/>
            <w:shd w:val="clear" w:color="auto" w:fill="FFFFFF"/>
            <w:vAlign w:val="center"/>
          </w:tcPr>
          <w:p>
            <w:pPr>
              <w:spacing w:before="80" w:after="80"/>
              <w:jc w:val="left"/>
            </w:pPr>
            <w:r>
              <w:rPr>
                <w:rFonts w:ascii="Calibri" w:hAnsi="Calibri"/>
                <w:b w:val="0"/>
                <w:color w:val="2D2D2D"/>
                <w:sz w:val="19"/>
              </w:rPr>
              <w:t>50 médiateurs</w:t>
            </w:r>
          </w:p>
        </w:tc>
        <w:tc>
          <w:tcPr>
            <w:tcW w:type="dxa" w:w="1881"/>
            <w:shd w:val="clear" w:color="auto" w:fill="FFFFFF"/>
            <w:vAlign w:val="center"/>
          </w:tcPr>
          <w:p>
            <w:pPr>
              <w:spacing w:before="80" w:after="80"/>
              <w:jc w:val="left"/>
            </w:pPr>
            <w:r>
              <w:rPr>
                <w:rFonts w:ascii="Calibri" w:hAnsi="Calibri"/>
                <w:b w:val="0"/>
                <w:color w:val="2D2D2D"/>
                <w:sz w:val="19"/>
              </w:rPr>
              <w:t>Module médiation, planification séances, génération PV</w:t>
            </w:r>
          </w:p>
        </w:tc>
      </w:tr>
      <w:tr>
        <w:tc>
          <w:tcPr>
            <w:tcW w:type="dxa" w:w="1881"/>
            <w:shd w:val="clear" w:color="auto" w:fill="F5F7FA"/>
            <w:vAlign w:val="center"/>
          </w:tcPr>
          <w:p>
            <w:pPr>
              <w:spacing w:before="80" w:after="80"/>
              <w:jc w:val="left"/>
            </w:pPr>
            <w:r>
              <w:rPr>
                <w:rFonts w:ascii="Calibri" w:hAnsi="Calibri"/>
                <w:b/>
                <w:color w:val="00347C"/>
                <w:sz w:val="19"/>
              </w:rPr>
              <w:t>F08</w:t>
            </w:r>
          </w:p>
        </w:tc>
        <w:tc>
          <w:tcPr>
            <w:tcW w:type="dxa" w:w="1881"/>
            <w:shd w:val="clear" w:color="auto" w:fill="F5F7FA"/>
            <w:vAlign w:val="center"/>
          </w:tcPr>
          <w:p>
            <w:pPr>
              <w:spacing w:before="80" w:after="80"/>
              <w:jc w:val="left"/>
            </w:pPr>
            <w:r>
              <w:rPr>
                <w:rFonts w:ascii="Calibri" w:hAnsi="Calibri"/>
                <w:b w:val="0"/>
                <w:color w:val="2D2D2D"/>
                <w:sz w:val="19"/>
              </w:rPr>
              <w:t>Formation des formateurs</w:t>
            </w:r>
          </w:p>
        </w:tc>
        <w:tc>
          <w:tcPr>
            <w:tcW w:type="dxa" w:w="1881"/>
            <w:shd w:val="clear" w:color="auto" w:fill="F5F7FA"/>
            <w:vAlign w:val="center"/>
          </w:tcPr>
          <w:p>
            <w:pPr>
              <w:spacing w:before="80" w:after="80"/>
              <w:jc w:val="left"/>
            </w:pPr>
            <w:r>
              <w:rPr>
                <w:rFonts w:ascii="Calibri" w:hAnsi="Calibri"/>
                <w:b w:val="0"/>
                <w:color w:val="2D2D2D"/>
                <w:sz w:val="19"/>
              </w:rPr>
              <w:t>2 jours</w:t>
            </w:r>
          </w:p>
        </w:tc>
        <w:tc>
          <w:tcPr>
            <w:tcW w:type="dxa" w:w="1881"/>
            <w:shd w:val="clear" w:color="auto" w:fill="F5F7FA"/>
            <w:vAlign w:val="center"/>
          </w:tcPr>
          <w:p>
            <w:pPr>
              <w:spacing w:before="80" w:after="80"/>
              <w:jc w:val="left"/>
            </w:pPr>
            <w:r>
              <w:rPr>
                <w:rFonts w:ascii="Calibri" w:hAnsi="Calibri"/>
                <w:b w:val="0"/>
                <w:color w:val="2D2D2D"/>
                <w:sz w:val="19"/>
              </w:rPr>
              <w:t>20 formateurs</w:t>
            </w:r>
          </w:p>
        </w:tc>
        <w:tc>
          <w:tcPr>
            <w:tcW w:type="dxa" w:w="1881"/>
            <w:shd w:val="clear" w:color="auto" w:fill="F5F7FA"/>
            <w:vAlign w:val="center"/>
          </w:tcPr>
          <w:p>
            <w:pPr>
              <w:spacing w:before="80" w:after="80"/>
              <w:jc w:val="left"/>
            </w:pPr>
            <w:r>
              <w:rPr>
                <w:rFonts w:ascii="Calibri" w:hAnsi="Calibri"/>
                <w:b w:val="0"/>
                <w:color w:val="2D2D2D"/>
                <w:sz w:val="19"/>
              </w:rPr>
              <w:t>Former les futurs formateurs internes de la DGT (pérennisation)</w:t>
            </w:r>
          </w:p>
        </w:tc>
      </w:tr>
    </w:tbl>
    <w:p>
      <w:pPr>
        <w:spacing w:before="200" w:after="80"/>
      </w:pPr>
      <w:r>
        <w:rPr>
          <w:rFonts w:ascii="Calibri" w:hAnsi="Calibri"/>
          <w:b/>
          <w:color w:val="0072C6"/>
          <w:sz w:val="24"/>
        </w:rPr>
        <w:t>8.2  Supports livrés</w:t>
      </w:r>
    </w:p>
    <w:p>
      <w:pPr>
        <w:pStyle w:val="ListBullet"/>
        <w:spacing w:before="40" w:after="40"/>
      </w:pPr>
      <w:r>
        <w:rPr>
          <w:rFonts w:ascii="Calibri" w:hAnsi="Calibri"/>
          <w:b w:val="0"/>
          <w:color w:val="2D2D2D"/>
          <w:sz w:val="21"/>
        </w:rPr>
        <w:t>Guide utilisateur illustré par profil (8 guides distincts, format PDF et web)</w:t>
      </w:r>
    </w:p>
    <w:p>
      <w:pPr>
        <w:pStyle w:val="ListBullet"/>
        <w:spacing w:before="40" w:after="40"/>
      </w:pPr>
      <w:r>
        <w:rPr>
          <w:rFonts w:ascii="Calibri" w:hAnsi="Calibri"/>
          <w:b w:val="0"/>
          <w:color w:val="2D2D2D"/>
          <w:sz w:val="21"/>
        </w:rPr>
        <w:t>Vidéos tutorielles pour les 5 fonctions principales (sous-titrées en Français)</w:t>
      </w:r>
    </w:p>
    <w:p>
      <w:pPr>
        <w:pStyle w:val="ListBullet"/>
        <w:spacing w:before="40" w:after="40"/>
      </w:pPr>
      <w:r>
        <w:rPr>
          <w:rFonts w:ascii="Calibri" w:hAnsi="Calibri"/>
          <w:b w:val="0"/>
          <w:color w:val="2D2D2D"/>
          <w:sz w:val="21"/>
        </w:rPr>
        <w:t>FAQ interactive accessible depuis la plateforme (mise à jour continue)</w:t>
      </w:r>
    </w:p>
    <w:p>
      <w:pPr>
        <w:pStyle w:val="ListBullet"/>
        <w:spacing w:before="40" w:after="40"/>
      </w:pPr>
      <w:r>
        <w:rPr>
          <w:rFonts w:ascii="Calibri" w:hAnsi="Calibri"/>
          <w:b w:val="0"/>
          <w:color w:val="2D2D2D"/>
          <w:sz w:val="21"/>
        </w:rPr>
        <w:t>Hotline dédiée pendant les 6 premiers mois post-déploiement</w:t>
      </w:r>
    </w:p>
    <w:p>
      <w:pPr>
        <w:pStyle w:val="ListBullet"/>
        <w:spacing w:before="40" w:after="40"/>
      </w:pPr>
      <w:r>
        <w:rPr>
          <w:rFonts w:ascii="Calibri" w:hAnsi="Calibri"/>
          <w:b w:val="0"/>
          <w:color w:val="2D2D2D"/>
          <w:sz w:val="21"/>
        </w:rPr>
        <w:t>Webinaires mensuels de suivi pendant 12 mois</w:t>
      </w:r>
    </w:p>
    <w:p>
      <w:r>
        <w:br w:type="page"/>
      </w:r>
    </w:p>
    <w:p>
      <w:pPr>
        <w:spacing w:before="0" w:after="120"/>
      </w:pPr>
      <w:r>
        <w:rPr>
          <w:rFonts w:ascii="Calibri" w:hAnsi="Calibri"/>
          <w:b/>
          <w:color w:val="00347C"/>
          <w:sz w:val="30"/>
        </w:rPr>
        <w:t>9.  OFFRE FINANCIÈRE DÉTAILLÉE</w:t>
      </w:r>
    </w:p>
    <w:p>
      <w:pPr>
        <w:pBdr>
          <w:bottom w:val="single" w:sz="6" w:space="1" w:color="00347C"/>
        </w:pBdr>
        <w:spacing w:before="20" w:after="40"/>
      </w:pPr>
    </w:p>
    <w:p>
      <w:pPr>
        <w:spacing w:before="60" w:after="60" w:line="360" w:lineRule="auto"/>
        <w:jc w:val="both"/>
      </w:pPr>
      <w:r>
        <w:rPr>
          <w:rFonts w:ascii="Calibri" w:hAnsi="Calibri"/>
          <w:i w:val="0"/>
          <w:color w:val="2D2D2D"/>
          <w:sz w:val="21"/>
        </w:rPr>
        <w:t>L'offre financière se compose d'un investissement initial couvrant la mise en œuvre complète sur 18 mois (licence, déploiement, formation, accompagnement, infrastructure), suivi d'un abonnement annuel de maintenance et d'exploitation. Tous les prix sont exprimés en Francs CFA (FCFA), hors taxes.</w:t>
      </w:r>
    </w:p>
    <w:p>
      <w:pPr>
        <w:spacing w:before="200" w:after="80"/>
      </w:pPr>
      <w:r>
        <w:rPr>
          <w:rFonts w:ascii="Calibri" w:hAnsi="Calibri"/>
          <w:b/>
          <w:color w:val="0072C6"/>
          <w:sz w:val="24"/>
        </w:rPr>
        <w:t>9.1  Détail de l'investissement initial (18 mois)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00347C"/>
          </w:tcPr>
          <w:p>
            <w:pPr>
              <w:spacing w:before="80" w:after="80"/>
              <w:jc w:val="left"/>
            </w:pPr>
            <w:r>
              <w:rPr>
                <w:rFonts w:ascii="Calibri" w:hAnsi="Calibri"/>
                <w:b/>
                <w:color w:val="FFFFFF"/>
                <w:sz w:val="18"/>
              </w:rPr>
              <w:t>Réf.</w:t>
            </w:r>
          </w:p>
        </w:tc>
        <w:tc>
          <w:tcPr>
            <w:tcW w:type="dxa" w:w="1568"/>
            <w:shd w:val="clear" w:color="auto" w:fill="00347C"/>
          </w:tcPr>
          <w:p>
            <w:pPr>
              <w:spacing w:before="80" w:after="80"/>
              <w:jc w:val="left"/>
            </w:pPr>
            <w:r>
              <w:rPr>
                <w:rFonts w:ascii="Calibri" w:hAnsi="Calibri"/>
                <w:b/>
                <w:color w:val="FFFFFF"/>
                <w:sz w:val="18"/>
              </w:rPr>
              <w:t>Prestation</w:t>
            </w:r>
          </w:p>
        </w:tc>
        <w:tc>
          <w:tcPr>
            <w:tcW w:type="dxa" w:w="1568"/>
            <w:shd w:val="clear" w:color="auto" w:fill="00347C"/>
          </w:tcPr>
          <w:p>
            <w:pPr>
              <w:spacing w:before="80" w:after="80"/>
              <w:jc w:val="left"/>
            </w:pPr>
            <w:r>
              <w:rPr>
                <w:rFonts w:ascii="Calibri" w:hAnsi="Calibri"/>
                <w:b/>
                <w:color w:val="FFFFFF"/>
                <w:sz w:val="18"/>
              </w:rPr>
              <w:t>Unité</w:t>
            </w:r>
          </w:p>
        </w:tc>
        <w:tc>
          <w:tcPr>
            <w:tcW w:type="dxa" w:w="1568"/>
            <w:shd w:val="clear" w:color="auto" w:fill="00347C"/>
          </w:tcPr>
          <w:p>
            <w:pPr>
              <w:spacing w:before="80" w:after="80"/>
              <w:jc w:val="left"/>
            </w:pPr>
            <w:r>
              <w:rPr>
                <w:rFonts w:ascii="Calibri" w:hAnsi="Calibri"/>
                <w:b/>
                <w:color w:val="FFFFFF"/>
                <w:sz w:val="18"/>
              </w:rPr>
              <w:t>Qté</w:t>
            </w:r>
          </w:p>
        </w:tc>
        <w:tc>
          <w:tcPr>
            <w:tcW w:type="dxa" w:w="1568"/>
            <w:shd w:val="clear" w:color="auto" w:fill="00347C"/>
          </w:tcPr>
          <w:p>
            <w:pPr>
              <w:spacing w:before="80" w:after="80"/>
              <w:jc w:val="right"/>
            </w:pPr>
            <w:r>
              <w:rPr>
                <w:rFonts w:ascii="Calibri" w:hAnsi="Calibri"/>
                <w:b/>
                <w:color w:val="FFFFFF"/>
                <w:sz w:val="18"/>
              </w:rPr>
              <w:t>P.U. HT (FCFA)</w:t>
            </w:r>
          </w:p>
        </w:tc>
        <w:tc>
          <w:tcPr>
            <w:tcW w:type="dxa" w:w="1568"/>
            <w:shd w:val="clear" w:color="auto" w:fill="00347C"/>
          </w:tcPr>
          <w:p>
            <w:pPr>
              <w:spacing w:before="80" w:after="80"/>
              <w:jc w:val="right"/>
            </w:pPr>
            <w:r>
              <w:rPr>
                <w:rFonts w:ascii="Calibri" w:hAnsi="Calibri"/>
                <w:b/>
                <w:color w:val="FFFFFF"/>
                <w:sz w:val="18"/>
              </w:rPr>
              <w:t>Total HT (FCFA)</w:t>
            </w:r>
          </w:p>
        </w:tc>
      </w:tr>
      <w:tr>
        <w:tc>
          <w:tcPr>
            <w:tcW w:type="dxa" w:w="1568"/>
            <w:shd w:val="clear" w:color="auto" w:fill="FFFFFF"/>
          </w:tcPr>
          <w:p>
            <w:pPr>
              <w:spacing w:before="80" w:after="80"/>
              <w:jc w:val="left"/>
            </w:pPr>
            <w:r>
              <w:rPr>
                <w:rFonts w:ascii="Calibri" w:hAnsi="Calibri"/>
                <w:b/>
                <w:color w:val="2D2D2D"/>
                <w:sz w:val="18"/>
              </w:rPr>
              <w:t>LOT-01</w:t>
            </w:r>
          </w:p>
        </w:tc>
        <w:tc>
          <w:tcPr>
            <w:tcW w:type="dxa" w:w="1568"/>
            <w:shd w:val="clear" w:color="auto" w:fill="FFFFFF"/>
          </w:tcPr>
          <w:p>
            <w:pPr>
              <w:spacing w:before="80" w:after="80"/>
              <w:jc w:val="left"/>
            </w:pPr>
            <w:r>
              <w:rPr>
                <w:rFonts w:ascii="Calibri" w:hAnsi="Calibri"/>
                <w:b w:val="0"/>
                <w:color w:val="2D2D2D"/>
                <w:sz w:val="18"/>
              </w:rPr>
              <w:t>Licence logicielle perpétuelle – Plateforme e-Inspection DGT CI</w:t>
            </w:r>
          </w:p>
        </w:tc>
        <w:tc>
          <w:tcPr>
            <w:tcW w:type="dxa" w:w="1568"/>
            <w:shd w:val="clear" w:color="auto" w:fill="FFFFFF"/>
          </w:tcPr>
          <w:p>
            <w:pPr>
              <w:spacing w:before="80" w:after="80"/>
              <w:jc w:val="left"/>
            </w:pPr>
            <w:r>
              <w:rPr>
                <w:rFonts w:ascii="Calibri" w:hAnsi="Calibri"/>
                <w:b w:val="0"/>
                <w:color w:val="2D2D2D"/>
                <w:sz w:val="18"/>
              </w:rPr>
              <w:t>Forfait</w:t>
            </w:r>
          </w:p>
        </w:tc>
        <w:tc>
          <w:tcPr>
            <w:tcW w:type="dxa" w:w="1568"/>
            <w:shd w:val="clear" w:color="auto" w:fill="FFFFFF"/>
          </w:tcPr>
          <w:p>
            <w:pPr>
              <w:spacing w:before="80" w:after="80"/>
              <w:jc w:val="left"/>
            </w:pPr>
            <w:r>
              <w:rPr>
                <w:rFonts w:ascii="Calibri" w:hAnsi="Calibri"/>
                <w:b w:val="0"/>
                <w:color w:val="2D2D2D"/>
                <w:sz w:val="18"/>
              </w:rPr>
              <w:t>1</w:t>
            </w:r>
          </w:p>
        </w:tc>
        <w:tc>
          <w:tcPr>
            <w:tcW w:type="dxa" w:w="1568"/>
            <w:shd w:val="clear" w:color="auto" w:fill="FFFFFF"/>
          </w:tcPr>
          <w:p>
            <w:pPr>
              <w:spacing w:before="80" w:after="80"/>
              <w:jc w:val="right"/>
            </w:pPr>
            <w:r>
              <w:rPr>
                <w:rFonts w:ascii="Calibri" w:hAnsi="Calibri"/>
                <w:b w:val="0"/>
                <w:color w:val="2D2D2D"/>
                <w:sz w:val="18"/>
              </w:rPr>
              <w:t>18 000 000</w:t>
            </w:r>
          </w:p>
        </w:tc>
        <w:tc>
          <w:tcPr>
            <w:tcW w:type="dxa" w:w="1568"/>
            <w:shd w:val="clear" w:color="auto" w:fill="FFFFFF"/>
          </w:tcPr>
          <w:p>
            <w:pPr>
              <w:spacing w:before="80" w:after="80"/>
              <w:jc w:val="right"/>
            </w:pPr>
            <w:r>
              <w:rPr>
                <w:rFonts w:ascii="Calibri" w:hAnsi="Calibri"/>
                <w:b w:val="0"/>
                <w:color w:val="2D2D2D"/>
                <w:sz w:val="18"/>
              </w:rPr>
              <w:t>18 000 000</w:t>
            </w:r>
          </w:p>
        </w:tc>
      </w:tr>
      <w:tr>
        <w:tc>
          <w:tcPr>
            <w:tcW w:type="dxa" w:w="1568"/>
            <w:shd w:val="clear" w:color="auto" w:fill="F5F7FA"/>
          </w:tcPr>
          <w:p>
            <w:pPr>
              <w:spacing w:before="80" w:after="80"/>
              <w:jc w:val="left"/>
            </w:pPr>
            <w:r>
              <w:rPr>
                <w:rFonts w:ascii="Calibri" w:hAnsi="Calibri"/>
                <w:b/>
                <w:color w:val="2D2D2D"/>
                <w:sz w:val="18"/>
              </w:rPr>
              <w:t>LOT-02</w:t>
            </w:r>
          </w:p>
        </w:tc>
        <w:tc>
          <w:tcPr>
            <w:tcW w:type="dxa" w:w="1568"/>
            <w:shd w:val="clear" w:color="auto" w:fill="F5F7FA"/>
          </w:tcPr>
          <w:p>
            <w:pPr>
              <w:spacing w:before="80" w:after="80"/>
              <w:jc w:val="left"/>
            </w:pPr>
            <w:r>
              <w:rPr>
                <w:rFonts w:ascii="Calibri" w:hAnsi="Calibri"/>
                <w:b w:val="0"/>
                <w:color w:val="2D2D2D"/>
                <w:sz w:val="18"/>
              </w:rPr>
              <w:t>Développement et personnalisation spécifique DGT-CI</w:t>
            </w:r>
          </w:p>
        </w:tc>
        <w:tc>
          <w:tcPr>
            <w:tcW w:type="dxa" w:w="1568"/>
            <w:shd w:val="clear" w:color="auto" w:fill="F5F7FA"/>
          </w:tcPr>
          <w:p>
            <w:pPr>
              <w:spacing w:before="80" w:after="80"/>
              <w:jc w:val="left"/>
            </w:pPr>
            <w:r>
              <w:rPr>
                <w:rFonts w:ascii="Calibri" w:hAnsi="Calibri"/>
                <w:b w:val="0"/>
                <w:color w:val="2D2D2D"/>
                <w:sz w:val="18"/>
              </w:rPr>
              <w:t>Forfait</w:t>
            </w:r>
          </w:p>
        </w:tc>
        <w:tc>
          <w:tcPr>
            <w:tcW w:type="dxa" w:w="1568"/>
            <w:shd w:val="clear" w:color="auto" w:fill="F5F7FA"/>
          </w:tcPr>
          <w:p>
            <w:pPr>
              <w:spacing w:before="80" w:after="80"/>
              <w:jc w:val="left"/>
            </w:pPr>
            <w:r>
              <w:rPr>
                <w:rFonts w:ascii="Calibri" w:hAnsi="Calibri"/>
                <w:b w:val="0"/>
                <w:color w:val="2D2D2D"/>
                <w:sz w:val="18"/>
              </w:rPr>
              <w:t>1</w:t>
            </w:r>
          </w:p>
        </w:tc>
        <w:tc>
          <w:tcPr>
            <w:tcW w:type="dxa" w:w="1568"/>
            <w:shd w:val="clear" w:color="auto" w:fill="F5F7FA"/>
          </w:tcPr>
          <w:p>
            <w:pPr>
              <w:spacing w:before="80" w:after="80"/>
              <w:jc w:val="right"/>
            </w:pPr>
            <w:r>
              <w:rPr>
                <w:rFonts w:ascii="Calibri" w:hAnsi="Calibri"/>
                <w:b w:val="0"/>
                <w:color w:val="2D2D2D"/>
                <w:sz w:val="18"/>
              </w:rPr>
              <w:t>10 000 000</w:t>
            </w:r>
          </w:p>
        </w:tc>
        <w:tc>
          <w:tcPr>
            <w:tcW w:type="dxa" w:w="1568"/>
            <w:shd w:val="clear" w:color="auto" w:fill="F5F7FA"/>
          </w:tcPr>
          <w:p>
            <w:pPr>
              <w:spacing w:before="80" w:after="80"/>
              <w:jc w:val="right"/>
            </w:pPr>
            <w:r>
              <w:rPr>
                <w:rFonts w:ascii="Calibri" w:hAnsi="Calibri"/>
                <w:b w:val="0"/>
                <w:color w:val="2D2D2D"/>
                <w:sz w:val="18"/>
              </w:rPr>
              <w:t>10 000 000</w:t>
            </w:r>
          </w:p>
        </w:tc>
      </w:tr>
      <w:tr>
        <w:tc>
          <w:tcPr>
            <w:tcW w:type="dxa" w:w="1568"/>
            <w:shd w:val="clear" w:color="auto" w:fill="FFFFFF"/>
          </w:tcPr>
          <w:p>
            <w:pPr>
              <w:spacing w:before="80" w:after="80"/>
              <w:jc w:val="left"/>
            </w:pPr>
            <w:r>
              <w:rPr>
                <w:rFonts w:ascii="Calibri" w:hAnsi="Calibri"/>
                <w:b/>
                <w:color w:val="2D2D2D"/>
                <w:sz w:val="18"/>
              </w:rPr>
              <w:t>LOT-03</w:t>
            </w:r>
          </w:p>
        </w:tc>
        <w:tc>
          <w:tcPr>
            <w:tcW w:type="dxa" w:w="1568"/>
            <w:shd w:val="clear" w:color="auto" w:fill="FFFFFF"/>
          </w:tcPr>
          <w:p>
            <w:pPr>
              <w:spacing w:before="80" w:after="80"/>
              <w:jc w:val="left"/>
            </w:pPr>
            <w:r>
              <w:rPr>
                <w:rFonts w:ascii="Calibri" w:hAnsi="Calibri"/>
                <w:b w:val="0"/>
                <w:color w:val="2D2D2D"/>
                <w:sz w:val="18"/>
              </w:rPr>
              <w:t>Intégration IA (chatbot juridique CI + OCR + transcription)</w:t>
            </w:r>
          </w:p>
        </w:tc>
        <w:tc>
          <w:tcPr>
            <w:tcW w:type="dxa" w:w="1568"/>
            <w:shd w:val="clear" w:color="auto" w:fill="FFFFFF"/>
          </w:tcPr>
          <w:p>
            <w:pPr>
              <w:spacing w:before="80" w:after="80"/>
              <w:jc w:val="left"/>
            </w:pPr>
            <w:r>
              <w:rPr>
                <w:rFonts w:ascii="Calibri" w:hAnsi="Calibri"/>
                <w:b w:val="0"/>
                <w:color w:val="2D2D2D"/>
                <w:sz w:val="18"/>
              </w:rPr>
              <w:t>Forfait</w:t>
            </w:r>
          </w:p>
        </w:tc>
        <w:tc>
          <w:tcPr>
            <w:tcW w:type="dxa" w:w="1568"/>
            <w:shd w:val="clear" w:color="auto" w:fill="FFFFFF"/>
          </w:tcPr>
          <w:p>
            <w:pPr>
              <w:spacing w:before="80" w:after="80"/>
              <w:jc w:val="left"/>
            </w:pPr>
            <w:r>
              <w:rPr>
                <w:rFonts w:ascii="Calibri" w:hAnsi="Calibri"/>
                <w:b w:val="0"/>
                <w:color w:val="2D2D2D"/>
                <w:sz w:val="18"/>
              </w:rPr>
              <w:t>1</w:t>
            </w:r>
          </w:p>
        </w:tc>
        <w:tc>
          <w:tcPr>
            <w:tcW w:type="dxa" w:w="1568"/>
            <w:shd w:val="clear" w:color="auto" w:fill="FFFFFF"/>
          </w:tcPr>
          <w:p>
            <w:pPr>
              <w:spacing w:before="80" w:after="80"/>
              <w:jc w:val="right"/>
            </w:pPr>
            <w:r>
              <w:rPr>
                <w:rFonts w:ascii="Calibri" w:hAnsi="Calibri"/>
                <w:b w:val="0"/>
                <w:color w:val="2D2D2D"/>
                <w:sz w:val="18"/>
              </w:rPr>
              <w:t>6 500 000</w:t>
            </w:r>
          </w:p>
        </w:tc>
        <w:tc>
          <w:tcPr>
            <w:tcW w:type="dxa" w:w="1568"/>
            <w:shd w:val="clear" w:color="auto" w:fill="FFFFFF"/>
          </w:tcPr>
          <w:p>
            <w:pPr>
              <w:spacing w:before="80" w:after="80"/>
              <w:jc w:val="right"/>
            </w:pPr>
            <w:r>
              <w:rPr>
                <w:rFonts w:ascii="Calibri" w:hAnsi="Calibri"/>
                <w:b w:val="0"/>
                <w:color w:val="2D2D2D"/>
                <w:sz w:val="18"/>
              </w:rPr>
              <w:t>6 500 000</w:t>
            </w:r>
          </w:p>
        </w:tc>
      </w:tr>
      <w:tr>
        <w:tc>
          <w:tcPr>
            <w:tcW w:type="dxa" w:w="1568"/>
            <w:shd w:val="clear" w:color="auto" w:fill="F5F7FA"/>
          </w:tcPr>
          <w:p>
            <w:pPr>
              <w:spacing w:before="80" w:after="80"/>
              <w:jc w:val="left"/>
            </w:pPr>
            <w:r>
              <w:rPr>
                <w:rFonts w:ascii="Calibri" w:hAnsi="Calibri"/>
                <w:b/>
                <w:color w:val="2D2D2D"/>
                <w:sz w:val="18"/>
              </w:rPr>
              <w:t>LOT-04</w:t>
            </w:r>
          </w:p>
        </w:tc>
        <w:tc>
          <w:tcPr>
            <w:tcW w:type="dxa" w:w="1568"/>
            <w:shd w:val="clear" w:color="auto" w:fill="F5F7FA"/>
          </w:tcPr>
          <w:p>
            <w:pPr>
              <w:spacing w:before="80" w:after="80"/>
              <w:jc w:val="left"/>
            </w:pPr>
            <w:r>
              <w:rPr>
                <w:rFonts w:ascii="Calibri" w:hAnsi="Calibri"/>
                <w:b w:val="0"/>
                <w:color w:val="2D2D2D"/>
                <w:sz w:val="18"/>
              </w:rPr>
              <w:t>Application mobile iOS et Android (React Native)</w:t>
            </w:r>
          </w:p>
        </w:tc>
        <w:tc>
          <w:tcPr>
            <w:tcW w:type="dxa" w:w="1568"/>
            <w:shd w:val="clear" w:color="auto" w:fill="F5F7FA"/>
          </w:tcPr>
          <w:p>
            <w:pPr>
              <w:spacing w:before="80" w:after="80"/>
              <w:jc w:val="left"/>
            </w:pPr>
            <w:r>
              <w:rPr>
                <w:rFonts w:ascii="Calibri" w:hAnsi="Calibri"/>
                <w:b w:val="0"/>
                <w:color w:val="2D2D2D"/>
                <w:sz w:val="18"/>
              </w:rPr>
              <w:t>Forfait</w:t>
            </w:r>
          </w:p>
        </w:tc>
        <w:tc>
          <w:tcPr>
            <w:tcW w:type="dxa" w:w="1568"/>
            <w:shd w:val="clear" w:color="auto" w:fill="F5F7FA"/>
          </w:tcPr>
          <w:p>
            <w:pPr>
              <w:spacing w:before="80" w:after="80"/>
              <w:jc w:val="left"/>
            </w:pPr>
            <w:r>
              <w:rPr>
                <w:rFonts w:ascii="Calibri" w:hAnsi="Calibri"/>
                <w:b w:val="0"/>
                <w:color w:val="2D2D2D"/>
                <w:sz w:val="18"/>
              </w:rPr>
              <w:t>1</w:t>
            </w:r>
          </w:p>
        </w:tc>
        <w:tc>
          <w:tcPr>
            <w:tcW w:type="dxa" w:w="1568"/>
            <w:shd w:val="clear" w:color="auto" w:fill="F5F7FA"/>
          </w:tcPr>
          <w:p>
            <w:pPr>
              <w:spacing w:before="80" w:after="80"/>
              <w:jc w:val="right"/>
            </w:pPr>
            <w:r>
              <w:rPr>
                <w:rFonts w:ascii="Calibri" w:hAnsi="Calibri"/>
                <w:b w:val="0"/>
                <w:color w:val="2D2D2D"/>
                <w:sz w:val="18"/>
              </w:rPr>
              <w:t>7 000 000</w:t>
            </w:r>
          </w:p>
        </w:tc>
        <w:tc>
          <w:tcPr>
            <w:tcW w:type="dxa" w:w="1568"/>
            <w:shd w:val="clear" w:color="auto" w:fill="F5F7FA"/>
          </w:tcPr>
          <w:p>
            <w:pPr>
              <w:spacing w:before="80" w:after="80"/>
              <w:jc w:val="right"/>
            </w:pPr>
            <w:r>
              <w:rPr>
                <w:rFonts w:ascii="Calibri" w:hAnsi="Calibri"/>
                <w:b w:val="0"/>
                <w:color w:val="2D2D2D"/>
                <w:sz w:val="18"/>
              </w:rPr>
              <w:t>7 000 000</w:t>
            </w:r>
          </w:p>
        </w:tc>
      </w:tr>
      <w:tr>
        <w:tc>
          <w:tcPr>
            <w:tcW w:type="dxa" w:w="1568"/>
            <w:shd w:val="clear" w:color="auto" w:fill="FFFFFF"/>
          </w:tcPr>
          <w:p>
            <w:pPr>
              <w:spacing w:before="80" w:after="80"/>
              <w:jc w:val="left"/>
            </w:pPr>
            <w:r>
              <w:rPr>
                <w:rFonts w:ascii="Calibri" w:hAnsi="Calibri"/>
                <w:b/>
                <w:color w:val="2D2D2D"/>
                <w:sz w:val="18"/>
              </w:rPr>
              <w:t>LOT-05</w:t>
            </w:r>
          </w:p>
        </w:tc>
        <w:tc>
          <w:tcPr>
            <w:tcW w:type="dxa" w:w="1568"/>
            <w:shd w:val="clear" w:color="auto" w:fill="FFFFFF"/>
          </w:tcPr>
          <w:p>
            <w:pPr>
              <w:spacing w:before="80" w:after="80"/>
              <w:jc w:val="left"/>
            </w:pPr>
            <w:r>
              <w:rPr>
                <w:rFonts w:ascii="Calibri" w:hAnsi="Calibri"/>
                <w:b w:val="0"/>
                <w:color w:val="2D2D2D"/>
                <w:sz w:val="18"/>
              </w:rPr>
              <w:t>Déploiement et configuration infrastructure cloud</w:t>
            </w:r>
          </w:p>
        </w:tc>
        <w:tc>
          <w:tcPr>
            <w:tcW w:type="dxa" w:w="1568"/>
            <w:shd w:val="clear" w:color="auto" w:fill="FFFFFF"/>
          </w:tcPr>
          <w:p>
            <w:pPr>
              <w:spacing w:before="80" w:after="80"/>
              <w:jc w:val="left"/>
            </w:pPr>
            <w:r>
              <w:rPr>
                <w:rFonts w:ascii="Calibri" w:hAnsi="Calibri"/>
                <w:b w:val="0"/>
                <w:color w:val="2D2D2D"/>
                <w:sz w:val="18"/>
              </w:rPr>
              <w:t>Forfait</w:t>
            </w:r>
          </w:p>
        </w:tc>
        <w:tc>
          <w:tcPr>
            <w:tcW w:type="dxa" w:w="1568"/>
            <w:shd w:val="clear" w:color="auto" w:fill="FFFFFF"/>
          </w:tcPr>
          <w:p>
            <w:pPr>
              <w:spacing w:before="80" w:after="80"/>
              <w:jc w:val="left"/>
            </w:pPr>
            <w:r>
              <w:rPr>
                <w:rFonts w:ascii="Calibri" w:hAnsi="Calibri"/>
                <w:b w:val="0"/>
                <w:color w:val="2D2D2D"/>
                <w:sz w:val="18"/>
              </w:rPr>
              <w:t>1</w:t>
            </w:r>
          </w:p>
        </w:tc>
        <w:tc>
          <w:tcPr>
            <w:tcW w:type="dxa" w:w="1568"/>
            <w:shd w:val="clear" w:color="auto" w:fill="FFFFFF"/>
          </w:tcPr>
          <w:p>
            <w:pPr>
              <w:spacing w:before="80" w:after="80"/>
              <w:jc w:val="right"/>
            </w:pPr>
            <w:r>
              <w:rPr>
                <w:rFonts w:ascii="Calibri" w:hAnsi="Calibri"/>
                <w:b w:val="0"/>
                <w:color w:val="2D2D2D"/>
                <w:sz w:val="18"/>
              </w:rPr>
              <w:t>4 000 000</w:t>
            </w:r>
          </w:p>
        </w:tc>
        <w:tc>
          <w:tcPr>
            <w:tcW w:type="dxa" w:w="1568"/>
            <w:shd w:val="clear" w:color="auto" w:fill="FFFFFF"/>
          </w:tcPr>
          <w:p>
            <w:pPr>
              <w:spacing w:before="80" w:after="80"/>
              <w:jc w:val="right"/>
            </w:pPr>
            <w:r>
              <w:rPr>
                <w:rFonts w:ascii="Calibri" w:hAnsi="Calibri"/>
                <w:b w:val="0"/>
                <w:color w:val="2D2D2D"/>
                <w:sz w:val="18"/>
              </w:rPr>
              <w:t>4 000 000</w:t>
            </w:r>
          </w:p>
        </w:tc>
      </w:tr>
      <w:tr>
        <w:tc>
          <w:tcPr>
            <w:tcW w:type="dxa" w:w="1568"/>
            <w:shd w:val="clear" w:color="auto" w:fill="F5F7FA"/>
          </w:tcPr>
          <w:p>
            <w:pPr>
              <w:spacing w:before="80" w:after="80"/>
              <w:jc w:val="left"/>
            </w:pPr>
            <w:r>
              <w:rPr>
                <w:rFonts w:ascii="Calibri" w:hAnsi="Calibri"/>
                <w:b/>
                <w:color w:val="2D2D2D"/>
                <w:sz w:val="18"/>
              </w:rPr>
              <w:t>LOT-06</w:t>
            </w:r>
          </w:p>
        </w:tc>
        <w:tc>
          <w:tcPr>
            <w:tcW w:type="dxa" w:w="1568"/>
            <w:shd w:val="clear" w:color="auto" w:fill="F5F7FA"/>
          </w:tcPr>
          <w:p>
            <w:pPr>
              <w:spacing w:before="80" w:after="80"/>
              <w:jc w:val="left"/>
            </w:pPr>
            <w:r>
              <w:rPr>
                <w:rFonts w:ascii="Calibri" w:hAnsi="Calibri"/>
                <w:b w:val="0"/>
                <w:color w:val="2D2D2D"/>
                <w:sz w:val="18"/>
              </w:rPr>
              <w:t>Migration et import des données existantes (RCCM, CNPS, agents)</w:t>
            </w:r>
          </w:p>
        </w:tc>
        <w:tc>
          <w:tcPr>
            <w:tcW w:type="dxa" w:w="1568"/>
            <w:shd w:val="clear" w:color="auto" w:fill="F5F7FA"/>
          </w:tcPr>
          <w:p>
            <w:pPr>
              <w:spacing w:before="80" w:after="80"/>
              <w:jc w:val="left"/>
            </w:pPr>
            <w:r>
              <w:rPr>
                <w:rFonts w:ascii="Calibri" w:hAnsi="Calibri"/>
                <w:b w:val="0"/>
                <w:color w:val="2D2D2D"/>
                <w:sz w:val="18"/>
              </w:rPr>
              <w:t>Forfait</w:t>
            </w:r>
          </w:p>
        </w:tc>
        <w:tc>
          <w:tcPr>
            <w:tcW w:type="dxa" w:w="1568"/>
            <w:shd w:val="clear" w:color="auto" w:fill="F5F7FA"/>
          </w:tcPr>
          <w:p>
            <w:pPr>
              <w:spacing w:before="80" w:after="80"/>
              <w:jc w:val="left"/>
            </w:pPr>
            <w:r>
              <w:rPr>
                <w:rFonts w:ascii="Calibri" w:hAnsi="Calibri"/>
                <w:b w:val="0"/>
                <w:color w:val="2D2D2D"/>
                <w:sz w:val="18"/>
              </w:rPr>
              <w:t>1</w:t>
            </w:r>
          </w:p>
        </w:tc>
        <w:tc>
          <w:tcPr>
            <w:tcW w:type="dxa" w:w="1568"/>
            <w:shd w:val="clear" w:color="auto" w:fill="F5F7FA"/>
          </w:tcPr>
          <w:p>
            <w:pPr>
              <w:spacing w:before="80" w:after="80"/>
              <w:jc w:val="right"/>
            </w:pPr>
            <w:r>
              <w:rPr>
                <w:rFonts w:ascii="Calibri" w:hAnsi="Calibri"/>
                <w:b w:val="0"/>
                <w:color w:val="2D2D2D"/>
                <w:sz w:val="18"/>
              </w:rPr>
              <w:t>3 500 000</w:t>
            </w:r>
          </w:p>
        </w:tc>
        <w:tc>
          <w:tcPr>
            <w:tcW w:type="dxa" w:w="1568"/>
            <w:shd w:val="clear" w:color="auto" w:fill="F5F7FA"/>
          </w:tcPr>
          <w:p>
            <w:pPr>
              <w:spacing w:before="80" w:after="80"/>
              <w:jc w:val="right"/>
            </w:pPr>
            <w:r>
              <w:rPr>
                <w:rFonts w:ascii="Calibri" w:hAnsi="Calibri"/>
                <w:b w:val="0"/>
                <w:color w:val="2D2D2D"/>
                <w:sz w:val="18"/>
              </w:rPr>
              <w:t>3 500 000</w:t>
            </w:r>
          </w:p>
        </w:tc>
      </w:tr>
      <w:tr>
        <w:tc>
          <w:tcPr>
            <w:tcW w:type="dxa" w:w="1568"/>
            <w:shd w:val="clear" w:color="auto" w:fill="FFFFFF"/>
          </w:tcPr>
          <w:p>
            <w:pPr>
              <w:spacing w:before="80" w:after="80"/>
              <w:jc w:val="left"/>
            </w:pPr>
            <w:r>
              <w:rPr>
                <w:rFonts w:ascii="Calibri" w:hAnsi="Calibri"/>
                <w:b/>
                <w:color w:val="2D2D2D"/>
                <w:sz w:val="18"/>
              </w:rPr>
              <w:t>LOT-07</w:t>
            </w:r>
          </w:p>
        </w:tc>
        <w:tc>
          <w:tcPr>
            <w:tcW w:type="dxa" w:w="1568"/>
            <w:shd w:val="clear" w:color="auto" w:fill="FFFFFF"/>
          </w:tcPr>
          <w:p>
            <w:pPr>
              <w:spacing w:before="80" w:after="80"/>
              <w:jc w:val="left"/>
            </w:pPr>
            <w:r>
              <w:rPr>
                <w:rFonts w:ascii="Calibri" w:hAnsi="Calibri"/>
                <w:b w:val="0"/>
                <w:color w:val="2D2D2D"/>
                <w:sz w:val="18"/>
              </w:rPr>
              <w:t>Interconnexion CNPS (API temps réel)</w:t>
            </w:r>
          </w:p>
        </w:tc>
        <w:tc>
          <w:tcPr>
            <w:tcW w:type="dxa" w:w="1568"/>
            <w:shd w:val="clear" w:color="auto" w:fill="FFFFFF"/>
          </w:tcPr>
          <w:p>
            <w:pPr>
              <w:spacing w:before="80" w:after="80"/>
              <w:jc w:val="left"/>
            </w:pPr>
            <w:r>
              <w:rPr>
                <w:rFonts w:ascii="Calibri" w:hAnsi="Calibri"/>
                <w:b w:val="0"/>
                <w:color w:val="2D2D2D"/>
                <w:sz w:val="18"/>
              </w:rPr>
              <w:t>Forfait</w:t>
            </w:r>
          </w:p>
        </w:tc>
        <w:tc>
          <w:tcPr>
            <w:tcW w:type="dxa" w:w="1568"/>
            <w:shd w:val="clear" w:color="auto" w:fill="FFFFFF"/>
          </w:tcPr>
          <w:p>
            <w:pPr>
              <w:spacing w:before="80" w:after="80"/>
              <w:jc w:val="left"/>
            </w:pPr>
            <w:r>
              <w:rPr>
                <w:rFonts w:ascii="Calibri" w:hAnsi="Calibri"/>
                <w:b w:val="0"/>
                <w:color w:val="2D2D2D"/>
                <w:sz w:val="18"/>
              </w:rPr>
              <w:t>1</w:t>
            </w:r>
          </w:p>
        </w:tc>
        <w:tc>
          <w:tcPr>
            <w:tcW w:type="dxa" w:w="1568"/>
            <w:shd w:val="clear" w:color="auto" w:fill="FFFFFF"/>
          </w:tcPr>
          <w:p>
            <w:pPr>
              <w:spacing w:before="80" w:after="80"/>
              <w:jc w:val="right"/>
            </w:pPr>
            <w:r>
              <w:rPr>
                <w:rFonts w:ascii="Calibri" w:hAnsi="Calibri"/>
                <w:b w:val="0"/>
                <w:color w:val="2D2D2D"/>
                <w:sz w:val="18"/>
              </w:rPr>
              <w:t>4 500 000</w:t>
            </w:r>
          </w:p>
        </w:tc>
        <w:tc>
          <w:tcPr>
            <w:tcW w:type="dxa" w:w="1568"/>
            <w:shd w:val="clear" w:color="auto" w:fill="FFFFFF"/>
          </w:tcPr>
          <w:p>
            <w:pPr>
              <w:spacing w:before="80" w:after="80"/>
              <w:jc w:val="right"/>
            </w:pPr>
            <w:r>
              <w:rPr>
                <w:rFonts w:ascii="Calibri" w:hAnsi="Calibri"/>
                <w:b w:val="0"/>
                <w:color w:val="2D2D2D"/>
                <w:sz w:val="18"/>
              </w:rPr>
              <w:t>4 500 000</w:t>
            </w:r>
          </w:p>
        </w:tc>
      </w:tr>
      <w:tr>
        <w:tc>
          <w:tcPr>
            <w:tcW w:type="dxa" w:w="1568"/>
            <w:shd w:val="clear" w:color="auto" w:fill="F5F7FA"/>
          </w:tcPr>
          <w:p>
            <w:pPr>
              <w:spacing w:before="80" w:after="80"/>
              <w:jc w:val="left"/>
            </w:pPr>
            <w:r>
              <w:rPr>
                <w:rFonts w:ascii="Calibri" w:hAnsi="Calibri"/>
                <w:b/>
                <w:color w:val="2D2D2D"/>
                <w:sz w:val="18"/>
              </w:rPr>
              <w:t>LOT-08</w:t>
            </w:r>
          </w:p>
        </w:tc>
        <w:tc>
          <w:tcPr>
            <w:tcW w:type="dxa" w:w="1568"/>
            <w:shd w:val="clear" w:color="auto" w:fill="F5F7FA"/>
          </w:tcPr>
          <w:p>
            <w:pPr>
              <w:spacing w:before="80" w:after="80"/>
              <w:jc w:val="left"/>
            </w:pPr>
            <w:r>
              <w:rPr>
                <w:rFonts w:ascii="Calibri" w:hAnsi="Calibri"/>
                <w:b w:val="0"/>
                <w:color w:val="2D2D2D"/>
                <w:sz w:val="18"/>
              </w:rPr>
              <w:t>Formation – F01 (Admins IT)</w:t>
            </w:r>
          </w:p>
        </w:tc>
        <w:tc>
          <w:tcPr>
            <w:tcW w:type="dxa" w:w="1568"/>
            <w:shd w:val="clear" w:color="auto" w:fill="F5F7FA"/>
          </w:tcPr>
          <w:p>
            <w:pPr>
              <w:spacing w:before="80" w:after="80"/>
              <w:jc w:val="left"/>
            </w:pPr>
            <w:r>
              <w:rPr>
                <w:rFonts w:ascii="Calibri" w:hAnsi="Calibri"/>
                <w:b w:val="0"/>
                <w:color w:val="2D2D2D"/>
                <w:sz w:val="18"/>
              </w:rPr>
              <w:t>Session</w:t>
            </w:r>
          </w:p>
        </w:tc>
        <w:tc>
          <w:tcPr>
            <w:tcW w:type="dxa" w:w="1568"/>
            <w:shd w:val="clear" w:color="auto" w:fill="F5F7FA"/>
          </w:tcPr>
          <w:p>
            <w:pPr>
              <w:spacing w:before="80" w:after="80"/>
              <w:jc w:val="left"/>
            </w:pPr>
            <w:r>
              <w:rPr>
                <w:rFonts w:ascii="Calibri" w:hAnsi="Calibri"/>
                <w:b w:val="0"/>
                <w:color w:val="2D2D2D"/>
                <w:sz w:val="18"/>
              </w:rPr>
              <w:t>1</w:t>
            </w:r>
          </w:p>
        </w:tc>
        <w:tc>
          <w:tcPr>
            <w:tcW w:type="dxa" w:w="1568"/>
            <w:shd w:val="clear" w:color="auto" w:fill="F5F7FA"/>
          </w:tcPr>
          <w:p>
            <w:pPr>
              <w:spacing w:before="80" w:after="80"/>
              <w:jc w:val="right"/>
            </w:pPr>
            <w:r>
              <w:rPr>
                <w:rFonts w:ascii="Calibri" w:hAnsi="Calibri"/>
                <w:b w:val="0"/>
                <w:color w:val="2D2D2D"/>
                <w:sz w:val="18"/>
              </w:rPr>
              <w:t>1 500 000</w:t>
            </w:r>
          </w:p>
        </w:tc>
        <w:tc>
          <w:tcPr>
            <w:tcW w:type="dxa" w:w="1568"/>
            <w:shd w:val="clear" w:color="auto" w:fill="F5F7FA"/>
          </w:tcPr>
          <w:p>
            <w:pPr>
              <w:spacing w:before="80" w:after="80"/>
              <w:jc w:val="right"/>
            </w:pPr>
            <w:r>
              <w:rPr>
                <w:rFonts w:ascii="Calibri" w:hAnsi="Calibri"/>
                <w:b w:val="0"/>
                <w:color w:val="2D2D2D"/>
                <w:sz w:val="18"/>
              </w:rPr>
              <w:t>1 500 000</w:t>
            </w:r>
          </w:p>
        </w:tc>
      </w:tr>
      <w:tr>
        <w:tc>
          <w:tcPr>
            <w:tcW w:type="dxa" w:w="1568"/>
            <w:shd w:val="clear" w:color="auto" w:fill="FFFFFF"/>
          </w:tcPr>
          <w:p>
            <w:pPr>
              <w:spacing w:before="80" w:after="80"/>
              <w:jc w:val="left"/>
            </w:pPr>
            <w:r>
              <w:rPr>
                <w:rFonts w:ascii="Calibri" w:hAnsi="Calibri"/>
                <w:b/>
                <w:color w:val="2D2D2D"/>
                <w:sz w:val="18"/>
              </w:rPr>
              <w:t>LOT-09</w:t>
            </w:r>
          </w:p>
        </w:tc>
        <w:tc>
          <w:tcPr>
            <w:tcW w:type="dxa" w:w="1568"/>
            <w:shd w:val="clear" w:color="auto" w:fill="FFFFFF"/>
          </w:tcPr>
          <w:p>
            <w:pPr>
              <w:spacing w:before="80" w:after="80"/>
              <w:jc w:val="left"/>
            </w:pPr>
            <w:r>
              <w:rPr>
                <w:rFonts w:ascii="Calibri" w:hAnsi="Calibri"/>
                <w:b w:val="0"/>
                <w:color w:val="2D2D2D"/>
                <w:sz w:val="18"/>
              </w:rPr>
              <w:t>Formation – F02 (Inspecteurs, 4 sessions × 3 jours)</w:t>
            </w:r>
          </w:p>
        </w:tc>
        <w:tc>
          <w:tcPr>
            <w:tcW w:type="dxa" w:w="1568"/>
            <w:shd w:val="clear" w:color="auto" w:fill="FFFFFF"/>
          </w:tcPr>
          <w:p>
            <w:pPr>
              <w:spacing w:before="80" w:after="80"/>
              <w:jc w:val="left"/>
            </w:pPr>
            <w:r>
              <w:rPr>
                <w:rFonts w:ascii="Calibri" w:hAnsi="Calibri"/>
                <w:b w:val="0"/>
                <w:color w:val="2D2D2D"/>
                <w:sz w:val="18"/>
              </w:rPr>
              <w:t>Session</w:t>
            </w:r>
          </w:p>
        </w:tc>
        <w:tc>
          <w:tcPr>
            <w:tcW w:type="dxa" w:w="1568"/>
            <w:shd w:val="clear" w:color="auto" w:fill="FFFFFF"/>
          </w:tcPr>
          <w:p>
            <w:pPr>
              <w:spacing w:before="80" w:after="80"/>
              <w:jc w:val="left"/>
            </w:pPr>
            <w:r>
              <w:rPr>
                <w:rFonts w:ascii="Calibri" w:hAnsi="Calibri"/>
                <w:b w:val="0"/>
                <w:color w:val="2D2D2D"/>
                <w:sz w:val="18"/>
              </w:rPr>
              <w:t>4</w:t>
            </w:r>
          </w:p>
        </w:tc>
        <w:tc>
          <w:tcPr>
            <w:tcW w:type="dxa" w:w="1568"/>
            <w:shd w:val="clear" w:color="auto" w:fill="FFFFFF"/>
          </w:tcPr>
          <w:p>
            <w:pPr>
              <w:spacing w:before="80" w:after="80"/>
              <w:jc w:val="right"/>
            </w:pPr>
            <w:r>
              <w:rPr>
                <w:rFonts w:ascii="Calibri" w:hAnsi="Calibri"/>
                <w:b w:val="0"/>
                <w:color w:val="2D2D2D"/>
                <w:sz w:val="18"/>
              </w:rPr>
              <w:t>1 800 000</w:t>
            </w:r>
          </w:p>
        </w:tc>
        <w:tc>
          <w:tcPr>
            <w:tcW w:type="dxa" w:w="1568"/>
            <w:shd w:val="clear" w:color="auto" w:fill="FFFFFF"/>
          </w:tcPr>
          <w:p>
            <w:pPr>
              <w:spacing w:before="80" w:after="80"/>
              <w:jc w:val="right"/>
            </w:pPr>
            <w:r>
              <w:rPr>
                <w:rFonts w:ascii="Calibri" w:hAnsi="Calibri"/>
                <w:b w:val="0"/>
                <w:color w:val="2D2D2D"/>
                <w:sz w:val="18"/>
              </w:rPr>
              <w:t>7 200 000</w:t>
            </w:r>
          </w:p>
        </w:tc>
      </w:tr>
      <w:tr>
        <w:tc>
          <w:tcPr>
            <w:tcW w:type="dxa" w:w="1568"/>
            <w:shd w:val="clear" w:color="auto" w:fill="F5F7FA"/>
          </w:tcPr>
          <w:p>
            <w:pPr>
              <w:spacing w:before="80" w:after="80"/>
              <w:jc w:val="left"/>
            </w:pPr>
            <w:r>
              <w:rPr>
                <w:rFonts w:ascii="Calibri" w:hAnsi="Calibri"/>
                <w:b/>
                <w:color w:val="2D2D2D"/>
                <w:sz w:val="18"/>
              </w:rPr>
              <w:t>LOT-10</w:t>
            </w:r>
          </w:p>
        </w:tc>
        <w:tc>
          <w:tcPr>
            <w:tcW w:type="dxa" w:w="1568"/>
            <w:shd w:val="clear" w:color="auto" w:fill="F5F7FA"/>
          </w:tcPr>
          <w:p>
            <w:pPr>
              <w:spacing w:before="80" w:after="80"/>
              <w:jc w:val="left"/>
            </w:pPr>
            <w:r>
              <w:rPr>
                <w:rFonts w:ascii="Calibri" w:hAnsi="Calibri"/>
                <w:b w:val="0"/>
                <w:color w:val="2D2D2D"/>
                <w:sz w:val="18"/>
              </w:rPr>
              <w:t>Formation – F03 à F08 (autres profils)</w:t>
            </w:r>
          </w:p>
        </w:tc>
        <w:tc>
          <w:tcPr>
            <w:tcW w:type="dxa" w:w="1568"/>
            <w:shd w:val="clear" w:color="auto" w:fill="F5F7FA"/>
          </w:tcPr>
          <w:p>
            <w:pPr>
              <w:spacing w:before="80" w:after="80"/>
              <w:jc w:val="left"/>
            </w:pPr>
            <w:r>
              <w:rPr>
                <w:rFonts w:ascii="Calibri" w:hAnsi="Calibri"/>
                <w:b w:val="0"/>
                <w:color w:val="2D2D2D"/>
                <w:sz w:val="18"/>
              </w:rPr>
              <w:t>Forfait</w:t>
            </w:r>
          </w:p>
        </w:tc>
        <w:tc>
          <w:tcPr>
            <w:tcW w:type="dxa" w:w="1568"/>
            <w:shd w:val="clear" w:color="auto" w:fill="F5F7FA"/>
          </w:tcPr>
          <w:p>
            <w:pPr>
              <w:spacing w:before="80" w:after="80"/>
              <w:jc w:val="left"/>
            </w:pPr>
            <w:r>
              <w:rPr>
                <w:rFonts w:ascii="Calibri" w:hAnsi="Calibri"/>
                <w:b w:val="0"/>
                <w:color w:val="2D2D2D"/>
                <w:sz w:val="18"/>
              </w:rPr>
              <w:t>1</w:t>
            </w:r>
          </w:p>
        </w:tc>
        <w:tc>
          <w:tcPr>
            <w:tcW w:type="dxa" w:w="1568"/>
            <w:shd w:val="clear" w:color="auto" w:fill="F5F7FA"/>
          </w:tcPr>
          <w:p>
            <w:pPr>
              <w:spacing w:before="80" w:after="80"/>
              <w:jc w:val="right"/>
            </w:pPr>
            <w:r>
              <w:rPr>
                <w:rFonts w:ascii="Calibri" w:hAnsi="Calibri"/>
                <w:b w:val="0"/>
                <w:color w:val="2D2D2D"/>
                <w:sz w:val="18"/>
              </w:rPr>
              <w:t>4 500 000</w:t>
            </w:r>
          </w:p>
        </w:tc>
        <w:tc>
          <w:tcPr>
            <w:tcW w:type="dxa" w:w="1568"/>
            <w:shd w:val="clear" w:color="auto" w:fill="F5F7FA"/>
          </w:tcPr>
          <w:p>
            <w:pPr>
              <w:spacing w:before="80" w:after="80"/>
              <w:jc w:val="right"/>
            </w:pPr>
            <w:r>
              <w:rPr>
                <w:rFonts w:ascii="Calibri" w:hAnsi="Calibri"/>
                <w:b w:val="0"/>
                <w:color w:val="2D2D2D"/>
                <w:sz w:val="18"/>
              </w:rPr>
              <w:t>4 500 000</w:t>
            </w:r>
          </w:p>
        </w:tc>
      </w:tr>
      <w:tr>
        <w:tc>
          <w:tcPr>
            <w:tcW w:type="dxa" w:w="1568"/>
            <w:shd w:val="clear" w:color="auto" w:fill="FFFFFF"/>
          </w:tcPr>
          <w:p>
            <w:pPr>
              <w:spacing w:before="80" w:after="80"/>
              <w:jc w:val="left"/>
            </w:pPr>
            <w:r>
              <w:rPr>
                <w:rFonts w:ascii="Calibri" w:hAnsi="Calibri"/>
                <w:b/>
                <w:color w:val="2D2D2D"/>
                <w:sz w:val="18"/>
              </w:rPr>
              <w:t>LOT-11</w:t>
            </w:r>
          </w:p>
        </w:tc>
        <w:tc>
          <w:tcPr>
            <w:tcW w:type="dxa" w:w="1568"/>
            <w:shd w:val="clear" w:color="auto" w:fill="FFFFFF"/>
          </w:tcPr>
          <w:p>
            <w:pPr>
              <w:spacing w:before="80" w:after="80"/>
              <w:jc w:val="left"/>
            </w:pPr>
            <w:r>
              <w:rPr>
                <w:rFonts w:ascii="Calibri" w:hAnsi="Calibri"/>
                <w:b w:val="0"/>
                <w:color w:val="2D2D2D"/>
                <w:sz w:val="18"/>
              </w:rPr>
              <w:t>Accompagnement au changement (18 mois)</w:t>
            </w:r>
          </w:p>
        </w:tc>
        <w:tc>
          <w:tcPr>
            <w:tcW w:type="dxa" w:w="1568"/>
            <w:shd w:val="clear" w:color="auto" w:fill="FFFFFF"/>
          </w:tcPr>
          <w:p>
            <w:pPr>
              <w:spacing w:before="80" w:after="80"/>
              <w:jc w:val="left"/>
            </w:pPr>
            <w:r>
              <w:rPr>
                <w:rFonts w:ascii="Calibri" w:hAnsi="Calibri"/>
                <w:b w:val="0"/>
                <w:color w:val="2D2D2D"/>
                <w:sz w:val="18"/>
              </w:rPr>
              <w:t>Forfait</w:t>
            </w:r>
          </w:p>
        </w:tc>
        <w:tc>
          <w:tcPr>
            <w:tcW w:type="dxa" w:w="1568"/>
            <w:shd w:val="clear" w:color="auto" w:fill="FFFFFF"/>
          </w:tcPr>
          <w:p>
            <w:pPr>
              <w:spacing w:before="80" w:after="80"/>
              <w:jc w:val="left"/>
            </w:pPr>
            <w:r>
              <w:rPr>
                <w:rFonts w:ascii="Calibri" w:hAnsi="Calibri"/>
                <w:b w:val="0"/>
                <w:color w:val="2D2D2D"/>
                <w:sz w:val="18"/>
              </w:rPr>
              <w:t>1</w:t>
            </w:r>
          </w:p>
        </w:tc>
        <w:tc>
          <w:tcPr>
            <w:tcW w:type="dxa" w:w="1568"/>
            <w:shd w:val="clear" w:color="auto" w:fill="FFFFFF"/>
          </w:tcPr>
          <w:p>
            <w:pPr>
              <w:spacing w:before="80" w:after="80"/>
              <w:jc w:val="right"/>
            </w:pPr>
            <w:r>
              <w:rPr>
                <w:rFonts w:ascii="Calibri" w:hAnsi="Calibri"/>
                <w:b w:val="0"/>
                <w:color w:val="2D2D2D"/>
                <w:sz w:val="18"/>
              </w:rPr>
              <w:t>5 000 000</w:t>
            </w:r>
          </w:p>
        </w:tc>
        <w:tc>
          <w:tcPr>
            <w:tcW w:type="dxa" w:w="1568"/>
            <w:shd w:val="clear" w:color="auto" w:fill="FFFFFF"/>
          </w:tcPr>
          <w:p>
            <w:pPr>
              <w:spacing w:before="80" w:after="80"/>
              <w:jc w:val="right"/>
            </w:pPr>
            <w:r>
              <w:rPr>
                <w:rFonts w:ascii="Calibri" w:hAnsi="Calibri"/>
                <w:b w:val="0"/>
                <w:color w:val="2D2D2D"/>
                <w:sz w:val="18"/>
              </w:rPr>
              <w:t>5 000 000</w:t>
            </w:r>
          </w:p>
        </w:tc>
      </w:tr>
      <w:tr>
        <w:tc>
          <w:tcPr>
            <w:tcW w:type="dxa" w:w="1568"/>
            <w:shd w:val="clear" w:color="auto" w:fill="F5F7FA"/>
          </w:tcPr>
          <w:p>
            <w:pPr>
              <w:spacing w:before="80" w:after="80"/>
              <w:jc w:val="left"/>
            </w:pPr>
            <w:r>
              <w:rPr>
                <w:rFonts w:ascii="Calibri" w:hAnsi="Calibri"/>
                <w:b/>
                <w:color w:val="2D2D2D"/>
                <w:sz w:val="18"/>
              </w:rPr>
              <w:t>LOT-12</w:t>
            </w:r>
          </w:p>
        </w:tc>
        <w:tc>
          <w:tcPr>
            <w:tcW w:type="dxa" w:w="1568"/>
            <w:shd w:val="clear" w:color="auto" w:fill="F5F7FA"/>
          </w:tcPr>
          <w:p>
            <w:pPr>
              <w:spacing w:before="80" w:after="80"/>
              <w:jc w:val="left"/>
            </w:pPr>
            <w:r>
              <w:rPr>
                <w:rFonts w:ascii="Calibri" w:hAnsi="Calibri"/>
                <w:b w:val="0"/>
                <w:color w:val="2D2D2D"/>
                <w:sz w:val="18"/>
              </w:rPr>
              <w:t>Hébergement cloud et bande passante (18 mois)</w:t>
            </w:r>
          </w:p>
        </w:tc>
        <w:tc>
          <w:tcPr>
            <w:tcW w:type="dxa" w:w="1568"/>
            <w:shd w:val="clear" w:color="auto" w:fill="F5F7FA"/>
          </w:tcPr>
          <w:p>
            <w:pPr>
              <w:spacing w:before="80" w:after="80"/>
              <w:jc w:val="left"/>
            </w:pPr>
            <w:r>
              <w:rPr>
                <w:rFonts w:ascii="Calibri" w:hAnsi="Calibri"/>
                <w:b w:val="0"/>
                <w:color w:val="2D2D2D"/>
                <w:sz w:val="18"/>
              </w:rPr>
              <w:t>Mois</w:t>
            </w:r>
          </w:p>
        </w:tc>
        <w:tc>
          <w:tcPr>
            <w:tcW w:type="dxa" w:w="1568"/>
            <w:shd w:val="clear" w:color="auto" w:fill="F5F7FA"/>
          </w:tcPr>
          <w:p>
            <w:pPr>
              <w:spacing w:before="80" w:after="80"/>
              <w:jc w:val="left"/>
            </w:pPr>
            <w:r>
              <w:rPr>
                <w:rFonts w:ascii="Calibri" w:hAnsi="Calibri"/>
                <w:b w:val="0"/>
                <w:color w:val="2D2D2D"/>
                <w:sz w:val="18"/>
              </w:rPr>
              <w:t>18</w:t>
            </w:r>
          </w:p>
        </w:tc>
        <w:tc>
          <w:tcPr>
            <w:tcW w:type="dxa" w:w="1568"/>
            <w:shd w:val="clear" w:color="auto" w:fill="F5F7FA"/>
          </w:tcPr>
          <w:p>
            <w:pPr>
              <w:spacing w:before="80" w:after="80"/>
              <w:jc w:val="right"/>
            </w:pPr>
            <w:r>
              <w:rPr>
                <w:rFonts w:ascii="Calibri" w:hAnsi="Calibri"/>
                <w:b w:val="0"/>
                <w:color w:val="2D2D2D"/>
                <w:sz w:val="18"/>
              </w:rPr>
              <w:t>600 000</w:t>
            </w:r>
          </w:p>
        </w:tc>
        <w:tc>
          <w:tcPr>
            <w:tcW w:type="dxa" w:w="1568"/>
            <w:shd w:val="clear" w:color="auto" w:fill="F5F7FA"/>
          </w:tcPr>
          <w:p>
            <w:pPr>
              <w:spacing w:before="80" w:after="80"/>
              <w:jc w:val="right"/>
            </w:pPr>
            <w:r>
              <w:rPr>
                <w:rFonts w:ascii="Calibri" w:hAnsi="Calibri"/>
                <w:b w:val="0"/>
                <w:color w:val="2D2D2D"/>
                <w:sz w:val="18"/>
              </w:rPr>
              <w:t>10 800 000</w:t>
            </w:r>
          </w:p>
        </w:tc>
      </w:tr>
      <w:tr>
        <w:tc>
          <w:tcPr>
            <w:tcW w:type="dxa" w:w="1568"/>
            <w:shd w:val="clear" w:color="auto" w:fill="FFFFFF"/>
          </w:tcPr>
          <w:p>
            <w:pPr>
              <w:spacing w:before="80" w:after="80"/>
              <w:jc w:val="left"/>
            </w:pPr>
            <w:r>
              <w:rPr>
                <w:rFonts w:ascii="Calibri" w:hAnsi="Calibri"/>
                <w:b/>
                <w:color w:val="2D2D2D"/>
                <w:sz w:val="18"/>
              </w:rPr>
              <w:t>LOT-13</w:t>
            </w:r>
          </w:p>
        </w:tc>
        <w:tc>
          <w:tcPr>
            <w:tcW w:type="dxa" w:w="1568"/>
            <w:shd w:val="clear" w:color="auto" w:fill="FFFFFF"/>
          </w:tcPr>
          <w:p>
            <w:pPr>
              <w:spacing w:before="80" w:after="80"/>
              <w:jc w:val="left"/>
            </w:pPr>
            <w:r>
              <w:rPr>
                <w:rFonts w:ascii="Calibri" w:hAnsi="Calibri"/>
                <w:b w:val="0"/>
                <w:color w:val="2D2D2D"/>
                <w:sz w:val="18"/>
              </w:rPr>
              <w:t>Tests de pénétration et audit de sécurité</w:t>
            </w:r>
          </w:p>
        </w:tc>
        <w:tc>
          <w:tcPr>
            <w:tcW w:type="dxa" w:w="1568"/>
            <w:shd w:val="clear" w:color="auto" w:fill="FFFFFF"/>
          </w:tcPr>
          <w:p>
            <w:pPr>
              <w:spacing w:before="80" w:after="80"/>
              <w:jc w:val="left"/>
            </w:pPr>
            <w:r>
              <w:rPr>
                <w:rFonts w:ascii="Calibri" w:hAnsi="Calibri"/>
                <w:b w:val="0"/>
                <w:color w:val="2D2D2D"/>
                <w:sz w:val="18"/>
              </w:rPr>
              <w:t>Forfait</w:t>
            </w:r>
          </w:p>
        </w:tc>
        <w:tc>
          <w:tcPr>
            <w:tcW w:type="dxa" w:w="1568"/>
            <w:shd w:val="clear" w:color="auto" w:fill="FFFFFF"/>
          </w:tcPr>
          <w:p>
            <w:pPr>
              <w:spacing w:before="80" w:after="80"/>
              <w:jc w:val="left"/>
            </w:pPr>
            <w:r>
              <w:rPr>
                <w:rFonts w:ascii="Calibri" w:hAnsi="Calibri"/>
                <w:b w:val="0"/>
                <w:color w:val="2D2D2D"/>
                <w:sz w:val="18"/>
              </w:rPr>
              <w:t>1</w:t>
            </w:r>
          </w:p>
        </w:tc>
        <w:tc>
          <w:tcPr>
            <w:tcW w:type="dxa" w:w="1568"/>
            <w:shd w:val="clear" w:color="auto" w:fill="FFFFFF"/>
          </w:tcPr>
          <w:p>
            <w:pPr>
              <w:spacing w:before="80" w:after="80"/>
              <w:jc w:val="right"/>
            </w:pPr>
            <w:r>
              <w:rPr>
                <w:rFonts w:ascii="Calibri" w:hAnsi="Calibri"/>
                <w:b w:val="0"/>
                <w:color w:val="2D2D2D"/>
                <w:sz w:val="18"/>
              </w:rPr>
              <w:t>3 000 000</w:t>
            </w:r>
          </w:p>
        </w:tc>
        <w:tc>
          <w:tcPr>
            <w:tcW w:type="dxa" w:w="1568"/>
            <w:shd w:val="clear" w:color="auto" w:fill="FFFFFF"/>
          </w:tcPr>
          <w:p>
            <w:pPr>
              <w:spacing w:before="80" w:after="80"/>
              <w:jc w:val="right"/>
            </w:pPr>
            <w:r>
              <w:rPr>
                <w:rFonts w:ascii="Calibri" w:hAnsi="Calibri"/>
                <w:b w:val="0"/>
                <w:color w:val="2D2D2D"/>
                <w:sz w:val="18"/>
              </w:rPr>
              <w:t>3 000 000</w:t>
            </w:r>
          </w:p>
        </w:tc>
      </w:tr>
      <w:tr>
        <w:tc>
          <w:tcPr>
            <w:tcW w:type="dxa" w:w="1568"/>
            <w:shd w:val="clear" w:color="auto" w:fill="F5F7FA"/>
          </w:tcPr>
          <w:p>
            <w:pPr>
              <w:spacing w:before="80" w:after="80"/>
              <w:jc w:val="left"/>
            </w:pPr>
            <w:r>
              <w:rPr>
                <w:rFonts w:ascii="Calibri" w:hAnsi="Calibri"/>
                <w:b/>
                <w:color w:val="2D2D2D"/>
                <w:sz w:val="18"/>
              </w:rPr>
              <w:t>LOT-14</w:t>
            </w:r>
          </w:p>
        </w:tc>
        <w:tc>
          <w:tcPr>
            <w:tcW w:type="dxa" w:w="1568"/>
            <w:shd w:val="clear" w:color="auto" w:fill="F5F7FA"/>
          </w:tcPr>
          <w:p>
            <w:pPr>
              <w:spacing w:before="80" w:after="80"/>
              <w:jc w:val="left"/>
            </w:pPr>
            <w:r>
              <w:rPr>
                <w:rFonts w:ascii="Calibri" w:hAnsi="Calibri"/>
                <w:b w:val="0"/>
                <w:color w:val="2D2D2D"/>
                <w:sz w:val="18"/>
              </w:rPr>
              <w:t>Documentation technique complète et transfert de compétences IT</w:t>
            </w:r>
          </w:p>
        </w:tc>
        <w:tc>
          <w:tcPr>
            <w:tcW w:type="dxa" w:w="1568"/>
            <w:shd w:val="clear" w:color="auto" w:fill="F5F7FA"/>
          </w:tcPr>
          <w:p>
            <w:pPr>
              <w:spacing w:before="80" w:after="80"/>
              <w:jc w:val="left"/>
            </w:pPr>
            <w:r>
              <w:rPr>
                <w:rFonts w:ascii="Calibri" w:hAnsi="Calibri"/>
                <w:b w:val="0"/>
                <w:color w:val="2D2D2D"/>
                <w:sz w:val="18"/>
              </w:rPr>
              <w:t>Forfait</w:t>
            </w:r>
          </w:p>
        </w:tc>
        <w:tc>
          <w:tcPr>
            <w:tcW w:type="dxa" w:w="1568"/>
            <w:shd w:val="clear" w:color="auto" w:fill="F5F7FA"/>
          </w:tcPr>
          <w:p>
            <w:pPr>
              <w:spacing w:before="80" w:after="80"/>
              <w:jc w:val="left"/>
            </w:pPr>
            <w:r>
              <w:rPr>
                <w:rFonts w:ascii="Calibri" w:hAnsi="Calibri"/>
                <w:b w:val="0"/>
                <w:color w:val="2D2D2D"/>
                <w:sz w:val="18"/>
              </w:rPr>
              <w:t>1</w:t>
            </w:r>
          </w:p>
        </w:tc>
        <w:tc>
          <w:tcPr>
            <w:tcW w:type="dxa" w:w="1568"/>
            <w:shd w:val="clear" w:color="auto" w:fill="F5F7FA"/>
          </w:tcPr>
          <w:p>
            <w:pPr>
              <w:spacing w:before="80" w:after="80"/>
              <w:jc w:val="right"/>
            </w:pPr>
            <w:r>
              <w:rPr>
                <w:rFonts w:ascii="Calibri" w:hAnsi="Calibri"/>
                <w:b w:val="0"/>
                <w:color w:val="2D2D2D"/>
                <w:sz w:val="18"/>
              </w:rPr>
              <w:t>2 500 000</w:t>
            </w:r>
          </w:p>
        </w:tc>
        <w:tc>
          <w:tcPr>
            <w:tcW w:type="dxa" w:w="1568"/>
            <w:shd w:val="clear" w:color="auto" w:fill="F5F7FA"/>
          </w:tcPr>
          <w:p>
            <w:pPr>
              <w:spacing w:before="80" w:after="80"/>
              <w:jc w:val="right"/>
            </w:pPr>
            <w:r>
              <w:rPr>
                <w:rFonts w:ascii="Calibri" w:hAnsi="Calibri"/>
                <w:b w:val="0"/>
                <w:color w:val="2D2D2D"/>
                <w:sz w:val="18"/>
              </w:rPr>
              <w:t>2 500 000</w:t>
            </w:r>
          </w:p>
        </w:tc>
      </w:tr>
      <w:tr>
        <w:tc>
          <w:tcPr>
            <w:tcW w:type="dxa" w:w="1568"/>
            <w:shd w:val="clear" w:color="auto" w:fill="DCF0FF"/>
          </w:tcPr>
          <w:p>
            <w:pPr>
              <w:spacing w:before="80" w:after="80"/>
              <w:jc w:val="left"/>
            </w:pPr>
            <w:r>
              <w:rPr>
                <w:rFonts w:ascii="Calibri" w:hAnsi="Calibri"/>
                <w:b/>
                <w:color w:val="00347C"/>
                <w:sz w:val="18"/>
              </w:rPr>
            </w:r>
          </w:p>
        </w:tc>
        <w:tc>
          <w:tcPr>
            <w:tcW w:type="dxa" w:w="1568"/>
            <w:shd w:val="clear" w:color="auto" w:fill="DCF0FF"/>
          </w:tcPr>
          <w:p>
            <w:pPr>
              <w:spacing w:before="80" w:after="80"/>
              <w:jc w:val="left"/>
            </w:pPr>
            <w:r>
              <w:rPr>
                <w:rFonts w:ascii="Calibri" w:hAnsi="Calibri"/>
                <w:b/>
                <w:color w:val="00347C"/>
                <w:sz w:val="18"/>
              </w:rPr>
              <w:t>SOUS-TOTAL HORS TAXES</w:t>
            </w:r>
          </w:p>
        </w:tc>
        <w:tc>
          <w:tcPr>
            <w:tcW w:type="dxa" w:w="1568"/>
            <w:shd w:val="clear" w:color="auto" w:fill="DCF0FF"/>
          </w:tcPr>
          <w:p>
            <w:pPr>
              <w:spacing w:before="80" w:after="80"/>
              <w:jc w:val="left"/>
            </w:pPr>
            <w:r>
              <w:rPr>
                <w:rFonts w:ascii="Calibri" w:hAnsi="Calibri"/>
                <w:b/>
                <w:color w:val="00347C"/>
                <w:sz w:val="18"/>
              </w:rPr>
            </w:r>
          </w:p>
        </w:tc>
        <w:tc>
          <w:tcPr>
            <w:tcW w:type="dxa" w:w="1568"/>
            <w:shd w:val="clear" w:color="auto" w:fill="DCF0FF"/>
          </w:tcPr>
          <w:p>
            <w:pPr>
              <w:spacing w:before="80" w:after="80"/>
              <w:jc w:val="left"/>
            </w:pPr>
            <w:r>
              <w:rPr>
                <w:rFonts w:ascii="Calibri" w:hAnsi="Calibri"/>
                <w:b/>
                <w:color w:val="00347C"/>
                <w:sz w:val="18"/>
              </w:rPr>
            </w:r>
          </w:p>
        </w:tc>
        <w:tc>
          <w:tcPr>
            <w:tcW w:type="dxa" w:w="1568"/>
            <w:shd w:val="clear" w:color="auto" w:fill="DCF0FF"/>
          </w:tcPr>
          <w:p>
            <w:pPr>
              <w:spacing w:before="80" w:after="80"/>
              <w:jc w:val="right"/>
            </w:pPr>
            <w:r>
              <w:rPr>
                <w:rFonts w:ascii="Calibri" w:hAnsi="Calibri"/>
                <w:b/>
                <w:color w:val="00347C"/>
                <w:sz w:val="18"/>
              </w:rPr>
            </w:r>
          </w:p>
        </w:tc>
        <w:tc>
          <w:tcPr>
            <w:tcW w:type="dxa" w:w="1568"/>
            <w:shd w:val="clear" w:color="auto" w:fill="DCF0FF"/>
          </w:tcPr>
          <w:p>
            <w:pPr>
              <w:spacing w:before="80" w:after="80"/>
              <w:jc w:val="right"/>
            </w:pPr>
            <w:r>
              <w:rPr>
                <w:rFonts w:ascii="Calibri" w:hAnsi="Calibri"/>
                <w:b/>
                <w:color w:val="00347C"/>
                <w:sz w:val="18"/>
              </w:rPr>
              <w:t>88 000 000</w:t>
            </w:r>
          </w:p>
        </w:tc>
      </w:tr>
      <w:tr>
        <w:tc>
          <w:tcPr>
            <w:tcW w:type="dxa" w:w="1568"/>
            <w:shd w:val="clear" w:color="auto" w:fill="DCF0FF"/>
          </w:tcPr>
          <w:p>
            <w:pPr>
              <w:spacing w:before="80" w:after="80"/>
              <w:jc w:val="left"/>
            </w:pPr>
            <w:r>
              <w:rPr>
                <w:rFonts w:ascii="Calibri" w:hAnsi="Calibri"/>
                <w:b/>
                <w:color w:val="00347C"/>
                <w:sz w:val="18"/>
              </w:rPr>
            </w:r>
          </w:p>
        </w:tc>
        <w:tc>
          <w:tcPr>
            <w:tcW w:type="dxa" w:w="1568"/>
            <w:shd w:val="clear" w:color="auto" w:fill="DCF0FF"/>
          </w:tcPr>
          <w:p>
            <w:pPr>
              <w:spacing w:before="80" w:after="80"/>
              <w:jc w:val="left"/>
            </w:pPr>
            <w:r>
              <w:rPr>
                <w:rFonts w:ascii="Calibri" w:hAnsi="Calibri"/>
                <w:b/>
                <w:color w:val="00347C"/>
                <w:sz w:val="18"/>
              </w:rPr>
              <w:t>TVA (18 %)</w:t>
            </w:r>
          </w:p>
        </w:tc>
        <w:tc>
          <w:tcPr>
            <w:tcW w:type="dxa" w:w="1568"/>
            <w:shd w:val="clear" w:color="auto" w:fill="DCF0FF"/>
          </w:tcPr>
          <w:p>
            <w:pPr>
              <w:spacing w:before="80" w:after="80"/>
              <w:jc w:val="left"/>
            </w:pPr>
            <w:r>
              <w:rPr>
                <w:rFonts w:ascii="Calibri" w:hAnsi="Calibri"/>
                <w:b/>
                <w:color w:val="00347C"/>
                <w:sz w:val="18"/>
              </w:rPr>
            </w:r>
          </w:p>
        </w:tc>
        <w:tc>
          <w:tcPr>
            <w:tcW w:type="dxa" w:w="1568"/>
            <w:shd w:val="clear" w:color="auto" w:fill="DCF0FF"/>
          </w:tcPr>
          <w:p>
            <w:pPr>
              <w:spacing w:before="80" w:after="80"/>
              <w:jc w:val="left"/>
            </w:pPr>
            <w:r>
              <w:rPr>
                <w:rFonts w:ascii="Calibri" w:hAnsi="Calibri"/>
                <w:b/>
                <w:color w:val="00347C"/>
                <w:sz w:val="18"/>
              </w:rPr>
            </w:r>
          </w:p>
        </w:tc>
        <w:tc>
          <w:tcPr>
            <w:tcW w:type="dxa" w:w="1568"/>
            <w:shd w:val="clear" w:color="auto" w:fill="DCF0FF"/>
          </w:tcPr>
          <w:p>
            <w:pPr>
              <w:spacing w:before="80" w:after="80"/>
              <w:jc w:val="right"/>
            </w:pPr>
            <w:r>
              <w:rPr>
                <w:rFonts w:ascii="Calibri" w:hAnsi="Calibri"/>
                <w:b/>
                <w:color w:val="00347C"/>
                <w:sz w:val="18"/>
              </w:rPr>
            </w:r>
          </w:p>
        </w:tc>
        <w:tc>
          <w:tcPr>
            <w:tcW w:type="dxa" w:w="1568"/>
            <w:shd w:val="clear" w:color="auto" w:fill="DCF0FF"/>
          </w:tcPr>
          <w:p>
            <w:pPr>
              <w:spacing w:before="80" w:after="80"/>
              <w:jc w:val="right"/>
            </w:pPr>
            <w:r>
              <w:rPr>
                <w:rFonts w:ascii="Calibri" w:hAnsi="Calibri"/>
                <w:b/>
                <w:color w:val="00347C"/>
                <w:sz w:val="18"/>
              </w:rPr>
              <w:t>15 840 000</w:t>
            </w:r>
          </w:p>
        </w:tc>
      </w:tr>
      <w:tr>
        <w:tc>
          <w:tcPr>
            <w:tcW w:type="dxa" w:w="1568"/>
            <w:shd w:val="clear" w:color="auto" w:fill="00347C"/>
          </w:tcPr>
          <w:p>
            <w:pPr>
              <w:spacing w:before="80" w:after="80"/>
              <w:jc w:val="left"/>
            </w:pPr>
            <w:r>
              <w:rPr>
                <w:rFonts w:ascii="Calibri" w:hAnsi="Calibri"/>
                <w:b/>
                <w:color w:val="FFFFFF"/>
                <w:sz w:val="20"/>
              </w:rPr>
            </w:r>
          </w:p>
        </w:tc>
        <w:tc>
          <w:tcPr>
            <w:tcW w:type="dxa" w:w="1568"/>
            <w:shd w:val="clear" w:color="auto" w:fill="00347C"/>
          </w:tcPr>
          <w:p>
            <w:pPr>
              <w:spacing w:before="80" w:after="80"/>
              <w:jc w:val="left"/>
            </w:pPr>
            <w:r>
              <w:rPr>
                <w:rFonts w:ascii="Calibri" w:hAnsi="Calibri"/>
                <w:b/>
                <w:color w:val="FFFFFF"/>
                <w:sz w:val="20"/>
              </w:rPr>
              <w:t>TOTAL INVESTISSEMENT TOUTES TAXES COMPRISES</w:t>
            </w:r>
          </w:p>
        </w:tc>
        <w:tc>
          <w:tcPr>
            <w:tcW w:type="dxa" w:w="1568"/>
            <w:shd w:val="clear" w:color="auto" w:fill="00347C"/>
          </w:tcPr>
          <w:p>
            <w:pPr>
              <w:spacing w:before="80" w:after="80"/>
              <w:jc w:val="left"/>
            </w:pPr>
            <w:r>
              <w:rPr>
                <w:rFonts w:ascii="Calibri" w:hAnsi="Calibri"/>
                <w:b/>
                <w:color w:val="FFFFFF"/>
                <w:sz w:val="20"/>
              </w:rPr>
            </w:r>
          </w:p>
        </w:tc>
        <w:tc>
          <w:tcPr>
            <w:tcW w:type="dxa" w:w="1568"/>
            <w:shd w:val="clear" w:color="auto" w:fill="00347C"/>
          </w:tcPr>
          <w:p>
            <w:pPr>
              <w:spacing w:before="80" w:after="80"/>
              <w:jc w:val="left"/>
            </w:pPr>
            <w:r>
              <w:rPr>
                <w:rFonts w:ascii="Calibri" w:hAnsi="Calibri"/>
                <w:b/>
                <w:color w:val="FFFFFF"/>
                <w:sz w:val="20"/>
              </w:rPr>
            </w:r>
          </w:p>
        </w:tc>
        <w:tc>
          <w:tcPr>
            <w:tcW w:type="dxa" w:w="1568"/>
            <w:shd w:val="clear" w:color="auto" w:fill="00347C"/>
          </w:tcPr>
          <w:p>
            <w:pPr>
              <w:spacing w:before="80" w:after="80"/>
              <w:jc w:val="right"/>
            </w:pPr>
            <w:r>
              <w:rPr>
                <w:rFonts w:ascii="Calibri" w:hAnsi="Calibri"/>
                <w:b/>
                <w:color w:val="FFFFFF"/>
                <w:sz w:val="20"/>
              </w:rPr>
            </w:r>
          </w:p>
        </w:tc>
        <w:tc>
          <w:tcPr>
            <w:tcW w:type="dxa" w:w="1568"/>
            <w:shd w:val="clear" w:color="auto" w:fill="00347C"/>
          </w:tcPr>
          <w:p>
            <w:pPr>
              <w:spacing w:before="80" w:after="80"/>
              <w:jc w:val="right"/>
            </w:pPr>
            <w:r>
              <w:rPr>
                <w:rFonts w:ascii="Calibri" w:hAnsi="Calibri"/>
                <w:b/>
                <w:color w:val="FFFFFF"/>
                <w:sz w:val="20"/>
              </w:rPr>
              <w:t>103 840 000</w:t>
            </w:r>
          </w:p>
        </w:tc>
      </w:tr>
    </w:tbl>
    <w:p/>
    <w:p>
      <w:pPr>
        <w:spacing w:before="200" w:after="80"/>
      </w:pPr>
      <w:r>
        <w:rPr>
          <w:rFonts w:ascii="Calibri" w:hAnsi="Calibri"/>
          <w:b/>
          <w:color w:val="0072C6"/>
          <w:sz w:val="24"/>
        </w:rPr>
        <w:t>9.2  Abonnement annuel de maintenance (à partir de l'année 2)</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F5F7FA"/>
          </w:tcPr>
          <w:p>
            <w:pPr>
              <w:spacing w:before="100" w:after="100"/>
              <w:jc w:val="left"/>
            </w:pPr>
            <w:r>
              <w:rPr>
                <w:rFonts w:ascii="Calibri" w:hAnsi="Calibri"/>
                <w:b w:val="0"/>
                <w:color w:val="2D2D2D"/>
                <w:sz w:val="19"/>
              </w:rPr>
              <w:t>Prestation</w:t>
            </w:r>
          </w:p>
        </w:tc>
        <w:tc>
          <w:tcPr>
            <w:tcW w:type="dxa" w:w="3135"/>
            <w:shd w:val="clear" w:color="auto" w:fill="F5F7FA"/>
          </w:tcPr>
          <w:p>
            <w:pPr>
              <w:spacing w:before="100" w:after="100"/>
              <w:jc w:val="left"/>
            </w:pPr>
            <w:r>
              <w:rPr>
                <w:rFonts w:ascii="Calibri" w:hAnsi="Calibri"/>
                <w:b w:val="0"/>
                <w:color w:val="2D2D2D"/>
                <w:sz w:val="19"/>
              </w:rPr>
              <w:t>Détail</w:t>
            </w:r>
          </w:p>
        </w:tc>
        <w:tc>
          <w:tcPr>
            <w:tcW w:type="dxa" w:w="3135"/>
            <w:shd w:val="clear" w:color="auto" w:fill="F5F7FA"/>
          </w:tcPr>
          <w:p>
            <w:pPr>
              <w:spacing w:before="100" w:after="100"/>
              <w:jc w:val="right"/>
            </w:pPr>
            <w:r>
              <w:rPr>
                <w:rFonts w:ascii="Calibri" w:hAnsi="Calibri"/>
                <w:b w:val="0"/>
                <w:color w:val="2D2D2D"/>
                <w:sz w:val="19"/>
              </w:rPr>
              <w:t>Montant HT (FCFA)</w:t>
            </w:r>
          </w:p>
        </w:tc>
      </w:tr>
      <w:tr>
        <w:tc>
          <w:tcPr>
            <w:tcW w:type="dxa" w:w="3135"/>
            <w:shd w:val="clear" w:color="auto" w:fill="FFFFFF"/>
          </w:tcPr>
          <w:p>
            <w:pPr>
              <w:spacing w:before="100" w:after="100"/>
              <w:jc w:val="left"/>
            </w:pPr>
            <w:r>
              <w:rPr>
                <w:rFonts w:ascii="Calibri" w:hAnsi="Calibri"/>
                <w:b w:val="0"/>
                <w:color w:val="2D2D2D"/>
                <w:sz w:val="19"/>
              </w:rPr>
              <w:t>Maintenance corrective</w:t>
            </w:r>
          </w:p>
        </w:tc>
        <w:tc>
          <w:tcPr>
            <w:tcW w:type="dxa" w:w="3135"/>
            <w:shd w:val="clear" w:color="auto" w:fill="FFFFFF"/>
          </w:tcPr>
          <w:p>
            <w:pPr>
              <w:spacing w:before="100" w:after="100"/>
              <w:jc w:val="left"/>
            </w:pPr>
            <w:r>
              <w:rPr>
                <w:rFonts w:ascii="Calibri" w:hAnsi="Calibri"/>
                <w:b w:val="0"/>
                <w:color w:val="2D2D2D"/>
                <w:sz w:val="19"/>
              </w:rPr>
              <w:t>Correction bugs et anomalies, patches sécurité</w:t>
            </w:r>
          </w:p>
        </w:tc>
        <w:tc>
          <w:tcPr>
            <w:tcW w:type="dxa" w:w="3135"/>
            <w:shd w:val="clear" w:color="auto" w:fill="FFFFFF"/>
          </w:tcPr>
          <w:p>
            <w:pPr>
              <w:spacing w:before="100" w:after="100"/>
              <w:jc w:val="right"/>
            </w:pPr>
            <w:r>
              <w:rPr>
                <w:rFonts w:ascii="Calibri" w:hAnsi="Calibri"/>
                <w:b w:val="0"/>
                <w:color w:val="2D2D2D"/>
                <w:sz w:val="19"/>
              </w:rPr>
              <w:t>4 000 000</w:t>
            </w:r>
          </w:p>
        </w:tc>
      </w:tr>
      <w:tr>
        <w:tc>
          <w:tcPr>
            <w:tcW w:type="dxa" w:w="3135"/>
            <w:shd w:val="clear" w:color="auto" w:fill="F5F7FA"/>
          </w:tcPr>
          <w:p>
            <w:pPr>
              <w:spacing w:before="100" w:after="100"/>
              <w:jc w:val="left"/>
            </w:pPr>
            <w:r>
              <w:rPr>
                <w:rFonts w:ascii="Calibri" w:hAnsi="Calibri"/>
                <w:b w:val="0"/>
                <w:color w:val="2D2D2D"/>
                <w:sz w:val="19"/>
              </w:rPr>
              <w:t>Maintenance évolutive mineure</w:t>
            </w:r>
          </w:p>
        </w:tc>
        <w:tc>
          <w:tcPr>
            <w:tcW w:type="dxa" w:w="3135"/>
            <w:shd w:val="clear" w:color="auto" w:fill="F5F7FA"/>
          </w:tcPr>
          <w:p>
            <w:pPr>
              <w:spacing w:before="100" w:after="100"/>
              <w:jc w:val="left"/>
            </w:pPr>
            <w:r>
              <w:rPr>
                <w:rFonts w:ascii="Calibri" w:hAnsi="Calibri"/>
                <w:b w:val="0"/>
                <w:color w:val="2D2D2D"/>
                <w:sz w:val="19"/>
              </w:rPr>
              <w:t>Évolutions UI, nouveaux paramètres, améliorations</w:t>
            </w:r>
          </w:p>
        </w:tc>
        <w:tc>
          <w:tcPr>
            <w:tcW w:type="dxa" w:w="3135"/>
            <w:shd w:val="clear" w:color="auto" w:fill="F5F7FA"/>
          </w:tcPr>
          <w:p>
            <w:pPr>
              <w:spacing w:before="100" w:after="100"/>
              <w:jc w:val="right"/>
            </w:pPr>
            <w:r>
              <w:rPr>
                <w:rFonts w:ascii="Calibri" w:hAnsi="Calibri"/>
                <w:b w:val="0"/>
                <w:color w:val="2D2D2D"/>
                <w:sz w:val="19"/>
              </w:rPr>
              <w:t>5 000 000</w:t>
            </w:r>
          </w:p>
        </w:tc>
      </w:tr>
      <w:tr>
        <w:tc>
          <w:tcPr>
            <w:tcW w:type="dxa" w:w="3135"/>
            <w:shd w:val="clear" w:color="auto" w:fill="FFFFFF"/>
          </w:tcPr>
          <w:p>
            <w:pPr>
              <w:spacing w:before="100" w:after="100"/>
              <w:jc w:val="left"/>
            </w:pPr>
            <w:r>
              <w:rPr>
                <w:rFonts w:ascii="Calibri" w:hAnsi="Calibri"/>
                <w:b w:val="0"/>
                <w:color w:val="2D2D2D"/>
                <w:sz w:val="19"/>
              </w:rPr>
              <w:t>Hébergement cloud (serveurs, BD, stockage, bande passante)</w:t>
            </w:r>
          </w:p>
        </w:tc>
        <w:tc>
          <w:tcPr>
            <w:tcW w:type="dxa" w:w="3135"/>
            <w:shd w:val="clear" w:color="auto" w:fill="FFFFFF"/>
          </w:tcPr>
          <w:p>
            <w:pPr>
              <w:spacing w:before="100" w:after="100"/>
              <w:jc w:val="left"/>
            </w:pPr>
            <w:r>
              <w:rPr>
                <w:rFonts w:ascii="Calibri" w:hAnsi="Calibri"/>
                <w:b w:val="0"/>
                <w:color w:val="2D2D2D"/>
                <w:sz w:val="19"/>
              </w:rPr>
              <w:t>Infrastructure dédiée DGT</w:t>
            </w:r>
          </w:p>
        </w:tc>
        <w:tc>
          <w:tcPr>
            <w:tcW w:type="dxa" w:w="3135"/>
            <w:shd w:val="clear" w:color="auto" w:fill="FFFFFF"/>
          </w:tcPr>
          <w:p>
            <w:pPr>
              <w:spacing w:before="100" w:after="100"/>
              <w:jc w:val="right"/>
            </w:pPr>
            <w:r>
              <w:rPr>
                <w:rFonts w:ascii="Calibri" w:hAnsi="Calibri"/>
                <w:b w:val="0"/>
                <w:color w:val="2D2D2D"/>
                <w:sz w:val="19"/>
              </w:rPr>
              <w:t>7 200 000</w:t>
            </w:r>
          </w:p>
        </w:tc>
      </w:tr>
      <w:tr>
        <w:tc>
          <w:tcPr>
            <w:tcW w:type="dxa" w:w="3135"/>
            <w:shd w:val="clear" w:color="auto" w:fill="F5F7FA"/>
          </w:tcPr>
          <w:p>
            <w:pPr>
              <w:spacing w:before="100" w:after="100"/>
              <w:jc w:val="left"/>
            </w:pPr>
            <w:r>
              <w:rPr>
                <w:rFonts w:ascii="Calibri" w:hAnsi="Calibri"/>
                <w:b w:val="0"/>
                <w:color w:val="2D2D2D"/>
                <w:sz w:val="19"/>
              </w:rPr>
              <w:t>Licences tierces (OpenAI, SMS gateway)</w:t>
            </w:r>
          </w:p>
        </w:tc>
        <w:tc>
          <w:tcPr>
            <w:tcW w:type="dxa" w:w="3135"/>
            <w:shd w:val="clear" w:color="auto" w:fill="F5F7FA"/>
          </w:tcPr>
          <w:p>
            <w:pPr>
              <w:spacing w:before="100" w:after="100"/>
              <w:jc w:val="left"/>
            </w:pPr>
            <w:r>
              <w:rPr>
                <w:rFonts w:ascii="Calibri" w:hAnsi="Calibri"/>
                <w:b w:val="0"/>
                <w:color w:val="2D2D2D"/>
                <w:sz w:val="19"/>
              </w:rPr>
              <w:t>Consommation API IA + SMS (plafonné 50K SMS/an)</w:t>
            </w:r>
          </w:p>
        </w:tc>
        <w:tc>
          <w:tcPr>
            <w:tcW w:type="dxa" w:w="3135"/>
            <w:shd w:val="clear" w:color="auto" w:fill="F5F7FA"/>
          </w:tcPr>
          <w:p>
            <w:pPr>
              <w:spacing w:before="100" w:after="100"/>
              <w:jc w:val="right"/>
            </w:pPr>
            <w:r>
              <w:rPr>
                <w:rFonts w:ascii="Calibri" w:hAnsi="Calibri"/>
                <w:b w:val="0"/>
                <w:color w:val="2D2D2D"/>
                <w:sz w:val="19"/>
              </w:rPr>
              <w:t>3 500 000</w:t>
            </w:r>
          </w:p>
        </w:tc>
      </w:tr>
      <w:tr>
        <w:tc>
          <w:tcPr>
            <w:tcW w:type="dxa" w:w="3135"/>
            <w:shd w:val="clear" w:color="auto" w:fill="FFFFFF"/>
          </w:tcPr>
          <w:p>
            <w:pPr>
              <w:spacing w:before="100" w:after="100"/>
              <w:jc w:val="left"/>
            </w:pPr>
            <w:r>
              <w:rPr>
                <w:rFonts w:ascii="Calibri" w:hAnsi="Calibri"/>
                <w:b w:val="0"/>
                <w:color w:val="2D2D2D"/>
                <w:sz w:val="19"/>
              </w:rPr>
              <w:t>Support utilisateurs (Hotline + tickets)</w:t>
            </w:r>
          </w:p>
        </w:tc>
        <w:tc>
          <w:tcPr>
            <w:tcW w:type="dxa" w:w="3135"/>
            <w:shd w:val="clear" w:color="auto" w:fill="FFFFFF"/>
          </w:tcPr>
          <w:p>
            <w:pPr>
              <w:spacing w:before="100" w:after="100"/>
              <w:jc w:val="left"/>
            </w:pPr>
            <w:r>
              <w:rPr>
                <w:rFonts w:ascii="Calibri" w:hAnsi="Calibri"/>
                <w:b w:val="0"/>
                <w:color w:val="2D2D2D"/>
                <w:sz w:val="19"/>
              </w:rPr>
              <w:t>L–V 8h–18h, délai réponse &lt; 4h</w:t>
            </w:r>
          </w:p>
        </w:tc>
        <w:tc>
          <w:tcPr>
            <w:tcW w:type="dxa" w:w="3135"/>
            <w:shd w:val="clear" w:color="auto" w:fill="FFFFFF"/>
          </w:tcPr>
          <w:p>
            <w:pPr>
              <w:spacing w:before="100" w:after="100"/>
              <w:jc w:val="right"/>
            </w:pPr>
            <w:r>
              <w:rPr>
                <w:rFonts w:ascii="Calibri" w:hAnsi="Calibri"/>
                <w:b w:val="0"/>
                <w:color w:val="2D2D2D"/>
                <w:sz w:val="19"/>
              </w:rPr>
              <w:t>3 000 000</w:t>
            </w:r>
          </w:p>
        </w:tc>
      </w:tr>
      <w:tr>
        <w:tc>
          <w:tcPr>
            <w:tcW w:type="dxa" w:w="3135"/>
            <w:shd w:val="clear" w:color="auto" w:fill="F5F7FA"/>
          </w:tcPr>
          <w:p>
            <w:pPr>
              <w:spacing w:before="100" w:after="100"/>
              <w:jc w:val="left"/>
            </w:pPr>
            <w:r>
              <w:rPr>
                <w:rFonts w:ascii="Calibri" w:hAnsi="Calibri"/>
                <w:b w:val="0"/>
                <w:color w:val="2D2D2D"/>
                <w:sz w:val="19"/>
              </w:rPr>
              <w:t>Mises à jour de sécurité</w:t>
            </w:r>
          </w:p>
        </w:tc>
        <w:tc>
          <w:tcPr>
            <w:tcW w:type="dxa" w:w="3135"/>
            <w:shd w:val="clear" w:color="auto" w:fill="F5F7FA"/>
          </w:tcPr>
          <w:p>
            <w:pPr>
              <w:spacing w:before="100" w:after="100"/>
              <w:jc w:val="left"/>
            </w:pPr>
            <w:r>
              <w:rPr>
                <w:rFonts w:ascii="Calibri" w:hAnsi="Calibri"/>
                <w:b w:val="0"/>
                <w:color w:val="2D2D2D"/>
                <w:sz w:val="19"/>
              </w:rPr>
              <w:t>Audits sécurité semestriels, pentest annuel</w:t>
            </w:r>
          </w:p>
        </w:tc>
        <w:tc>
          <w:tcPr>
            <w:tcW w:type="dxa" w:w="3135"/>
            <w:shd w:val="clear" w:color="auto" w:fill="F5F7FA"/>
          </w:tcPr>
          <w:p>
            <w:pPr>
              <w:spacing w:before="100" w:after="100"/>
              <w:jc w:val="right"/>
            </w:pPr>
            <w:r>
              <w:rPr>
                <w:rFonts w:ascii="Calibri" w:hAnsi="Calibri"/>
                <w:b w:val="0"/>
                <w:color w:val="2D2D2D"/>
                <w:sz w:val="19"/>
              </w:rPr>
              <w:t>2 500 000</w:t>
            </w:r>
          </w:p>
        </w:tc>
      </w:tr>
      <w:tr>
        <w:tc>
          <w:tcPr>
            <w:tcW w:type="dxa" w:w="3135"/>
            <w:shd w:val="clear" w:color="auto" w:fill="FFFFFF"/>
          </w:tcPr>
          <w:p>
            <w:pPr>
              <w:spacing w:before="100" w:after="100"/>
              <w:jc w:val="left"/>
            </w:pPr>
            <w:r>
              <w:rPr>
                <w:rFonts w:ascii="Calibri" w:hAnsi="Calibri"/>
                <w:b w:val="0"/>
                <w:color w:val="2D2D2D"/>
                <w:sz w:val="19"/>
              </w:rPr>
              <w:t>Formations complémentaires (2 sessions/an)</w:t>
            </w:r>
          </w:p>
        </w:tc>
        <w:tc>
          <w:tcPr>
            <w:tcW w:type="dxa" w:w="3135"/>
            <w:shd w:val="clear" w:color="auto" w:fill="FFFFFF"/>
          </w:tcPr>
          <w:p>
            <w:pPr>
              <w:spacing w:before="100" w:after="100"/>
              <w:jc w:val="left"/>
            </w:pPr>
            <w:r>
              <w:rPr>
                <w:rFonts w:ascii="Calibri" w:hAnsi="Calibri"/>
                <w:b w:val="0"/>
                <w:color w:val="2D2D2D"/>
                <w:sz w:val="19"/>
              </w:rPr>
              <w:t>Montée en compétences sur nouvelles fonctionnalités</w:t>
            </w:r>
          </w:p>
        </w:tc>
        <w:tc>
          <w:tcPr>
            <w:tcW w:type="dxa" w:w="3135"/>
            <w:shd w:val="clear" w:color="auto" w:fill="FFFFFF"/>
          </w:tcPr>
          <w:p>
            <w:pPr>
              <w:spacing w:before="100" w:after="100"/>
              <w:jc w:val="right"/>
            </w:pPr>
            <w:r>
              <w:rPr>
                <w:rFonts w:ascii="Calibri" w:hAnsi="Calibri"/>
                <w:b w:val="0"/>
                <w:color w:val="2D2D2D"/>
                <w:sz w:val="19"/>
              </w:rPr>
              <w:t>1 800 000</w:t>
            </w:r>
          </w:p>
        </w:tc>
      </w:tr>
      <w:tr>
        <w:tc>
          <w:tcPr>
            <w:tcW w:type="dxa" w:w="3135"/>
            <w:shd w:val="clear" w:color="auto" w:fill="DCF0FF"/>
          </w:tcPr>
          <w:p>
            <w:pPr>
              <w:spacing w:before="100" w:after="100"/>
              <w:jc w:val="left"/>
            </w:pPr>
            <w:r>
              <w:rPr>
                <w:rFonts w:ascii="Calibri" w:hAnsi="Calibri"/>
                <w:b/>
                <w:color w:val="00347C"/>
                <w:sz w:val="19"/>
              </w:rPr>
              <w:t>TOTAL ANNUEL HT</w:t>
            </w:r>
          </w:p>
        </w:tc>
        <w:tc>
          <w:tcPr>
            <w:tcW w:type="dxa" w:w="3135"/>
            <w:shd w:val="clear" w:color="auto" w:fill="DCF0FF"/>
          </w:tcPr>
          <w:p>
            <w:pPr>
              <w:spacing w:before="100" w:after="100"/>
              <w:jc w:val="left"/>
            </w:pPr>
            <w:r>
              <w:rPr>
                <w:rFonts w:ascii="Calibri" w:hAnsi="Calibri"/>
                <w:b/>
                <w:color w:val="00347C"/>
                <w:sz w:val="19"/>
              </w:rPr>
            </w:r>
          </w:p>
        </w:tc>
        <w:tc>
          <w:tcPr>
            <w:tcW w:type="dxa" w:w="3135"/>
            <w:shd w:val="clear" w:color="auto" w:fill="DCF0FF"/>
          </w:tcPr>
          <w:p>
            <w:pPr>
              <w:spacing w:before="100" w:after="100"/>
              <w:jc w:val="right"/>
            </w:pPr>
            <w:r>
              <w:rPr>
                <w:rFonts w:ascii="Calibri" w:hAnsi="Calibri"/>
                <w:b/>
                <w:color w:val="00347C"/>
                <w:sz w:val="19"/>
              </w:rPr>
              <w:t>27 000 000</w:t>
            </w:r>
          </w:p>
        </w:tc>
      </w:tr>
      <w:tr>
        <w:tc>
          <w:tcPr>
            <w:tcW w:type="dxa" w:w="3135"/>
            <w:shd w:val="clear" w:color="auto" w:fill="FFFFFF"/>
          </w:tcPr>
          <w:p>
            <w:pPr>
              <w:spacing w:before="100" w:after="100"/>
              <w:jc w:val="left"/>
            </w:pPr>
            <w:r>
              <w:rPr>
                <w:rFonts w:ascii="Calibri" w:hAnsi="Calibri"/>
                <w:b w:val="0"/>
                <w:color w:val="2D2D2D"/>
                <w:sz w:val="19"/>
              </w:rPr>
              <w:t>TVA (18 %)</w:t>
            </w:r>
          </w:p>
        </w:tc>
        <w:tc>
          <w:tcPr>
            <w:tcW w:type="dxa" w:w="3135"/>
            <w:shd w:val="clear" w:color="auto" w:fill="FFFFFF"/>
          </w:tcPr>
          <w:p>
            <w:pPr>
              <w:spacing w:before="100" w:after="100"/>
              <w:jc w:val="left"/>
            </w:pPr>
            <w:r>
              <w:rPr>
                <w:rFonts w:ascii="Calibri" w:hAnsi="Calibri"/>
                <w:b w:val="0"/>
                <w:color w:val="2D2D2D"/>
                <w:sz w:val="19"/>
              </w:rPr>
            </w:r>
          </w:p>
        </w:tc>
        <w:tc>
          <w:tcPr>
            <w:tcW w:type="dxa" w:w="3135"/>
            <w:shd w:val="clear" w:color="auto" w:fill="FFFFFF"/>
          </w:tcPr>
          <w:p>
            <w:pPr>
              <w:spacing w:before="100" w:after="100"/>
              <w:jc w:val="right"/>
            </w:pPr>
            <w:r>
              <w:rPr>
                <w:rFonts w:ascii="Calibri" w:hAnsi="Calibri"/>
                <w:b w:val="0"/>
                <w:color w:val="2D2D2D"/>
                <w:sz w:val="19"/>
              </w:rPr>
              <w:t>4 860 000</w:t>
            </w:r>
          </w:p>
        </w:tc>
      </w:tr>
      <w:tr>
        <w:tc>
          <w:tcPr>
            <w:tcW w:type="dxa" w:w="3135"/>
            <w:shd w:val="clear" w:color="auto" w:fill="00347C"/>
          </w:tcPr>
          <w:p>
            <w:pPr>
              <w:spacing w:before="100" w:after="100"/>
              <w:jc w:val="left"/>
            </w:pPr>
            <w:r>
              <w:rPr>
                <w:rFonts w:ascii="Calibri" w:hAnsi="Calibri"/>
                <w:b/>
                <w:color w:val="FFFFFF"/>
                <w:sz w:val="19"/>
              </w:rPr>
              <w:t>TOTAL ANNUEL TTC</w:t>
            </w:r>
          </w:p>
        </w:tc>
        <w:tc>
          <w:tcPr>
            <w:tcW w:type="dxa" w:w="3135"/>
            <w:shd w:val="clear" w:color="auto" w:fill="00347C"/>
          </w:tcPr>
          <w:p>
            <w:pPr>
              <w:spacing w:before="100" w:after="100"/>
              <w:jc w:val="left"/>
            </w:pPr>
            <w:r>
              <w:rPr>
                <w:rFonts w:ascii="Calibri" w:hAnsi="Calibri"/>
                <w:b/>
                <w:color w:val="FFFFFF"/>
                <w:sz w:val="19"/>
              </w:rPr>
            </w:r>
          </w:p>
        </w:tc>
        <w:tc>
          <w:tcPr>
            <w:tcW w:type="dxa" w:w="3135"/>
            <w:shd w:val="clear" w:color="auto" w:fill="00347C"/>
          </w:tcPr>
          <w:p>
            <w:pPr>
              <w:spacing w:before="100" w:after="100"/>
              <w:jc w:val="right"/>
            </w:pPr>
            <w:r>
              <w:rPr>
                <w:rFonts w:ascii="Calibri" w:hAnsi="Calibri"/>
                <w:b/>
                <w:color w:val="FFFFFF"/>
                <w:sz w:val="19"/>
              </w:rPr>
              <w:t>31 860 000</w:t>
            </w:r>
          </w:p>
        </w:tc>
      </w:tr>
    </w:tbl>
    <w:p/>
    <w:p>
      <w:pPr>
        <w:spacing w:before="200" w:after="80"/>
      </w:pPr>
      <w:r>
        <w:rPr>
          <w:rFonts w:ascii="Calibri" w:hAnsi="Calibri"/>
          <w:b/>
          <w:color w:val="0072C6"/>
          <w:sz w:val="24"/>
        </w:rPr>
        <w:t>9.3  Récapitulatif financier global (5 ans)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347C"/>
          </w:tcPr>
          <w:p>
            <w:pPr>
              <w:spacing w:before="100" w:after="100"/>
              <w:jc w:val="left"/>
            </w:pPr>
            <w:r>
              <w:rPr>
                <w:rFonts w:ascii="Calibri" w:hAnsi="Calibri"/>
                <w:b/>
                <w:color w:val="FFFFFF"/>
                <w:sz w:val="20"/>
              </w:rPr>
              <w:t>Période</w:t>
            </w:r>
          </w:p>
        </w:tc>
        <w:tc>
          <w:tcPr>
            <w:tcW w:type="dxa" w:w="3135"/>
            <w:shd w:val="clear" w:color="auto" w:fill="00347C"/>
          </w:tcPr>
          <w:p>
            <w:pPr>
              <w:spacing w:before="100" w:after="100"/>
              <w:jc w:val="right"/>
            </w:pPr>
            <w:r>
              <w:rPr>
                <w:rFonts w:ascii="Calibri" w:hAnsi="Calibri"/>
                <w:b/>
                <w:color w:val="FFFFFF"/>
                <w:sz w:val="20"/>
              </w:rPr>
              <w:t>Montant TTC (FCFA)</w:t>
            </w:r>
          </w:p>
        </w:tc>
        <w:tc>
          <w:tcPr>
            <w:tcW w:type="dxa" w:w="3135"/>
            <w:shd w:val="clear" w:color="auto" w:fill="00347C"/>
          </w:tcPr>
          <w:p>
            <w:pPr>
              <w:spacing w:before="100" w:after="100"/>
              <w:jc w:val="right"/>
            </w:pPr>
            <w:r>
              <w:rPr>
                <w:rFonts w:ascii="Calibri" w:hAnsi="Calibri"/>
                <w:b/>
                <w:color w:val="FFFFFF"/>
                <w:sz w:val="20"/>
              </w:rPr>
              <w:t>Cumul TTC (FCFA)</w:t>
            </w:r>
          </w:p>
        </w:tc>
      </w:tr>
      <w:tr>
        <w:tc>
          <w:tcPr>
            <w:tcW w:type="dxa" w:w="3135"/>
            <w:shd w:val="clear" w:color="auto" w:fill="FFFFFF"/>
          </w:tcPr>
          <w:p>
            <w:pPr>
              <w:spacing w:before="100" w:after="100"/>
              <w:jc w:val="left"/>
            </w:pPr>
            <w:r>
              <w:rPr>
                <w:rFonts w:ascii="Calibri" w:hAnsi="Calibri"/>
                <w:b w:val="0"/>
                <w:color w:val="2D2D2D"/>
                <w:sz w:val="20"/>
              </w:rPr>
              <w:t>Investissement initial (An 1)</w:t>
            </w:r>
          </w:p>
        </w:tc>
        <w:tc>
          <w:tcPr>
            <w:tcW w:type="dxa" w:w="3135"/>
            <w:shd w:val="clear" w:color="auto" w:fill="FFFFFF"/>
          </w:tcPr>
          <w:p>
            <w:pPr>
              <w:spacing w:before="100" w:after="100"/>
              <w:jc w:val="right"/>
            </w:pPr>
            <w:r>
              <w:rPr>
                <w:rFonts w:ascii="Calibri" w:hAnsi="Calibri"/>
                <w:b w:val="0"/>
                <w:color w:val="2D2D2D"/>
                <w:sz w:val="20"/>
              </w:rPr>
              <w:t>103 840 000</w:t>
            </w:r>
          </w:p>
        </w:tc>
        <w:tc>
          <w:tcPr>
            <w:tcW w:type="dxa" w:w="3135"/>
            <w:shd w:val="clear" w:color="auto" w:fill="FFFFFF"/>
          </w:tcPr>
          <w:p>
            <w:pPr>
              <w:spacing w:before="100" w:after="100"/>
              <w:jc w:val="right"/>
            </w:pPr>
            <w:r>
              <w:rPr>
                <w:rFonts w:ascii="Calibri" w:hAnsi="Calibri"/>
                <w:b w:val="0"/>
                <w:color w:val="2D2D2D"/>
                <w:sz w:val="20"/>
              </w:rPr>
              <w:t>103 840 000</w:t>
            </w:r>
          </w:p>
        </w:tc>
      </w:tr>
      <w:tr>
        <w:tc>
          <w:tcPr>
            <w:tcW w:type="dxa" w:w="3135"/>
            <w:shd w:val="clear" w:color="auto" w:fill="F5F7FA"/>
          </w:tcPr>
          <w:p>
            <w:pPr>
              <w:spacing w:before="100" w:after="100"/>
              <w:jc w:val="left"/>
            </w:pPr>
            <w:r>
              <w:rPr>
                <w:rFonts w:ascii="Calibri" w:hAnsi="Calibri"/>
                <w:b w:val="0"/>
                <w:color w:val="2D2D2D"/>
                <w:sz w:val="20"/>
              </w:rPr>
              <w:t>Maintenance An 2</w:t>
            </w:r>
          </w:p>
        </w:tc>
        <w:tc>
          <w:tcPr>
            <w:tcW w:type="dxa" w:w="3135"/>
            <w:shd w:val="clear" w:color="auto" w:fill="F5F7FA"/>
          </w:tcPr>
          <w:p>
            <w:pPr>
              <w:spacing w:before="100" w:after="100"/>
              <w:jc w:val="right"/>
            </w:pPr>
            <w:r>
              <w:rPr>
                <w:rFonts w:ascii="Calibri" w:hAnsi="Calibri"/>
                <w:b w:val="0"/>
                <w:color w:val="2D2D2D"/>
                <w:sz w:val="20"/>
              </w:rPr>
              <w:t>31 860 000</w:t>
            </w:r>
          </w:p>
        </w:tc>
        <w:tc>
          <w:tcPr>
            <w:tcW w:type="dxa" w:w="3135"/>
            <w:shd w:val="clear" w:color="auto" w:fill="F5F7FA"/>
          </w:tcPr>
          <w:p>
            <w:pPr>
              <w:spacing w:before="100" w:after="100"/>
              <w:jc w:val="right"/>
            </w:pPr>
            <w:r>
              <w:rPr>
                <w:rFonts w:ascii="Calibri" w:hAnsi="Calibri"/>
                <w:b w:val="0"/>
                <w:color w:val="2D2D2D"/>
                <w:sz w:val="20"/>
              </w:rPr>
              <w:t>135 700 000</w:t>
            </w:r>
          </w:p>
        </w:tc>
      </w:tr>
      <w:tr>
        <w:tc>
          <w:tcPr>
            <w:tcW w:type="dxa" w:w="3135"/>
            <w:shd w:val="clear" w:color="auto" w:fill="FFFFFF"/>
          </w:tcPr>
          <w:p>
            <w:pPr>
              <w:spacing w:before="100" w:after="100"/>
              <w:jc w:val="left"/>
            </w:pPr>
            <w:r>
              <w:rPr>
                <w:rFonts w:ascii="Calibri" w:hAnsi="Calibri"/>
                <w:b w:val="0"/>
                <w:color w:val="2D2D2D"/>
                <w:sz w:val="20"/>
              </w:rPr>
              <w:t>Maintenance An 3</w:t>
            </w:r>
          </w:p>
        </w:tc>
        <w:tc>
          <w:tcPr>
            <w:tcW w:type="dxa" w:w="3135"/>
            <w:shd w:val="clear" w:color="auto" w:fill="FFFFFF"/>
          </w:tcPr>
          <w:p>
            <w:pPr>
              <w:spacing w:before="100" w:after="100"/>
              <w:jc w:val="right"/>
            </w:pPr>
            <w:r>
              <w:rPr>
                <w:rFonts w:ascii="Calibri" w:hAnsi="Calibri"/>
                <w:b w:val="0"/>
                <w:color w:val="2D2D2D"/>
                <w:sz w:val="20"/>
              </w:rPr>
              <w:t>31 860 000</w:t>
            </w:r>
          </w:p>
        </w:tc>
        <w:tc>
          <w:tcPr>
            <w:tcW w:type="dxa" w:w="3135"/>
            <w:shd w:val="clear" w:color="auto" w:fill="FFFFFF"/>
          </w:tcPr>
          <w:p>
            <w:pPr>
              <w:spacing w:before="100" w:after="100"/>
              <w:jc w:val="right"/>
            </w:pPr>
            <w:r>
              <w:rPr>
                <w:rFonts w:ascii="Calibri" w:hAnsi="Calibri"/>
                <w:b w:val="0"/>
                <w:color w:val="2D2D2D"/>
                <w:sz w:val="20"/>
              </w:rPr>
              <w:t>167 560 000</w:t>
            </w:r>
          </w:p>
        </w:tc>
      </w:tr>
      <w:tr>
        <w:tc>
          <w:tcPr>
            <w:tcW w:type="dxa" w:w="3135"/>
            <w:shd w:val="clear" w:color="auto" w:fill="F5F7FA"/>
          </w:tcPr>
          <w:p>
            <w:pPr>
              <w:spacing w:before="100" w:after="100"/>
              <w:jc w:val="left"/>
            </w:pPr>
            <w:r>
              <w:rPr>
                <w:rFonts w:ascii="Calibri" w:hAnsi="Calibri"/>
                <w:b w:val="0"/>
                <w:color w:val="2D2D2D"/>
                <w:sz w:val="20"/>
              </w:rPr>
              <w:t>Maintenance An 4</w:t>
            </w:r>
          </w:p>
        </w:tc>
        <w:tc>
          <w:tcPr>
            <w:tcW w:type="dxa" w:w="3135"/>
            <w:shd w:val="clear" w:color="auto" w:fill="F5F7FA"/>
          </w:tcPr>
          <w:p>
            <w:pPr>
              <w:spacing w:before="100" w:after="100"/>
              <w:jc w:val="right"/>
            </w:pPr>
            <w:r>
              <w:rPr>
                <w:rFonts w:ascii="Calibri" w:hAnsi="Calibri"/>
                <w:b w:val="0"/>
                <w:color w:val="2D2D2D"/>
                <w:sz w:val="20"/>
              </w:rPr>
              <w:t>31 860 000</w:t>
            </w:r>
          </w:p>
        </w:tc>
        <w:tc>
          <w:tcPr>
            <w:tcW w:type="dxa" w:w="3135"/>
            <w:shd w:val="clear" w:color="auto" w:fill="F5F7FA"/>
          </w:tcPr>
          <w:p>
            <w:pPr>
              <w:spacing w:before="100" w:after="100"/>
              <w:jc w:val="right"/>
            </w:pPr>
            <w:r>
              <w:rPr>
                <w:rFonts w:ascii="Calibri" w:hAnsi="Calibri"/>
                <w:b w:val="0"/>
                <w:color w:val="2D2D2D"/>
                <w:sz w:val="20"/>
              </w:rPr>
              <w:t>199 420 000</w:t>
            </w:r>
          </w:p>
        </w:tc>
      </w:tr>
      <w:tr>
        <w:tc>
          <w:tcPr>
            <w:tcW w:type="dxa" w:w="3135"/>
            <w:shd w:val="clear" w:color="auto" w:fill="FFFFFF"/>
          </w:tcPr>
          <w:p>
            <w:pPr>
              <w:spacing w:before="100" w:after="100"/>
              <w:jc w:val="left"/>
            </w:pPr>
            <w:r>
              <w:rPr>
                <w:rFonts w:ascii="Calibri" w:hAnsi="Calibri"/>
                <w:b w:val="0"/>
                <w:color w:val="2D2D2D"/>
                <w:sz w:val="20"/>
              </w:rPr>
              <w:t>Maintenance An 5</w:t>
            </w:r>
          </w:p>
        </w:tc>
        <w:tc>
          <w:tcPr>
            <w:tcW w:type="dxa" w:w="3135"/>
            <w:shd w:val="clear" w:color="auto" w:fill="FFFFFF"/>
          </w:tcPr>
          <w:p>
            <w:pPr>
              <w:spacing w:before="100" w:after="100"/>
              <w:jc w:val="right"/>
            </w:pPr>
            <w:r>
              <w:rPr>
                <w:rFonts w:ascii="Calibri" w:hAnsi="Calibri"/>
                <w:b w:val="0"/>
                <w:color w:val="2D2D2D"/>
                <w:sz w:val="20"/>
              </w:rPr>
              <w:t>31 860 000</w:t>
            </w:r>
          </w:p>
        </w:tc>
        <w:tc>
          <w:tcPr>
            <w:tcW w:type="dxa" w:w="3135"/>
            <w:shd w:val="clear" w:color="auto" w:fill="FFFFFF"/>
          </w:tcPr>
          <w:p>
            <w:pPr>
              <w:spacing w:before="100" w:after="100"/>
              <w:jc w:val="right"/>
            </w:pPr>
            <w:r>
              <w:rPr>
                <w:rFonts w:ascii="Calibri" w:hAnsi="Calibri"/>
                <w:b w:val="0"/>
                <w:color w:val="2D2D2D"/>
                <w:sz w:val="20"/>
              </w:rPr>
              <w:t>231 280 000</w:t>
            </w:r>
          </w:p>
        </w:tc>
      </w:tr>
      <w:tr>
        <w:tc>
          <w:tcPr>
            <w:tcW w:type="dxa" w:w="3135"/>
            <w:shd w:val="clear" w:color="auto" w:fill="F47E1C"/>
          </w:tcPr>
          <w:p>
            <w:pPr>
              <w:spacing w:before="100" w:after="100"/>
              <w:jc w:val="left"/>
            </w:pPr>
            <w:r>
              <w:rPr>
                <w:rFonts w:ascii="Calibri" w:hAnsi="Calibri"/>
                <w:b/>
                <w:color w:val="FFFFFF"/>
                <w:sz w:val="20"/>
              </w:rPr>
              <w:t>COÛT TOTAL SUR 5 ANS (TTC)</w:t>
            </w:r>
          </w:p>
        </w:tc>
        <w:tc>
          <w:tcPr>
            <w:tcW w:type="dxa" w:w="3135"/>
            <w:shd w:val="clear" w:color="auto" w:fill="F47E1C"/>
          </w:tcPr>
          <w:p>
            <w:pPr>
              <w:spacing w:before="100" w:after="100"/>
              <w:jc w:val="right"/>
            </w:pPr>
            <w:r>
              <w:rPr>
                <w:rFonts w:ascii="Calibri" w:hAnsi="Calibri"/>
                <w:b/>
                <w:color w:val="FFFFFF"/>
                <w:sz w:val="20"/>
              </w:rPr>
              <w:t>231 280 000</w:t>
            </w:r>
          </w:p>
        </w:tc>
        <w:tc>
          <w:tcPr>
            <w:tcW w:type="dxa" w:w="3135"/>
            <w:shd w:val="clear" w:color="auto" w:fill="F47E1C"/>
          </w:tcPr>
          <w:p>
            <w:pPr>
              <w:spacing w:before="100" w:after="100"/>
              <w:jc w:val="right"/>
            </w:pPr>
            <w:r>
              <w:rPr>
                <w:rFonts w:ascii="Calibri" w:hAnsi="Calibri"/>
                <w:b/>
                <w:color w:val="FFFFFF"/>
                <w:sz w:val="20"/>
              </w:rPr>
              <w:t>–</w:t>
            </w:r>
          </w:p>
        </w:tc>
      </w:tr>
    </w:tbl>
    <w:p>
      <w:pPr>
        <w:spacing w:before="200" w:after="80"/>
      </w:pPr>
      <w:r>
        <w:rPr>
          <w:rFonts w:ascii="Calibri" w:hAnsi="Calibri"/>
          <w:b/>
          <w:color w:val="0072C6"/>
          <w:sz w:val="24"/>
        </w:rPr>
        <w:t>9.4  Modalités de paiement</w:t>
      </w:r>
    </w:p>
    <w:p>
      <w:pPr>
        <w:pStyle w:val="ListBullet"/>
        <w:spacing w:before="40" w:after="40"/>
      </w:pPr>
      <w:r>
        <w:rPr>
          <w:rFonts w:ascii="Calibri" w:hAnsi="Calibri"/>
          <w:b w:val="0"/>
          <w:color w:val="2D2D2D"/>
          <w:sz w:val="21"/>
        </w:rPr>
        <w:t>30 % à la signature du contrat : 31 152 000 FCFA TTC — déclenchement des travaux</w:t>
      </w:r>
    </w:p>
    <w:p>
      <w:pPr>
        <w:pStyle w:val="ListBullet"/>
        <w:spacing w:before="40" w:after="40"/>
      </w:pPr>
      <w:r>
        <w:rPr>
          <w:rFonts w:ascii="Calibri" w:hAnsi="Calibri"/>
          <w:b w:val="0"/>
          <w:color w:val="2D2D2D"/>
          <w:sz w:val="21"/>
        </w:rPr>
        <w:t>30 % à la Réception de la Phase 2 (pilote Abidjan validé) : 31 152 000 FCFA TTC</w:t>
      </w:r>
    </w:p>
    <w:p>
      <w:pPr>
        <w:pStyle w:val="ListBullet"/>
        <w:spacing w:before="40" w:after="40"/>
      </w:pPr>
      <w:r>
        <w:rPr>
          <w:rFonts w:ascii="Calibri" w:hAnsi="Calibri"/>
          <w:b w:val="0"/>
          <w:color w:val="2D2D2D"/>
          <w:sz w:val="21"/>
        </w:rPr>
        <w:t>25 % à la Réception de la Phase 3 (déploiement national validé) : 25 960 000 FCFA TTC</w:t>
      </w:r>
    </w:p>
    <w:p>
      <w:pPr>
        <w:pStyle w:val="ListBullet"/>
        <w:spacing w:before="40" w:after="40"/>
      </w:pPr>
      <w:r>
        <w:rPr>
          <w:rFonts w:ascii="Calibri" w:hAnsi="Calibri"/>
          <w:b w:val="0"/>
          <w:color w:val="2D2D2D"/>
          <w:sz w:val="21"/>
        </w:rPr>
        <w:t>15 % à la Réception Définitive (Phase 4 – rapport annuel livré) : 15 576 000 FCFA TTC</w:t>
      </w:r>
    </w:p>
    <w:p>
      <w:pPr>
        <w:spacing w:before="60" w:after="60" w:line="360" w:lineRule="auto"/>
        <w:jc w:val="both"/>
      </w:pPr>
      <w:r>
        <w:rPr>
          <w:rFonts w:ascii="Calibri" w:hAnsi="Calibri"/>
          <w:i/>
          <w:color w:val="666666"/>
          <w:sz w:val="21"/>
        </w:rPr>
        <w:t>Paiement par virement bancaire. Devise : Franc CFA XOF. TVA applicable : 18 %. Les prix sont fermes et non révisables pendant toute la durée du projet. Validité de l'offre : 90 jours à compter du 13 June 2026.</w:t>
      </w:r>
    </w:p>
    <w:p>
      <w:r>
        <w:br w:type="page"/>
      </w:r>
    </w:p>
    <w:p>
      <w:pPr>
        <w:spacing w:before="0" w:after="120"/>
      </w:pPr>
      <w:r>
        <w:rPr>
          <w:rFonts w:ascii="Calibri" w:hAnsi="Calibri"/>
          <w:b/>
          <w:color w:val="00347C"/>
          <w:sz w:val="30"/>
        </w:rPr>
        <w:t>10.  NIVEAUX DE SERVICE (SLA)</w:t>
      </w:r>
    </w:p>
    <w:p>
      <w:pPr>
        <w:pBdr>
          <w:bottom w:val="single" w:sz="6" w:space="1" w:color="00347C"/>
        </w:pBdr>
        <w:spacing w:before="20" w:after="40"/>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347C"/>
          </w:tcPr>
          <w:p>
            <w:pPr>
              <w:spacing w:before="100" w:after="100"/>
            </w:pPr>
            <w:r>
              <w:rPr>
                <w:rFonts w:ascii="Calibri" w:hAnsi="Calibri"/>
                <w:b/>
                <w:color w:val="FFFFFF"/>
                <w:sz w:val="18"/>
              </w:rPr>
              <w:t>Indicateur de service</w:t>
            </w:r>
          </w:p>
        </w:tc>
        <w:tc>
          <w:tcPr>
            <w:tcW w:type="dxa" w:w="3135"/>
            <w:shd w:val="clear" w:color="auto" w:fill="00347C"/>
          </w:tcPr>
          <w:p>
            <w:pPr>
              <w:spacing w:before="100" w:after="100"/>
            </w:pPr>
            <w:r>
              <w:rPr>
                <w:rFonts w:ascii="Calibri" w:hAnsi="Calibri"/>
                <w:b/>
                <w:color w:val="FFFFFF"/>
                <w:sz w:val="18"/>
              </w:rPr>
              <w:t>Engagement contractuel</w:t>
            </w:r>
          </w:p>
        </w:tc>
        <w:tc>
          <w:tcPr>
            <w:tcW w:type="dxa" w:w="3135"/>
            <w:shd w:val="clear" w:color="auto" w:fill="00347C"/>
          </w:tcPr>
          <w:p>
            <w:pPr>
              <w:spacing w:before="100" w:after="100"/>
            </w:pPr>
            <w:r>
              <w:rPr>
                <w:rFonts w:ascii="Calibri" w:hAnsi="Calibri"/>
                <w:b/>
                <w:color w:val="FFFFFF"/>
                <w:sz w:val="18"/>
              </w:rPr>
              <w:t>Pénalité si non-respect</w:t>
            </w:r>
          </w:p>
        </w:tc>
      </w:tr>
      <w:tr>
        <w:tc>
          <w:tcPr>
            <w:tcW w:type="dxa" w:w="3135"/>
            <w:shd w:val="clear" w:color="auto" w:fill="FFFFFF"/>
          </w:tcPr>
          <w:p>
            <w:pPr>
              <w:spacing w:before="100" w:after="100"/>
            </w:pPr>
            <w:r>
              <w:rPr>
                <w:rFonts w:ascii="Calibri" w:hAnsi="Calibri"/>
                <w:b/>
                <w:color w:val="00347C"/>
                <w:sz w:val="19"/>
              </w:rPr>
              <w:t>Disponibilité de la plateforme</w:t>
            </w:r>
          </w:p>
        </w:tc>
        <w:tc>
          <w:tcPr>
            <w:tcW w:type="dxa" w:w="3135"/>
            <w:shd w:val="clear" w:color="auto" w:fill="FFFFFF"/>
          </w:tcPr>
          <w:p>
            <w:pPr>
              <w:spacing w:before="100" w:after="100"/>
            </w:pPr>
            <w:r>
              <w:rPr>
                <w:rFonts w:ascii="Calibri" w:hAnsi="Calibri"/>
                <w:b w:val="0"/>
                <w:color w:val="2D2D2D"/>
                <w:sz w:val="19"/>
              </w:rPr>
              <w:t>99,5 % / mois (hors maintenances)</w:t>
            </w:r>
          </w:p>
        </w:tc>
        <w:tc>
          <w:tcPr>
            <w:tcW w:type="dxa" w:w="3135"/>
            <w:shd w:val="clear" w:color="auto" w:fill="FFFFFF"/>
          </w:tcPr>
          <w:p>
            <w:pPr>
              <w:spacing w:before="100" w:after="100"/>
            </w:pPr>
            <w:r>
              <w:rPr>
                <w:rFonts w:ascii="Calibri" w:hAnsi="Calibri"/>
                <w:b w:val="0"/>
                <w:color w:val="2D2D2D"/>
                <w:sz w:val="19"/>
              </w:rPr>
              <w:t>Crédit d'1 mois de maintenance</w:t>
            </w:r>
          </w:p>
        </w:tc>
      </w:tr>
      <w:tr>
        <w:tc>
          <w:tcPr>
            <w:tcW w:type="dxa" w:w="3135"/>
            <w:shd w:val="clear" w:color="auto" w:fill="F5F7FA"/>
          </w:tcPr>
          <w:p>
            <w:pPr>
              <w:spacing w:before="100" w:after="100"/>
            </w:pPr>
            <w:r>
              <w:rPr>
                <w:rFonts w:ascii="Calibri" w:hAnsi="Calibri"/>
                <w:b/>
                <w:color w:val="00347C"/>
                <w:sz w:val="19"/>
              </w:rPr>
              <w:t>Temps de réponse – Page web</w:t>
            </w:r>
          </w:p>
        </w:tc>
        <w:tc>
          <w:tcPr>
            <w:tcW w:type="dxa" w:w="3135"/>
            <w:shd w:val="clear" w:color="auto" w:fill="F5F7FA"/>
          </w:tcPr>
          <w:p>
            <w:pPr>
              <w:spacing w:before="100" w:after="100"/>
            </w:pPr>
            <w:r>
              <w:rPr>
                <w:rFonts w:ascii="Calibri" w:hAnsi="Calibri"/>
                <w:b w:val="0"/>
                <w:color w:val="2D2D2D"/>
                <w:sz w:val="19"/>
              </w:rPr>
              <w:t>&lt; 2 secondes (95e percentile)</w:t>
            </w:r>
          </w:p>
        </w:tc>
        <w:tc>
          <w:tcPr>
            <w:tcW w:type="dxa" w:w="3135"/>
            <w:shd w:val="clear" w:color="auto" w:fill="F5F7FA"/>
          </w:tcPr>
          <w:p>
            <w:pPr>
              <w:spacing w:before="100" w:after="100"/>
            </w:pPr>
            <w:r>
              <w:rPr>
                <w:rFonts w:ascii="Calibri" w:hAnsi="Calibri"/>
                <w:b w:val="0"/>
                <w:color w:val="2D2D2D"/>
                <w:sz w:val="19"/>
              </w:rPr>
              <w:t>Rapport d'incident dans 48h</w:t>
            </w:r>
          </w:p>
        </w:tc>
      </w:tr>
      <w:tr>
        <w:tc>
          <w:tcPr>
            <w:tcW w:type="dxa" w:w="3135"/>
            <w:shd w:val="clear" w:color="auto" w:fill="FFFFFF"/>
          </w:tcPr>
          <w:p>
            <w:pPr>
              <w:spacing w:before="100" w:after="100"/>
            </w:pPr>
            <w:r>
              <w:rPr>
                <w:rFonts w:ascii="Calibri" w:hAnsi="Calibri"/>
                <w:b/>
                <w:color w:val="00347C"/>
                <w:sz w:val="19"/>
              </w:rPr>
              <w:t>Temps de réponse – API</w:t>
            </w:r>
          </w:p>
        </w:tc>
        <w:tc>
          <w:tcPr>
            <w:tcW w:type="dxa" w:w="3135"/>
            <w:shd w:val="clear" w:color="auto" w:fill="FFFFFF"/>
          </w:tcPr>
          <w:p>
            <w:pPr>
              <w:spacing w:before="100" w:after="100"/>
            </w:pPr>
            <w:r>
              <w:rPr>
                <w:rFonts w:ascii="Calibri" w:hAnsi="Calibri"/>
                <w:b w:val="0"/>
                <w:color w:val="2D2D2D"/>
                <w:sz w:val="19"/>
              </w:rPr>
              <w:t>&lt; 500ms (95e percentile)</w:t>
            </w:r>
          </w:p>
        </w:tc>
        <w:tc>
          <w:tcPr>
            <w:tcW w:type="dxa" w:w="3135"/>
            <w:shd w:val="clear" w:color="auto" w:fill="FFFFFF"/>
          </w:tcPr>
          <w:p>
            <w:pPr>
              <w:spacing w:before="100" w:after="100"/>
            </w:pPr>
            <w:r>
              <w:rPr>
                <w:rFonts w:ascii="Calibri" w:hAnsi="Calibri"/>
                <w:b w:val="0"/>
                <w:color w:val="2D2D2D"/>
                <w:sz w:val="19"/>
              </w:rPr>
              <w:t>Rapport d'incident dans 48h</w:t>
            </w:r>
          </w:p>
        </w:tc>
      </w:tr>
      <w:tr>
        <w:tc>
          <w:tcPr>
            <w:tcW w:type="dxa" w:w="3135"/>
            <w:shd w:val="clear" w:color="auto" w:fill="F5F7FA"/>
          </w:tcPr>
          <w:p>
            <w:pPr>
              <w:spacing w:before="100" w:after="100"/>
            </w:pPr>
            <w:r>
              <w:rPr>
                <w:rFonts w:ascii="Calibri" w:hAnsi="Calibri"/>
                <w:b/>
                <w:color w:val="00347C"/>
                <w:sz w:val="19"/>
              </w:rPr>
              <w:t>Incident CRITIQUE (plateforme down)</w:t>
            </w:r>
          </w:p>
        </w:tc>
        <w:tc>
          <w:tcPr>
            <w:tcW w:type="dxa" w:w="3135"/>
            <w:shd w:val="clear" w:color="auto" w:fill="F5F7FA"/>
          </w:tcPr>
          <w:p>
            <w:pPr>
              <w:spacing w:before="100" w:after="100"/>
            </w:pPr>
            <w:r>
              <w:rPr>
                <w:rFonts w:ascii="Calibri" w:hAnsi="Calibri"/>
                <w:b w:val="0"/>
                <w:color w:val="2D2D2D"/>
                <w:sz w:val="19"/>
              </w:rPr>
              <w:t>Prise en charge &lt; 1h, résolution &lt; 4h</w:t>
            </w:r>
          </w:p>
        </w:tc>
        <w:tc>
          <w:tcPr>
            <w:tcW w:type="dxa" w:w="3135"/>
            <w:shd w:val="clear" w:color="auto" w:fill="F5F7FA"/>
          </w:tcPr>
          <w:p>
            <w:pPr>
              <w:spacing w:before="100" w:after="100"/>
            </w:pPr>
            <w:r>
              <w:rPr>
                <w:rFonts w:ascii="Calibri" w:hAnsi="Calibri"/>
                <w:b w:val="0"/>
                <w:color w:val="2D2D2D"/>
                <w:sz w:val="19"/>
              </w:rPr>
              <w:t>Crédit proportionnel</w:t>
            </w:r>
          </w:p>
        </w:tc>
      </w:tr>
      <w:tr>
        <w:tc>
          <w:tcPr>
            <w:tcW w:type="dxa" w:w="3135"/>
            <w:shd w:val="clear" w:color="auto" w:fill="FFFFFF"/>
          </w:tcPr>
          <w:p>
            <w:pPr>
              <w:spacing w:before="100" w:after="100"/>
            </w:pPr>
            <w:r>
              <w:rPr>
                <w:rFonts w:ascii="Calibri" w:hAnsi="Calibri"/>
                <w:b/>
                <w:color w:val="00347C"/>
                <w:sz w:val="19"/>
              </w:rPr>
              <w:t>Incident MAJEUR (module bloqué)</w:t>
            </w:r>
          </w:p>
        </w:tc>
        <w:tc>
          <w:tcPr>
            <w:tcW w:type="dxa" w:w="3135"/>
            <w:shd w:val="clear" w:color="auto" w:fill="FFFFFF"/>
          </w:tcPr>
          <w:p>
            <w:pPr>
              <w:spacing w:before="100" w:after="100"/>
            </w:pPr>
            <w:r>
              <w:rPr>
                <w:rFonts w:ascii="Calibri" w:hAnsi="Calibri"/>
                <w:b w:val="0"/>
                <w:color w:val="2D2D2D"/>
                <w:sz w:val="19"/>
              </w:rPr>
              <w:t>Prise en charge &lt; 4h, résolution &lt; 8h</w:t>
            </w:r>
          </w:p>
        </w:tc>
        <w:tc>
          <w:tcPr>
            <w:tcW w:type="dxa" w:w="3135"/>
            <w:shd w:val="clear" w:color="auto" w:fill="FFFFFF"/>
          </w:tcPr>
          <w:p>
            <w:pPr>
              <w:spacing w:before="100" w:after="100"/>
            </w:pPr>
            <w:r>
              <w:rPr>
                <w:rFonts w:ascii="Calibri" w:hAnsi="Calibri"/>
                <w:b w:val="0"/>
                <w:color w:val="2D2D2D"/>
                <w:sz w:val="19"/>
              </w:rPr>
              <w:t>Rapport d'analyse</w:t>
            </w:r>
          </w:p>
        </w:tc>
      </w:tr>
      <w:tr>
        <w:tc>
          <w:tcPr>
            <w:tcW w:type="dxa" w:w="3135"/>
            <w:shd w:val="clear" w:color="auto" w:fill="F5F7FA"/>
          </w:tcPr>
          <w:p>
            <w:pPr>
              <w:spacing w:before="100" w:after="100"/>
            </w:pPr>
            <w:r>
              <w:rPr>
                <w:rFonts w:ascii="Calibri" w:hAnsi="Calibri"/>
                <w:b/>
                <w:color w:val="00347C"/>
                <w:sz w:val="19"/>
              </w:rPr>
              <w:t>Incident MINEUR (bug non bloquant)</w:t>
            </w:r>
          </w:p>
        </w:tc>
        <w:tc>
          <w:tcPr>
            <w:tcW w:type="dxa" w:w="3135"/>
            <w:shd w:val="clear" w:color="auto" w:fill="F5F7FA"/>
          </w:tcPr>
          <w:p>
            <w:pPr>
              <w:spacing w:before="100" w:after="100"/>
            </w:pPr>
            <w:r>
              <w:rPr>
                <w:rFonts w:ascii="Calibri" w:hAnsi="Calibri"/>
                <w:b w:val="0"/>
                <w:color w:val="2D2D2D"/>
                <w:sz w:val="19"/>
              </w:rPr>
              <w:t>Résolution dans les 3 jours ouvrés</w:t>
            </w:r>
          </w:p>
        </w:tc>
        <w:tc>
          <w:tcPr>
            <w:tcW w:type="dxa" w:w="3135"/>
            <w:shd w:val="clear" w:color="auto" w:fill="F5F7FA"/>
          </w:tcPr>
          <w:p>
            <w:pPr>
              <w:spacing w:before="100" w:after="100"/>
            </w:pPr>
            <w:r>
              <w:rPr>
                <w:rFonts w:ascii="Calibri" w:hAnsi="Calibri"/>
                <w:b w:val="0"/>
                <w:color w:val="2D2D2D"/>
                <w:sz w:val="19"/>
              </w:rPr>
              <w:t>Suivi hebdomadaire</w:t>
            </w:r>
          </w:p>
        </w:tc>
      </w:tr>
      <w:tr>
        <w:tc>
          <w:tcPr>
            <w:tcW w:type="dxa" w:w="3135"/>
            <w:shd w:val="clear" w:color="auto" w:fill="FFFFFF"/>
          </w:tcPr>
          <w:p>
            <w:pPr>
              <w:spacing w:before="100" w:after="100"/>
            </w:pPr>
            <w:r>
              <w:rPr>
                <w:rFonts w:ascii="Calibri" w:hAnsi="Calibri"/>
                <w:b/>
                <w:color w:val="00347C"/>
                <w:sz w:val="19"/>
              </w:rPr>
              <w:t>Sauvegarde des données</w:t>
            </w:r>
          </w:p>
        </w:tc>
        <w:tc>
          <w:tcPr>
            <w:tcW w:type="dxa" w:w="3135"/>
            <w:shd w:val="clear" w:color="auto" w:fill="FFFFFF"/>
          </w:tcPr>
          <w:p>
            <w:pPr>
              <w:spacing w:before="100" w:after="100"/>
            </w:pPr>
            <w:r>
              <w:rPr>
                <w:rFonts w:ascii="Calibri" w:hAnsi="Calibri"/>
                <w:b w:val="0"/>
                <w:color w:val="2D2D2D"/>
                <w:sz w:val="19"/>
              </w:rPr>
              <w:t>Quotidienne – Rétention 30 jours</w:t>
            </w:r>
          </w:p>
        </w:tc>
        <w:tc>
          <w:tcPr>
            <w:tcW w:type="dxa" w:w="3135"/>
            <w:shd w:val="clear" w:color="auto" w:fill="FFFFFF"/>
          </w:tcPr>
          <w:p>
            <w:pPr>
              <w:spacing w:before="100" w:after="100"/>
            </w:pPr>
            <w:r>
              <w:rPr>
                <w:rFonts w:ascii="Calibri" w:hAnsi="Calibri"/>
                <w:b w:val="0"/>
                <w:color w:val="2D2D2D"/>
                <w:sz w:val="19"/>
              </w:rPr>
              <w:t>Audit immédiat</w:t>
            </w:r>
          </w:p>
        </w:tc>
      </w:tr>
      <w:tr>
        <w:tc>
          <w:tcPr>
            <w:tcW w:type="dxa" w:w="3135"/>
            <w:shd w:val="clear" w:color="auto" w:fill="F5F7FA"/>
          </w:tcPr>
          <w:p>
            <w:pPr>
              <w:spacing w:before="100" w:after="100"/>
            </w:pPr>
            <w:r>
              <w:rPr>
                <w:rFonts w:ascii="Calibri" w:hAnsi="Calibri"/>
                <w:b/>
                <w:color w:val="00347C"/>
                <w:sz w:val="19"/>
              </w:rPr>
              <w:t>Restauration des données (RTO)</w:t>
            </w:r>
          </w:p>
        </w:tc>
        <w:tc>
          <w:tcPr>
            <w:tcW w:type="dxa" w:w="3135"/>
            <w:shd w:val="clear" w:color="auto" w:fill="F5F7FA"/>
          </w:tcPr>
          <w:p>
            <w:pPr>
              <w:spacing w:before="100" w:after="100"/>
            </w:pPr>
            <w:r>
              <w:rPr>
                <w:rFonts w:ascii="Calibri" w:hAnsi="Calibri"/>
                <w:b w:val="0"/>
                <w:color w:val="2D2D2D"/>
                <w:sz w:val="19"/>
              </w:rPr>
              <w:t>&lt; 4 heures (objectif 2h)</w:t>
            </w:r>
          </w:p>
        </w:tc>
        <w:tc>
          <w:tcPr>
            <w:tcW w:type="dxa" w:w="3135"/>
            <w:shd w:val="clear" w:color="auto" w:fill="F5F7FA"/>
          </w:tcPr>
          <w:p>
            <w:pPr>
              <w:spacing w:before="100" w:after="100"/>
            </w:pPr>
            <w:r>
              <w:rPr>
                <w:rFonts w:ascii="Calibri" w:hAnsi="Calibri"/>
                <w:b w:val="0"/>
                <w:color w:val="2D2D2D"/>
                <w:sz w:val="19"/>
              </w:rPr>
              <w:t>Test annuel documenté</w:t>
            </w:r>
          </w:p>
        </w:tc>
      </w:tr>
      <w:tr>
        <w:tc>
          <w:tcPr>
            <w:tcW w:type="dxa" w:w="3135"/>
            <w:shd w:val="clear" w:color="auto" w:fill="FFFFFF"/>
          </w:tcPr>
          <w:p>
            <w:pPr>
              <w:spacing w:before="100" w:after="100"/>
            </w:pPr>
            <w:r>
              <w:rPr>
                <w:rFonts w:ascii="Calibri" w:hAnsi="Calibri"/>
                <w:b/>
                <w:color w:val="00347C"/>
                <w:sz w:val="19"/>
              </w:rPr>
              <w:t>Perte de données maximale (RPO)</w:t>
            </w:r>
          </w:p>
        </w:tc>
        <w:tc>
          <w:tcPr>
            <w:tcW w:type="dxa" w:w="3135"/>
            <w:shd w:val="clear" w:color="auto" w:fill="FFFFFF"/>
          </w:tcPr>
          <w:p>
            <w:pPr>
              <w:spacing w:before="100" w:after="100"/>
            </w:pPr>
            <w:r>
              <w:rPr>
                <w:rFonts w:ascii="Calibri" w:hAnsi="Calibri"/>
                <w:b w:val="0"/>
                <w:color w:val="2D2D2D"/>
                <w:sz w:val="19"/>
              </w:rPr>
              <w:t>&lt; 24 heures (objectif 1h)</w:t>
            </w:r>
          </w:p>
        </w:tc>
        <w:tc>
          <w:tcPr>
            <w:tcW w:type="dxa" w:w="3135"/>
            <w:shd w:val="clear" w:color="auto" w:fill="FFFFFF"/>
          </w:tcPr>
          <w:p>
            <w:pPr>
              <w:spacing w:before="100" w:after="100"/>
            </w:pPr>
            <w:r>
              <w:rPr>
                <w:rFonts w:ascii="Calibri" w:hAnsi="Calibri"/>
                <w:b w:val="0"/>
                <w:color w:val="2D2D2D"/>
                <w:sz w:val="19"/>
              </w:rPr>
              <w:t>Test semestriel</w:t>
            </w:r>
          </w:p>
        </w:tc>
      </w:tr>
      <w:tr>
        <w:tc>
          <w:tcPr>
            <w:tcW w:type="dxa" w:w="3135"/>
            <w:shd w:val="clear" w:color="auto" w:fill="F5F7FA"/>
          </w:tcPr>
          <w:p>
            <w:pPr>
              <w:spacing w:before="100" w:after="100"/>
            </w:pPr>
            <w:r>
              <w:rPr>
                <w:rFonts w:ascii="Calibri" w:hAnsi="Calibri"/>
                <w:b/>
                <w:color w:val="00347C"/>
                <w:sz w:val="19"/>
              </w:rPr>
              <w:t>Maintenance planifiée</w:t>
            </w:r>
          </w:p>
        </w:tc>
        <w:tc>
          <w:tcPr>
            <w:tcW w:type="dxa" w:w="3135"/>
            <w:shd w:val="clear" w:color="auto" w:fill="F5F7FA"/>
          </w:tcPr>
          <w:p>
            <w:pPr>
              <w:spacing w:before="100" w:after="100"/>
            </w:pPr>
            <w:r>
              <w:rPr>
                <w:rFonts w:ascii="Calibri" w:hAnsi="Calibri"/>
                <w:b w:val="0"/>
                <w:color w:val="2D2D2D"/>
                <w:sz w:val="19"/>
              </w:rPr>
              <w:t>Dimanche 01h–05h (GMT)</w:t>
            </w:r>
          </w:p>
        </w:tc>
        <w:tc>
          <w:tcPr>
            <w:tcW w:type="dxa" w:w="3135"/>
            <w:shd w:val="clear" w:color="auto" w:fill="F5F7FA"/>
          </w:tcPr>
          <w:p>
            <w:pPr>
              <w:spacing w:before="100" w:after="100"/>
            </w:pPr>
            <w:r>
              <w:rPr>
                <w:rFonts w:ascii="Calibri" w:hAnsi="Calibri"/>
                <w:b w:val="0"/>
                <w:color w:val="2D2D2D"/>
                <w:sz w:val="19"/>
              </w:rPr>
              <w:t>Préavis 72h par e-mail</w:t>
            </w:r>
          </w:p>
        </w:tc>
      </w:tr>
      <w:tr>
        <w:tc>
          <w:tcPr>
            <w:tcW w:type="dxa" w:w="3135"/>
            <w:shd w:val="clear" w:color="auto" w:fill="FFFFFF"/>
          </w:tcPr>
          <w:p>
            <w:pPr>
              <w:spacing w:before="100" w:after="100"/>
            </w:pPr>
            <w:r>
              <w:rPr>
                <w:rFonts w:ascii="Calibri" w:hAnsi="Calibri"/>
                <w:b/>
                <w:color w:val="00347C"/>
                <w:sz w:val="19"/>
              </w:rPr>
              <w:t>Support téléphonique</w:t>
            </w:r>
          </w:p>
        </w:tc>
        <w:tc>
          <w:tcPr>
            <w:tcW w:type="dxa" w:w="3135"/>
            <w:shd w:val="clear" w:color="auto" w:fill="FFFFFF"/>
          </w:tcPr>
          <w:p>
            <w:pPr>
              <w:spacing w:before="100" w:after="100"/>
            </w:pPr>
            <w:r>
              <w:rPr>
                <w:rFonts w:ascii="Calibri" w:hAnsi="Calibri"/>
                <w:b w:val="0"/>
                <w:color w:val="2D2D2D"/>
                <w:sz w:val="19"/>
              </w:rPr>
              <w:t>Lundi–Vendredi, 7h30–17h30 (GMT)</w:t>
            </w:r>
          </w:p>
        </w:tc>
        <w:tc>
          <w:tcPr>
            <w:tcW w:type="dxa" w:w="3135"/>
            <w:shd w:val="clear" w:color="auto" w:fill="FFFFFF"/>
          </w:tcPr>
          <w:p>
            <w:pPr>
              <w:spacing w:before="100" w:after="100"/>
            </w:pPr>
            <w:r>
              <w:rPr>
                <w:rFonts w:ascii="Calibri" w:hAnsi="Calibri"/>
                <w:b w:val="0"/>
                <w:color w:val="2D2D2D"/>
                <w:sz w:val="19"/>
              </w:rPr>
              <w:t>Ticket ouvert &lt; 30min</w:t>
            </w:r>
          </w:p>
        </w:tc>
      </w:tr>
      <w:tr>
        <w:tc>
          <w:tcPr>
            <w:tcW w:type="dxa" w:w="3135"/>
            <w:shd w:val="clear" w:color="auto" w:fill="F5F7FA"/>
          </w:tcPr>
          <w:p>
            <w:pPr>
              <w:spacing w:before="100" w:after="100"/>
            </w:pPr>
            <w:r>
              <w:rPr>
                <w:rFonts w:ascii="Calibri" w:hAnsi="Calibri"/>
                <w:b/>
                <w:color w:val="00347C"/>
                <w:sz w:val="19"/>
              </w:rPr>
              <w:t>Rapport mensuel de disponibilité</w:t>
            </w:r>
          </w:p>
        </w:tc>
        <w:tc>
          <w:tcPr>
            <w:tcW w:type="dxa" w:w="3135"/>
            <w:shd w:val="clear" w:color="auto" w:fill="F5F7FA"/>
          </w:tcPr>
          <w:p>
            <w:pPr>
              <w:spacing w:before="100" w:after="100"/>
            </w:pPr>
            <w:r>
              <w:rPr>
                <w:rFonts w:ascii="Calibri" w:hAnsi="Calibri"/>
                <w:b w:val="0"/>
                <w:color w:val="2D2D2D"/>
                <w:sz w:val="19"/>
              </w:rPr>
              <w:t>5 du mois M+1</w:t>
            </w:r>
          </w:p>
        </w:tc>
        <w:tc>
          <w:tcPr>
            <w:tcW w:type="dxa" w:w="3135"/>
            <w:shd w:val="clear" w:color="auto" w:fill="F5F7FA"/>
          </w:tcPr>
          <w:p>
            <w:pPr>
              <w:spacing w:before="100" w:after="100"/>
            </w:pPr>
            <w:r>
              <w:rPr>
                <w:rFonts w:ascii="Calibri" w:hAnsi="Calibri"/>
                <w:b w:val="0"/>
                <w:color w:val="2D2D2D"/>
                <w:sz w:val="19"/>
              </w:rPr>
              <w:t>Envoi automatique</w:t>
            </w:r>
          </w:p>
        </w:tc>
      </w:tr>
      <w:tr>
        <w:tc>
          <w:tcPr>
            <w:tcW w:type="dxa" w:w="3135"/>
            <w:shd w:val="clear" w:color="auto" w:fill="FFFFFF"/>
          </w:tcPr>
          <w:p>
            <w:pPr>
              <w:spacing w:before="100" w:after="100"/>
            </w:pPr>
            <w:r>
              <w:rPr>
                <w:rFonts w:ascii="Calibri" w:hAnsi="Calibri"/>
                <w:b/>
                <w:color w:val="00347C"/>
                <w:sz w:val="19"/>
              </w:rPr>
              <w:t>Mise à jour de sécurité critique</w:t>
            </w:r>
          </w:p>
        </w:tc>
        <w:tc>
          <w:tcPr>
            <w:tcW w:type="dxa" w:w="3135"/>
            <w:shd w:val="clear" w:color="auto" w:fill="FFFFFF"/>
          </w:tcPr>
          <w:p>
            <w:pPr>
              <w:spacing w:before="100" w:after="100"/>
            </w:pPr>
            <w:r>
              <w:rPr>
                <w:rFonts w:ascii="Calibri" w:hAnsi="Calibri"/>
                <w:b w:val="0"/>
                <w:color w:val="2D2D2D"/>
                <w:sz w:val="19"/>
              </w:rPr>
              <w:t>Déployée dans les 48h</w:t>
            </w:r>
          </w:p>
        </w:tc>
        <w:tc>
          <w:tcPr>
            <w:tcW w:type="dxa" w:w="3135"/>
            <w:shd w:val="clear" w:color="auto" w:fill="FFFFFF"/>
          </w:tcPr>
          <w:p>
            <w:pPr>
              <w:spacing w:before="100" w:after="100"/>
            </w:pPr>
            <w:r>
              <w:rPr>
                <w:rFonts w:ascii="Calibri" w:hAnsi="Calibri"/>
                <w:b w:val="0"/>
                <w:color w:val="2D2D2D"/>
                <w:sz w:val="19"/>
              </w:rPr>
              <w:t>Notification immédiate DGT-IT</w:t>
            </w:r>
          </w:p>
        </w:tc>
      </w:tr>
    </w:tbl>
    <w:p>
      <w:pPr>
        <w:spacing w:before="200" w:after="60" w:line="360" w:lineRule="auto"/>
        <w:jc w:val="both"/>
      </w:pPr>
      <w:r>
        <w:rPr>
          <w:rFonts w:ascii="Calibri" w:hAnsi="Calibri"/>
          <w:i w:val="0"/>
          <w:color w:val="2D2D2D"/>
          <w:sz w:val="21"/>
        </w:rPr>
        <w:t>Une période de garantie de 12 mois est incluse dans le prix de mise en œuvre. Durant cette période, toutes les corrections liées au périmètre contractuel sont prises en charge sans surcoût. Un comité de pilotage mensuel réunit les représentants de la DGT et de Numerix Digital pour le suivi des indicateurs de service.</w:t>
      </w:r>
    </w:p>
    <w:p>
      <w:r>
        <w:br w:type="page"/>
      </w:r>
    </w:p>
    <w:p>
      <w:pPr>
        <w:spacing w:before="0" w:after="120"/>
      </w:pPr>
      <w:r>
        <w:rPr>
          <w:rFonts w:ascii="Calibri" w:hAnsi="Calibri"/>
          <w:b/>
          <w:color w:val="00347C"/>
          <w:sz w:val="30"/>
        </w:rPr>
        <w:t>11.  NOTRE ENTREPRISE ET ÉQUIPE PROJET</w:t>
      </w:r>
    </w:p>
    <w:p>
      <w:pPr>
        <w:pBdr>
          <w:bottom w:val="single" w:sz="6" w:space="1" w:color="00347C"/>
        </w:pBdr>
        <w:spacing w:before="20" w:after="40"/>
      </w:pPr>
    </w:p>
    <w:p>
      <w:pPr>
        <w:spacing w:before="200" w:after="80"/>
      </w:pPr>
      <w:r>
        <w:rPr>
          <w:rFonts w:ascii="Calibri" w:hAnsi="Calibri"/>
          <w:b/>
          <w:color w:val="0072C6"/>
          <w:sz w:val="24"/>
        </w:rPr>
        <w:t>11.1  Numerix Digital – Présentation</w:t>
      </w:r>
    </w:p>
    <w:p>
      <w:pPr>
        <w:spacing w:before="60" w:after="60" w:line="360" w:lineRule="auto"/>
        <w:jc w:val="both"/>
      </w:pPr>
      <w:r>
        <w:rPr>
          <w:rFonts w:ascii="Calibri" w:hAnsi="Calibri"/>
          <w:i w:val="0"/>
          <w:color w:val="2D2D2D"/>
          <w:sz w:val="21"/>
        </w:rPr>
        <w:t>Numerix Digital est une entreprise de développement logiciel et de conseil en transformation numérique spécialisée dans les solutions e-gouvernement pour l'Afrique subsaharienne. Notre équipe de 25 ingénieurs et consultants conçoit et déploie des plateformes digitales sur mesure pour les administrations publiques, les établissements financiers et les grandes entreprises d'Afrique centrale et occidentale.</w:t>
      </w:r>
    </w:p>
    <w:p>
      <w:pPr>
        <w:spacing w:before="200" w:after="80"/>
      </w:pPr>
      <w:r>
        <w:rPr>
          <w:rFonts w:ascii="Calibri" w:hAnsi="Calibri"/>
          <w:b/>
          <w:color w:val="0072C6"/>
          <w:sz w:val="24"/>
        </w:rPr>
        <w:t>11.2  Nos différenciateurs</w:t>
      </w:r>
    </w:p>
    <w:p>
      <w:pPr>
        <w:spacing w:before="120" w:after="60"/>
      </w:pPr>
      <w:r>
        <w:rPr>
          <w:rFonts w:ascii="Calibri" w:hAnsi="Calibri"/>
          <w:b/>
          <w:color w:val="2D2D2D"/>
          <w:sz w:val="22"/>
        </w:rPr>
        <w:t>▶  Expertise e-gouvernement</w:t>
      </w:r>
    </w:p>
    <w:p>
      <w:pPr>
        <w:spacing w:before="60" w:after="60" w:line="360" w:lineRule="auto"/>
        <w:jc w:val="both"/>
      </w:pPr>
      <w:r>
        <w:rPr>
          <w:rFonts w:ascii="Calibri" w:hAnsi="Calibri"/>
          <w:i w:val="0"/>
          <w:color w:val="2D2D2D"/>
          <w:sz w:val="21"/>
        </w:rPr>
        <w:t>Plusieurs plateformes de gestion administrative déployées avec succès pour des ministères et organismes publics en Afrique centrale. Maîtrise des contraintes réglementaires, des procédures de marchés publics et des exigences de gouvernance du secteur public.</w:t>
      </w:r>
    </w:p>
    <w:p>
      <w:pPr>
        <w:spacing w:before="120" w:after="60"/>
      </w:pPr>
      <w:r>
        <w:rPr>
          <w:rFonts w:ascii="Calibri" w:hAnsi="Calibri"/>
          <w:b/>
          <w:color w:val="2D2D2D"/>
          <w:sz w:val="22"/>
        </w:rPr>
        <w:t>▶  Technologie de pointe</w:t>
      </w:r>
    </w:p>
    <w:p>
      <w:pPr>
        <w:spacing w:before="60" w:after="60" w:line="360" w:lineRule="auto"/>
        <w:jc w:val="both"/>
      </w:pPr>
      <w:r>
        <w:rPr>
          <w:rFonts w:ascii="Calibri" w:hAnsi="Calibri"/>
          <w:i w:val="0"/>
          <w:color w:val="2D2D2D"/>
          <w:sz w:val="21"/>
        </w:rPr>
        <w:t>Stack technique moderne (Django, React, React Native, Redis, Celery, IA/LLM) permettant des déploiements rapides, sécurisés et maintenables. Pratiques DevOps (CI/CD, tests automatisés, infrastructure as code) pour une qualité maîtrisée.</w:t>
      </w:r>
    </w:p>
    <w:p>
      <w:pPr>
        <w:spacing w:before="120" w:after="60"/>
      </w:pPr>
      <w:r>
        <w:rPr>
          <w:rFonts w:ascii="Calibri" w:hAnsi="Calibri"/>
          <w:b/>
          <w:color w:val="2D2D2D"/>
          <w:sz w:val="22"/>
        </w:rPr>
        <w:t>▶  Engagement transfert de compétences</w:t>
      </w:r>
    </w:p>
    <w:p>
      <w:pPr>
        <w:spacing w:before="60" w:after="60" w:line="360" w:lineRule="auto"/>
        <w:jc w:val="both"/>
      </w:pPr>
      <w:r>
        <w:rPr>
          <w:rFonts w:ascii="Calibri" w:hAnsi="Calibri"/>
          <w:i w:val="0"/>
          <w:color w:val="2D2D2D"/>
          <w:sz w:val="21"/>
        </w:rPr>
        <w:t>Nous ne livrons pas seulement un logiciel : nous formons les équipes, documentons l'architecture et accompagnons la montée en autonomie des équipes IT du Ministère. La dépendance vis-à-vis du prestataire décroît dans le temps.</w:t>
      </w:r>
    </w:p>
    <w:p>
      <w:pPr>
        <w:spacing w:before="120" w:after="60"/>
      </w:pPr>
      <w:r>
        <w:rPr>
          <w:rFonts w:ascii="Calibri" w:hAnsi="Calibri"/>
          <w:b/>
          <w:color w:val="2D2D2D"/>
          <w:sz w:val="22"/>
        </w:rPr>
        <w:t>▶  Support local pérenne</w:t>
      </w:r>
    </w:p>
    <w:p>
      <w:pPr>
        <w:spacing w:before="60" w:after="60" w:line="360" w:lineRule="auto"/>
        <w:jc w:val="both"/>
      </w:pPr>
      <w:r>
        <w:rPr>
          <w:rFonts w:ascii="Calibri" w:hAnsi="Calibri"/>
          <w:i w:val="0"/>
          <w:color w:val="2D2D2D"/>
          <w:sz w:val="21"/>
        </w:rPr>
        <w:t>Présence locale, réactivité en fuseau horaire GMT pour le support, capacité à mobiliser une équipe sur site si nécessaire. Nous parlons le même contexte réglementaire et culturel que nos clients africains.</w:t>
      </w:r>
    </w:p>
    <w:p>
      <w:pPr>
        <w:spacing w:before="120" w:after="60"/>
      </w:pPr>
      <w:r>
        <w:rPr>
          <w:rFonts w:ascii="Calibri" w:hAnsi="Calibri"/>
          <w:b/>
          <w:color w:val="2D2D2D"/>
          <w:sz w:val="22"/>
        </w:rPr>
        <w:t>▶  Engagement RSE</w:t>
      </w:r>
    </w:p>
    <w:p>
      <w:pPr>
        <w:spacing w:before="60" w:after="60" w:line="360" w:lineRule="auto"/>
        <w:jc w:val="both"/>
      </w:pPr>
      <w:r>
        <w:rPr>
          <w:rFonts w:ascii="Calibri" w:hAnsi="Calibri"/>
          <w:i w:val="0"/>
          <w:color w:val="2D2D2D"/>
          <w:sz w:val="21"/>
        </w:rPr>
        <w:t>Engagement à recruter et former des développeurs locaux ivoiriens sur le projet, contribuant au renforcement de l'écosystème numérique national.</w:t>
      </w:r>
    </w:p>
    <w:p>
      <w:pPr>
        <w:spacing w:before="200" w:after="80"/>
      </w:pPr>
      <w:r>
        <w:rPr>
          <w:rFonts w:ascii="Calibri" w:hAnsi="Calibri"/>
          <w:b/>
          <w:color w:val="0072C6"/>
          <w:sz w:val="24"/>
        </w:rPr>
        <w:t>11.3  Équipe projet dédiée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0347C"/>
          </w:tcPr>
          <w:p>
            <w:pPr>
              <w:spacing w:before="100" w:after="100"/>
            </w:pPr>
            <w:r>
              <w:rPr>
                <w:rFonts w:ascii="Calibri" w:hAnsi="Calibri"/>
                <w:b/>
                <w:color w:val="FFFFFF"/>
                <w:sz w:val="18"/>
              </w:rPr>
              <w:t>Rôle</w:t>
            </w:r>
          </w:p>
        </w:tc>
        <w:tc>
          <w:tcPr>
            <w:tcW w:type="dxa" w:w="2351"/>
            <w:shd w:val="clear" w:color="auto" w:fill="00347C"/>
          </w:tcPr>
          <w:p>
            <w:pPr>
              <w:spacing w:before="100" w:after="100"/>
            </w:pPr>
            <w:r>
              <w:rPr>
                <w:rFonts w:ascii="Calibri" w:hAnsi="Calibri"/>
                <w:b/>
                <w:color w:val="FFFFFF"/>
                <w:sz w:val="18"/>
              </w:rPr>
              <w:t>Expérience</w:t>
            </w:r>
          </w:p>
        </w:tc>
        <w:tc>
          <w:tcPr>
            <w:tcW w:type="dxa" w:w="2351"/>
            <w:shd w:val="clear" w:color="auto" w:fill="00347C"/>
          </w:tcPr>
          <w:p>
            <w:pPr>
              <w:spacing w:before="100" w:after="100"/>
            </w:pPr>
            <w:r>
              <w:rPr>
                <w:rFonts w:ascii="Calibri" w:hAnsi="Calibri"/>
                <w:b/>
                <w:color w:val="FFFFFF"/>
                <w:sz w:val="18"/>
              </w:rPr>
              <w:t>Temps alloué</w:t>
            </w:r>
          </w:p>
        </w:tc>
        <w:tc>
          <w:tcPr>
            <w:tcW w:type="dxa" w:w="2351"/>
            <w:shd w:val="clear" w:color="auto" w:fill="00347C"/>
          </w:tcPr>
          <w:p>
            <w:pPr>
              <w:spacing w:before="100" w:after="100"/>
            </w:pPr>
            <w:r>
              <w:rPr>
                <w:rFonts w:ascii="Calibri" w:hAnsi="Calibri"/>
                <w:b/>
                <w:color w:val="FFFFFF"/>
                <w:sz w:val="18"/>
              </w:rPr>
              <w:t>Responsabilités clés</w:t>
            </w:r>
          </w:p>
        </w:tc>
      </w:tr>
      <w:tr>
        <w:tc>
          <w:tcPr>
            <w:tcW w:type="dxa" w:w="2351"/>
            <w:shd w:val="clear" w:color="auto" w:fill="FFFFFF"/>
          </w:tcPr>
          <w:p>
            <w:pPr>
              <w:spacing w:before="100" w:after="100"/>
            </w:pPr>
            <w:r>
              <w:rPr>
                <w:rFonts w:ascii="Calibri" w:hAnsi="Calibri"/>
                <w:b/>
                <w:color w:val="2D2D2D"/>
                <w:sz w:val="18"/>
              </w:rPr>
              <w:t>Chef de projet</w:t>
            </w:r>
          </w:p>
        </w:tc>
        <w:tc>
          <w:tcPr>
            <w:tcW w:type="dxa" w:w="2351"/>
            <w:shd w:val="clear" w:color="auto" w:fill="FFFFFF"/>
          </w:tcPr>
          <w:p>
            <w:pPr>
              <w:spacing w:before="100" w:after="100"/>
            </w:pPr>
            <w:r>
              <w:rPr>
                <w:rFonts w:ascii="Calibri" w:hAnsi="Calibri"/>
                <w:b w:val="0"/>
                <w:color w:val="2D2D2D"/>
                <w:sz w:val="18"/>
              </w:rPr>
              <w:t>10 ans</w:t>
            </w:r>
          </w:p>
        </w:tc>
        <w:tc>
          <w:tcPr>
            <w:tcW w:type="dxa" w:w="2351"/>
            <w:shd w:val="clear" w:color="auto" w:fill="FFFFFF"/>
          </w:tcPr>
          <w:p>
            <w:pPr>
              <w:spacing w:before="100" w:after="100"/>
            </w:pPr>
            <w:r>
              <w:rPr>
                <w:rFonts w:ascii="Calibri" w:hAnsi="Calibri"/>
                <w:b w:val="0"/>
                <w:color w:val="2D2D2D"/>
                <w:sz w:val="18"/>
              </w:rPr>
              <w:t>100 %</w:t>
            </w:r>
          </w:p>
        </w:tc>
        <w:tc>
          <w:tcPr>
            <w:tcW w:type="dxa" w:w="2351"/>
            <w:shd w:val="clear" w:color="auto" w:fill="FFFFFF"/>
          </w:tcPr>
          <w:p>
            <w:pPr>
              <w:spacing w:before="100" w:after="100"/>
            </w:pPr>
            <w:r>
              <w:rPr>
                <w:rFonts w:ascii="Calibri" w:hAnsi="Calibri"/>
                <w:b w:val="0"/>
                <w:color w:val="2D2D2D"/>
                <w:sz w:val="18"/>
              </w:rPr>
              <w:t>Pilotage, coordination DGT, reporting, gestion des risques</w:t>
            </w:r>
          </w:p>
        </w:tc>
      </w:tr>
      <w:tr>
        <w:tc>
          <w:tcPr>
            <w:tcW w:type="dxa" w:w="2351"/>
            <w:shd w:val="clear" w:color="auto" w:fill="F5F7FA"/>
          </w:tcPr>
          <w:p>
            <w:pPr>
              <w:spacing w:before="100" w:after="100"/>
            </w:pPr>
            <w:r>
              <w:rPr>
                <w:rFonts w:ascii="Calibri" w:hAnsi="Calibri"/>
                <w:b/>
                <w:color w:val="2D2D2D"/>
                <w:sz w:val="18"/>
              </w:rPr>
              <w:t>Architecte technique senior</w:t>
            </w:r>
          </w:p>
        </w:tc>
        <w:tc>
          <w:tcPr>
            <w:tcW w:type="dxa" w:w="2351"/>
            <w:shd w:val="clear" w:color="auto" w:fill="F5F7FA"/>
          </w:tcPr>
          <w:p>
            <w:pPr>
              <w:spacing w:before="100" w:after="100"/>
            </w:pPr>
            <w:r>
              <w:rPr>
                <w:rFonts w:ascii="Calibri" w:hAnsi="Calibri"/>
                <w:b w:val="0"/>
                <w:color w:val="2D2D2D"/>
                <w:sz w:val="18"/>
              </w:rPr>
              <w:t>12 ans</w:t>
            </w:r>
          </w:p>
        </w:tc>
        <w:tc>
          <w:tcPr>
            <w:tcW w:type="dxa" w:w="2351"/>
            <w:shd w:val="clear" w:color="auto" w:fill="F5F7FA"/>
          </w:tcPr>
          <w:p>
            <w:pPr>
              <w:spacing w:before="100" w:after="100"/>
            </w:pPr>
            <w:r>
              <w:rPr>
                <w:rFonts w:ascii="Calibri" w:hAnsi="Calibri"/>
                <w:b w:val="0"/>
                <w:color w:val="2D2D2D"/>
                <w:sz w:val="18"/>
              </w:rPr>
              <w:t>60 %</w:t>
            </w:r>
          </w:p>
        </w:tc>
        <w:tc>
          <w:tcPr>
            <w:tcW w:type="dxa" w:w="2351"/>
            <w:shd w:val="clear" w:color="auto" w:fill="F5F7FA"/>
          </w:tcPr>
          <w:p>
            <w:pPr>
              <w:spacing w:before="100" w:after="100"/>
            </w:pPr>
            <w:r>
              <w:rPr>
                <w:rFonts w:ascii="Calibri" w:hAnsi="Calibri"/>
                <w:b w:val="0"/>
                <w:color w:val="2D2D2D"/>
                <w:sz w:val="18"/>
              </w:rPr>
              <w:t>Architecture système, sécurité, choix technologiques, revue de code</w:t>
            </w:r>
          </w:p>
        </w:tc>
      </w:tr>
      <w:tr>
        <w:tc>
          <w:tcPr>
            <w:tcW w:type="dxa" w:w="2351"/>
            <w:shd w:val="clear" w:color="auto" w:fill="FFFFFF"/>
          </w:tcPr>
          <w:p>
            <w:pPr>
              <w:spacing w:before="100" w:after="100"/>
            </w:pPr>
            <w:r>
              <w:rPr>
                <w:rFonts w:ascii="Calibri" w:hAnsi="Calibri"/>
                <w:b/>
                <w:color w:val="2D2D2D"/>
                <w:sz w:val="18"/>
              </w:rPr>
              <w:t>Lead développeur Backend</w:t>
            </w:r>
          </w:p>
        </w:tc>
        <w:tc>
          <w:tcPr>
            <w:tcW w:type="dxa" w:w="2351"/>
            <w:shd w:val="clear" w:color="auto" w:fill="FFFFFF"/>
          </w:tcPr>
          <w:p>
            <w:pPr>
              <w:spacing w:before="100" w:after="100"/>
            </w:pPr>
            <w:r>
              <w:rPr>
                <w:rFonts w:ascii="Calibri" w:hAnsi="Calibri"/>
                <w:b w:val="0"/>
                <w:color w:val="2D2D2D"/>
                <w:sz w:val="18"/>
              </w:rPr>
              <w:t>8 ans</w:t>
            </w:r>
          </w:p>
        </w:tc>
        <w:tc>
          <w:tcPr>
            <w:tcW w:type="dxa" w:w="2351"/>
            <w:shd w:val="clear" w:color="auto" w:fill="FFFFFF"/>
          </w:tcPr>
          <w:p>
            <w:pPr>
              <w:spacing w:before="100" w:after="100"/>
            </w:pPr>
            <w:r>
              <w:rPr>
                <w:rFonts w:ascii="Calibri" w:hAnsi="Calibri"/>
                <w:b w:val="0"/>
                <w:color w:val="2D2D2D"/>
                <w:sz w:val="18"/>
              </w:rPr>
              <w:t>100 %</w:t>
            </w:r>
          </w:p>
        </w:tc>
        <w:tc>
          <w:tcPr>
            <w:tcW w:type="dxa" w:w="2351"/>
            <w:shd w:val="clear" w:color="auto" w:fill="FFFFFF"/>
          </w:tcPr>
          <w:p>
            <w:pPr>
              <w:spacing w:before="100" w:after="100"/>
            </w:pPr>
            <w:r>
              <w:rPr>
                <w:rFonts w:ascii="Calibri" w:hAnsi="Calibri"/>
                <w:b w:val="0"/>
                <w:color w:val="2D2D2D"/>
                <w:sz w:val="18"/>
              </w:rPr>
              <w:t>API Django, base de données, intégrations CNPS/CNSS</w:t>
            </w:r>
          </w:p>
        </w:tc>
      </w:tr>
      <w:tr>
        <w:tc>
          <w:tcPr>
            <w:tcW w:type="dxa" w:w="2351"/>
            <w:shd w:val="clear" w:color="auto" w:fill="F5F7FA"/>
          </w:tcPr>
          <w:p>
            <w:pPr>
              <w:spacing w:before="100" w:after="100"/>
            </w:pPr>
            <w:r>
              <w:rPr>
                <w:rFonts w:ascii="Calibri" w:hAnsi="Calibri"/>
                <w:b/>
                <w:color w:val="2D2D2D"/>
                <w:sz w:val="18"/>
              </w:rPr>
              <w:t>Développeur Backend #2</w:t>
            </w:r>
          </w:p>
        </w:tc>
        <w:tc>
          <w:tcPr>
            <w:tcW w:type="dxa" w:w="2351"/>
            <w:shd w:val="clear" w:color="auto" w:fill="F5F7FA"/>
          </w:tcPr>
          <w:p>
            <w:pPr>
              <w:spacing w:before="100" w:after="100"/>
            </w:pPr>
            <w:r>
              <w:rPr>
                <w:rFonts w:ascii="Calibri" w:hAnsi="Calibri"/>
                <w:b w:val="0"/>
                <w:color w:val="2D2D2D"/>
                <w:sz w:val="18"/>
              </w:rPr>
              <w:t>5 ans</w:t>
            </w:r>
          </w:p>
        </w:tc>
        <w:tc>
          <w:tcPr>
            <w:tcW w:type="dxa" w:w="2351"/>
            <w:shd w:val="clear" w:color="auto" w:fill="F5F7FA"/>
          </w:tcPr>
          <w:p>
            <w:pPr>
              <w:spacing w:before="100" w:after="100"/>
            </w:pPr>
            <w:r>
              <w:rPr>
                <w:rFonts w:ascii="Calibri" w:hAnsi="Calibri"/>
                <w:b w:val="0"/>
                <w:color w:val="2D2D2D"/>
                <w:sz w:val="18"/>
              </w:rPr>
              <w:t>100 %</w:t>
            </w:r>
          </w:p>
        </w:tc>
        <w:tc>
          <w:tcPr>
            <w:tcW w:type="dxa" w:w="2351"/>
            <w:shd w:val="clear" w:color="auto" w:fill="F5F7FA"/>
          </w:tcPr>
          <w:p>
            <w:pPr>
              <w:spacing w:before="100" w:after="100"/>
            </w:pPr>
            <w:r>
              <w:rPr>
                <w:rFonts w:ascii="Calibri" w:hAnsi="Calibri"/>
                <w:b w:val="0"/>
                <w:color w:val="2D2D2D"/>
                <w:sz w:val="18"/>
              </w:rPr>
              <w:t>Modules métier, tests unitaires, performances</w:t>
            </w:r>
          </w:p>
        </w:tc>
      </w:tr>
      <w:tr>
        <w:tc>
          <w:tcPr>
            <w:tcW w:type="dxa" w:w="2351"/>
            <w:shd w:val="clear" w:color="auto" w:fill="FFFFFF"/>
          </w:tcPr>
          <w:p>
            <w:pPr>
              <w:spacing w:before="100" w:after="100"/>
            </w:pPr>
            <w:r>
              <w:rPr>
                <w:rFonts w:ascii="Calibri" w:hAnsi="Calibri"/>
                <w:b/>
                <w:color w:val="2D2D2D"/>
                <w:sz w:val="18"/>
              </w:rPr>
              <w:t>Lead développeur Frontend</w:t>
            </w:r>
          </w:p>
        </w:tc>
        <w:tc>
          <w:tcPr>
            <w:tcW w:type="dxa" w:w="2351"/>
            <w:shd w:val="clear" w:color="auto" w:fill="FFFFFF"/>
          </w:tcPr>
          <w:p>
            <w:pPr>
              <w:spacing w:before="100" w:after="100"/>
            </w:pPr>
            <w:r>
              <w:rPr>
                <w:rFonts w:ascii="Calibri" w:hAnsi="Calibri"/>
                <w:b w:val="0"/>
                <w:color w:val="2D2D2D"/>
                <w:sz w:val="18"/>
              </w:rPr>
              <w:t>7 ans</w:t>
            </w:r>
          </w:p>
        </w:tc>
        <w:tc>
          <w:tcPr>
            <w:tcW w:type="dxa" w:w="2351"/>
            <w:shd w:val="clear" w:color="auto" w:fill="FFFFFF"/>
          </w:tcPr>
          <w:p>
            <w:pPr>
              <w:spacing w:before="100" w:after="100"/>
            </w:pPr>
            <w:r>
              <w:rPr>
                <w:rFonts w:ascii="Calibri" w:hAnsi="Calibri"/>
                <w:b w:val="0"/>
                <w:color w:val="2D2D2D"/>
                <w:sz w:val="18"/>
              </w:rPr>
              <w:t>100 %</w:t>
            </w:r>
          </w:p>
        </w:tc>
        <w:tc>
          <w:tcPr>
            <w:tcW w:type="dxa" w:w="2351"/>
            <w:shd w:val="clear" w:color="auto" w:fill="FFFFFF"/>
          </w:tcPr>
          <w:p>
            <w:pPr>
              <w:spacing w:before="100" w:after="100"/>
            </w:pPr>
            <w:r>
              <w:rPr>
                <w:rFonts w:ascii="Calibri" w:hAnsi="Calibri"/>
                <w:b w:val="0"/>
                <w:color w:val="2D2D2D"/>
                <w:sz w:val="18"/>
              </w:rPr>
              <w:t>Interface web React/TypeScript, UX, accessibilité</w:t>
            </w:r>
          </w:p>
        </w:tc>
      </w:tr>
      <w:tr>
        <w:tc>
          <w:tcPr>
            <w:tcW w:type="dxa" w:w="2351"/>
            <w:shd w:val="clear" w:color="auto" w:fill="F5F7FA"/>
          </w:tcPr>
          <w:p>
            <w:pPr>
              <w:spacing w:before="100" w:after="100"/>
            </w:pPr>
            <w:r>
              <w:rPr>
                <w:rFonts w:ascii="Calibri" w:hAnsi="Calibri"/>
                <w:b/>
                <w:color w:val="2D2D2D"/>
                <w:sz w:val="18"/>
              </w:rPr>
              <w:t>Développeur Mobile</w:t>
            </w:r>
          </w:p>
        </w:tc>
        <w:tc>
          <w:tcPr>
            <w:tcW w:type="dxa" w:w="2351"/>
            <w:shd w:val="clear" w:color="auto" w:fill="F5F7FA"/>
          </w:tcPr>
          <w:p>
            <w:pPr>
              <w:spacing w:before="100" w:after="100"/>
            </w:pPr>
            <w:r>
              <w:rPr>
                <w:rFonts w:ascii="Calibri" w:hAnsi="Calibri"/>
                <w:b w:val="0"/>
                <w:color w:val="2D2D2D"/>
                <w:sz w:val="18"/>
              </w:rPr>
              <w:t>5 ans</w:t>
            </w:r>
          </w:p>
        </w:tc>
        <w:tc>
          <w:tcPr>
            <w:tcW w:type="dxa" w:w="2351"/>
            <w:shd w:val="clear" w:color="auto" w:fill="F5F7FA"/>
          </w:tcPr>
          <w:p>
            <w:pPr>
              <w:spacing w:before="100" w:after="100"/>
            </w:pPr>
            <w:r>
              <w:rPr>
                <w:rFonts w:ascii="Calibri" w:hAnsi="Calibri"/>
                <w:b w:val="0"/>
                <w:color w:val="2D2D2D"/>
                <w:sz w:val="18"/>
              </w:rPr>
              <w:t>100 %</w:t>
            </w:r>
          </w:p>
        </w:tc>
        <w:tc>
          <w:tcPr>
            <w:tcW w:type="dxa" w:w="2351"/>
            <w:shd w:val="clear" w:color="auto" w:fill="F5F7FA"/>
          </w:tcPr>
          <w:p>
            <w:pPr>
              <w:spacing w:before="100" w:after="100"/>
            </w:pPr>
            <w:r>
              <w:rPr>
                <w:rFonts w:ascii="Calibri" w:hAnsi="Calibri"/>
                <w:b w:val="0"/>
                <w:color w:val="2D2D2D"/>
                <w:sz w:val="18"/>
              </w:rPr>
              <w:t>Application React Native iOS/Android</w:t>
            </w:r>
          </w:p>
        </w:tc>
      </w:tr>
      <w:tr>
        <w:tc>
          <w:tcPr>
            <w:tcW w:type="dxa" w:w="2351"/>
            <w:shd w:val="clear" w:color="auto" w:fill="FFFFFF"/>
          </w:tcPr>
          <w:p>
            <w:pPr>
              <w:spacing w:before="100" w:after="100"/>
            </w:pPr>
            <w:r>
              <w:rPr>
                <w:rFonts w:ascii="Calibri" w:hAnsi="Calibri"/>
                <w:b/>
                <w:color w:val="2D2D2D"/>
                <w:sz w:val="18"/>
              </w:rPr>
              <w:t>Expert IA / Data Science</w:t>
            </w:r>
          </w:p>
        </w:tc>
        <w:tc>
          <w:tcPr>
            <w:tcW w:type="dxa" w:w="2351"/>
            <w:shd w:val="clear" w:color="auto" w:fill="FFFFFF"/>
          </w:tcPr>
          <w:p>
            <w:pPr>
              <w:spacing w:before="100" w:after="100"/>
            </w:pPr>
            <w:r>
              <w:rPr>
                <w:rFonts w:ascii="Calibri" w:hAnsi="Calibri"/>
                <w:b w:val="0"/>
                <w:color w:val="2D2D2D"/>
                <w:sz w:val="18"/>
              </w:rPr>
              <w:t>6 ans</w:t>
            </w:r>
          </w:p>
        </w:tc>
        <w:tc>
          <w:tcPr>
            <w:tcW w:type="dxa" w:w="2351"/>
            <w:shd w:val="clear" w:color="auto" w:fill="FFFFFF"/>
          </w:tcPr>
          <w:p>
            <w:pPr>
              <w:spacing w:before="100" w:after="100"/>
            </w:pPr>
            <w:r>
              <w:rPr>
                <w:rFonts w:ascii="Calibri" w:hAnsi="Calibri"/>
                <w:b w:val="0"/>
                <w:color w:val="2D2D2D"/>
                <w:sz w:val="18"/>
              </w:rPr>
              <w:t>60 %</w:t>
            </w:r>
          </w:p>
        </w:tc>
        <w:tc>
          <w:tcPr>
            <w:tcW w:type="dxa" w:w="2351"/>
            <w:shd w:val="clear" w:color="auto" w:fill="FFFFFF"/>
          </w:tcPr>
          <w:p>
            <w:pPr>
              <w:spacing w:before="100" w:after="100"/>
            </w:pPr>
            <w:r>
              <w:rPr>
                <w:rFonts w:ascii="Calibri" w:hAnsi="Calibri"/>
                <w:b w:val="0"/>
                <w:color w:val="2D2D2D"/>
                <w:sz w:val="18"/>
              </w:rPr>
              <w:t>Chatbot juridique, OCR, observatoire, ML</w:t>
            </w:r>
          </w:p>
        </w:tc>
      </w:tr>
      <w:tr>
        <w:tc>
          <w:tcPr>
            <w:tcW w:type="dxa" w:w="2351"/>
            <w:shd w:val="clear" w:color="auto" w:fill="F5F7FA"/>
          </w:tcPr>
          <w:p>
            <w:pPr>
              <w:spacing w:before="100" w:after="100"/>
            </w:pPr>
            <w:r>
              <w:rPr>
                <w:rFonts w:ascii="Calibri" w:hAnsi="Calibri"/>
                <w:b/>
                <w:color w:val="2D2D2D"/>
                <w:sz w:val="18"/>
              </w:rPr>
              <w:t>Ingénieur DevOps / Sécurité</w:t>
            </w:r>
          </w:p>
        </w:tc>
        <w:tc>
          <w:tcPr>
            <w:tcW w:type="dxa" w:w="2351"/>
            <w:shd w:val="clear" w:color="auto" w:fill="F5F7FA"/>
          </w:tcPr>
          <w:p>
            <w:pPr>
              <w:spacing w:before="100" w:after="100"/>
            </w:pPr>
            <w:r>
              <w:rPr>
                <w:rFonts w:ascii="Calibri" w:hAnsi="Calibri"/>
                <w:b w:val="0"/>
                <w:color w:val="2D2D2D"/>
                <w:sz w:val="18"/>
              </w:rPr>
              <w:t>7 ans</w:t>
            </w:r>
          </w:p>
        </w:tc>
        <w:tc>
          <w:tcPr>
            <w:tcW w:type="dxa" w:w="2351"/>
            <w:shd w:val="clear" w:color="auto" w:fill="F5F7FA"/>
          </w:tcPr>
          <w:p>
            <w:pPr>
              <w:spacing w:before="100" w:after="100"/>
            </w:pPr>
            <w:r>
              <w:rPr>
                <w:rFonts w:ascii="Calibri" w:hAnsi="Calibri"/>
                <w:b w:val="0"/>
                <w:color w:val="2D2D2D"/>
                <w:sz w:val="18"/>
              </w:rPr>
              <w:t>60 %</w:t>
            </w:r>
          </w:p>
        </w:tc>
        <w:tc>
          <w:tcPr>
            <w:tcW w:type="dxa" w:w="2351"/>
            <w:shd w:val="clear" w:color="auto" w:fill="F5F7FA"/>
          </w:tcPr>
          <w:p>
            <w:pPr>
              <w:spacing w:before="100" w:after="100"/>
            </w:pPr>
            <w:r>
              <w:rPr>
                <w:rFonts w:ascii="Calibri" w:hAnsi="Calibri"/>
                <w:b w:val="0"/>
                <w:color w:val="2D2D2D"/>
                <w:sz w:val="18"/>
              </w:rPr>
              <w:t>Infrastructure cloud, CI/CD, monitoring, audit sécurité</w:t>
            </w:r>
          </w:p>
        </w:tc>
      </w:tr>
      <w:tr>
        <w:tc>
          <w:tcPr>
            <w:tcW w:type="dxa" w:w="2351"/>
            <w:shd w:val="clear" w:color="auto" w:fill="FFFFFF"/>
          </w:tcPr>
          <w:p>
            <w:pPr>
              <w:spacing w:before="100" w:after="100"/>
            </w:pPr>
            <w:r>
              <w:rPr>
                <w:rFonts w:ascii="Calibri" w:hAnsi="Calibri"/>
                <w:b/>
                <w:color w:val="2D2D2D"/>
                <w:sz w:val="18"/>
              </w:rPr>
              <w:t>Spécialiste Formation</w:t>
            </w:r>
          </w:p>
        </w:tc>
        <w:tc>
          <w:tcPr>
            <w:tcW w:type="dxa" w:w="2351"/>
            <w:shd w:val="clear" w:color="auto" w:fill="FFFFFF"/>
          </w:tcPr>
          <w:p>
            <w:pPr>
              <w:spacing w:before="100" w:after="100"/>
            </w:pPr>
            <w:r>
              <w:rPr>
                <w:rFonts w:ascii="Calibri" w:hAnsi="Calibri"/>
                <w:b w:val="0"/>
                <w:color w:val="2D2D2D"/>
                <w:sz w:val="18"/>
              </w:rPr>
              <w:t>8 ans</w:t>
            </w:r>
          </w:p>
        </w:tc>
        <w:tc>
          <w:tcPr>
            <w:tcW w:type="dxa" w:w="2351"/>
            <w:shd w:val="clear" w:color="auto" w:fill="FFFFFF"/>
          </w:tcPr>
          <w:p>
            <w:pPr>
              <w:spacing w:before="100" w:after="100"/>
            </w:pPr>
            <w:r>
              <w:rPr>
                <w:rFonts w:ascii="Calibri" w:hAnsi="Calibri"/>
                <w:b w:val="0"/>
                <w:color w:val="2D2D2D"/>
                <w:sz w:val="18"/>
              </w:rPr>
              <w:t>80 %</w:t>
            </w:r>
          </w:p>
        </w:tc>
        <w:tc>
          <w:tcPr>
            <w:tcW w:type="dxa" w:w="2351"/>
            <w:shd w:val="clear" w:color="auto" w:fill="FFFFFF"/>
          </w:tcPr>
          <w:p>
            <w:pPr>
              <w:spacing w:before="100" w:after="100"/>
            </w:pPr>
            <w:r>
              <w:rPr>
                <w:rFonts w:ascii="Calibri" w:hAnsi="Calibri"/>
                <w:b w:val="0"/>
                <w:color w:val="2D2D2D"/>
                <w:sz w:val="18"/>
              </w:rPr>
              <w:t>Formation agents DGT, guides utilisateurs, accompagnement changement</w:t>
            </w:r>
          </w:p>
        </w:tc>
      </w:tr>
      <w:tr>
        <w:tc>
          <w:tcPr>
            <w:tcW w:type="dxa" w:w="2351"/>
            <w:shd w:val="clear" w:color="auto" w:fill="F5F7FA"/>
          </w:tcPr>
          <w:p>
            <w:pPr>
              <w:spacing w:before="100" w:after="100"/>
            </w:pPr>
            <w:r>
              <w:rPr>
                <w:rFonts w:ascii="Calibri" w:hAnsi="Calibri"/>
                <w:b/>
                <w:color w:val="2D2D2D"/>
                <w:sz w:val="18"/>
              </w:rPr>
              <w:t>Ingénieur support (post-prod)</w:t>
            </w:r>
          </w:p>
        </w:tc>
        <w:tc>
          <w:tcPr>
            <w:tcW w:type="dxa" w:w="2351"/>
            <w:shd w:val="clear" w:color="auto" w:fill="F5F7FA"/>
          </w:tcPr>
          <w:p>
            <w:pPr>
              <w:spacing w:before="100" w:after="100"/>
            </w:pPr>
            <w:r>
              <w:rPr>
                <w:rFonts w:ascii="Calibri" w:hAnsi="Calibri"/>
                <w:b w:val="0"/>
                <w:color w:val="2D2D2D"/>
                <w:sz w:val="18"/>
              </w:rPr>
              <w:t>4 ans</w:t>
            </w:r>
          </w:p>
        </w:tc>
        <w:tc>
          <w:tcPr>
            <w:tcW w:type="dxa" w:w="2351"/>
            <w:shd w:val="clear" w:color="auto" w:fill="F5F7FA"/>
          </w:tcPr>
          <w:p>
            <w:pPr>
              <w:spacing w:before="100" w:after="100"/>
            </w:pPr>
            <w:r>
              <w:rPr>
                <w:rFonts w:ascii="Calibri" w:hAnsi="Calibri"/>
                <w:b w:val="0"/>
                <w:color w:val="2D2D2D"/>
                <w:sz w:val="18"/>
              </w:rPr>
              <w:t>100 %</w:t>
            </w:r>
          </w:p>
        </w:tc>
        <w:tc>
          <w:tcPr>
            <w:tcW w:type="dxa" w:w="2351"/>
            <w:shd w:val="clear" w:color="auto" w:fill="F5F7FA"/>
          </w:tcPr>
          <w:p>
            <w:pPr>
              <w:spacing w:before="100" w:after="100"/>
            </w:pPr>
            <w:r>
              <w:rPr>
                <w:rFonts w:ascii="Calibri" w:hAnsi="Calibri"/>
                <w:b w:val="0"/>
                <w:color w:val="2D2D2D"/>
                <w:sz w:val="18"/>
              </w:rPr>
              <w:t>Helpdesk, maintenance, tickets, monitoring quotidien</w:t>
            </w:r>
          </w:p>
        </w:tc>
      </w:tr>
    </w:tbl>
    <w:p>
      <w:pPr>
        <w:spacing w:before="200" w:after="80"/>
      </w:pPr>
      <w:r>
        <w:rPr>
          <w:rFonts w:ascii="Calibri" w:hAnsi="Calibri"/>
          <w:b/>
          <w:color w:val="0072C6"/>
          <w:sz w:val="24"/>
        </w:rPr>
        <w:t>11.4  Références pertinentes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0347C"/>
            <w:vAlign w:val="center"/>
          </w:tcPr>
          <w:p>
            <w:pPr>
              <w:spacing w:before="120" w:after="120"/>
              <w:jc w:val="center"/>
            </w:pPr>
            <w:r>
              <w:rPr>
                <w:rFonts w:ascii="Calibri" w:hAnsi="Calibri"/>
                <w:b/>
                <w:color w:val="FFFFFF"/>
                <w:sz w:val="20"/>
              </w:rPr>
              <w:t>Projet</w:t>
            </w:r>
          </w:p>
        </w:tc>
        <w:tc>
          <w:tcPr>
            <w:tcW w:type="dxa" w:w="4703"/>
            <w:shd w:val="clear" w:color="auto" w:fill="00347C"/>
            <w:vAlign w:val="center"/>
          </w:tcPr>
          <w:p>
            <w:pPr>
              <w:spacing w:before="120" w:after="120"/>
              <w:jc w:val="center"/>
            </w:pPr>
            <w:r>
              <w:rPr>
                <w:rFonts w:ascii="Calibri" w:hAnsi="Calibri"/>
                <w:b/>
                <w:color w:val="FFFFFF"/>
                <w:sz w:val="20"/>
              </w:rPr>
              <w:t>Contexte et résultats</w:t>
            </w:r>
          </w:p>
        </w:tc>
      </w:tr>
      <w:tr>
        <w:tc>
          <w:tcPr>
            <w:tcW w:type="dxa" w:w="4703"/>
            <w:shd w:val="clear" w:color="auto" w:fill="FFFFFF"/>
            <w:vAlign w:val="center"/>
          </w:tcPr>
          <w:p>
            <w:pPr>
              <w:spacing w:before="80" w:after="80"/>
              <w:jc w:val="left"/>
            </w:pPr>
            <w:r>
              <w:rPr>
                <w:rFonts w:ascii="Calibri" w:hAnsi="Calibri"/>
                <w:b/>
                <w:color w:val="00347C"/>
                <w:sz w:val="19"/>
              </w:rPr>
              <w:t>Plateforme nationale de gestion de projets et courrier administratif</w:t>
            </w:r>
          </w:p>
        </w:tc>
        <w:tc>
          <w:tcPr>
            <w:tcW w:type="dxa" w:w="4703"/>
            <w:shd w:val="clear" w:color="auto" w:fill="FFFFFF"/>
            <w:vAlign w:val="center"/>
          </w:tcPr>
          <w:p>
            <w:pPr>
              <w:spacing w:before="80" w:after="80"/>
              <w:jc w:val="left"/>
            </w:pPr>
            <w:r>
              <w:rPr>
                <w:rFonts w:ascii="Calibri" w:hAnsi="Calibri"/>
                <w:b w:val="0"/>
                <w:color w:val="2D2D2D"/>
                <w:sz w:val="19"/>
              </w:rPr>
              <w:t>Administrations centrales — Gestion de 10 000+ documents et 500+ utilisateurs simultanés</w:t>
            </w:r>
          </w:p>
        </w:tc>
      </w:tr>
      <w:tr>
        <w:tc>
          <w:tcPr>
            <w:tcW w:type="dxa" w:w="4703"/>
            <w:shd w:val="clear" w:color="auto" w:fill="F5F7FA"/>
            <w:vAlign w:val="center"/>
          </w:tcPr>
          <w:p>
            <w:pPr>
              <w:spacing w:before="80" w:after="80"/>
              <w:jc w:val="left"/>
            </w:pPr>
            <w:r>
              <w:rPr>
                <w:rFonts w:ascii="Calibri" w:hAnsi="Calibri"/>
                <w:b/>
                <w:color w:val="00347C"/>
                <w:sz w:val="19"/>
              </w:rPr>
              <w:t>Système de diligences et GED électronique sécurisée</w:t>
            </w:r>
          </w:p>
        </w:tc>
        <w:tc>
          <w:tcPr>
            <w:tcW w:type="dxa" w:w="4703"/>
            <w:shd w:val="clear" w:color="auto" w:fill="F5F7FA"/>
            <w:vAlign w:val="center"/>
          </w:tcPr>
          <w:p>
            <w:pPr>
              <w:spacing w:before="80" w:after="80"/>
              <w:jc w:val="left"/>
            </w:pPr>
            <w:r>
              <w:rPr>
                <w:rFonts w:ascii="Calibri" w:hAnsi="Calibri"/>
                <w:b w:val="0"/>
                <w:color w:val="2D2D2D"/>
                <w:sz w:val="19"/>
              </w:rPr>
              <w:t>Secteur financier — Conformité UEMOA, audit trail complet, zéro incident de sécurité en 3 ans</w:t>
            </w:r>
          </w:p>
        </w:tc>
      </w:tr>
      <w:tr>
        <w:tc>
          <w:tcPr>
            <w:tcW w:type="dxa" w:w="4703"/>
            <w:shd w:val="clear" w:color="auto" w:fill="FFFFFF"/>
            <w:vAlign w:val="center"/>
          </w:tcPr>
          <w:p>
            <w:pPr>
              <w:spacing w:before="80" w:after="80"/>
              <w:jc w:val="left"/>
            </w:pPr>
            <w:r>
              <w:rPr>
                <w:rFonts w:ascii="Calibri" w:hAnsi="Calibri"/>
                <w:b/>
                <w:color w:val="00347C"/>
                <w:sz w:val="19"/>
              </w:rPr>
              <w:t>Plateforme e-commerce et paiement mobile (Orange Money / Wave)</w:t>
            </w:r>
          </w:p>
        </w:tc>
        <w:tc>
          <w:tcPr>
            <w:tcW w:type="dxa" w:w="4703"/>
            <w:shd w:val="clear" w:color="auto" w:fill="FFFFFF"/>
            <w:vAlign w:val="center"/>
          </w:tcPr>
          <w:p>
            <w:pPr>
              <w:spacing w:before="80" w:after="80"/>
              <w:jc w:val="left"/>
            </w:pPr>
            <w:r>
              <w:rPr>
                <w:rFonts w:ascii="Calibri" w:hAnsi="Calibri"/>
                <w:b w:val="0"/>
                <w:color w:val="2D2D2D"/>
                <w:sz w:val="19"/>
              </w:rPr>
              <w:t>Secteur commerce — 50 000+ transactions/mois, intégration CinetPay et Bizao</w:t>
            </w:r>
          </w:p>
        </w:tc>
      </w:tr>
      <w:tr>
        <w:tc>
          <w:tcPr>
            <w:tcW w:type="dxa" w:w="4703"/>
            <w:shd w:val="clear" w:color="auto" w:fill="F5F7FA"/>
            <w:vAlign w:val="center"/>
          </w:tcPr>
          <w:p>
            <w:pPr>
              <w:spacing w:before="80" w:after="80"/>
              <w:jc w:val="left"/>
            </w:pPr>
            <w:r>
              <w:rPr>
                <w:rFonts w:ascii="Calibri" w:hAnsi="Calibri"/>
                <w:b/>
                <w:color w:val="00347C"/>
                <w:sz w:val="19"/>
              </w:rPr>
              <w:t>Solution de gestion de la publicité digitale et affichage</w:t>
            </w:r>
          </w:p>
        </w:tc>
        <w:tc>
          <w:tcPr>
            <w:tcW w:type="dxa" w:w="4703"/>
            <w:shd w:val="clear" w:color="auto" w:fill="F5F7FA"/>
            <w:vAlign w:val="center"/>
          </w:tcPr>
          <w:p>
            <w:pPr>
              <w:spacing w:before="80" w:after="80"/>
              <w:jc w:val="left"/>
            </w:pPr>
            <w:r>
              <w:rPr>
                <w:rFonts w:ascii="Calibri" w:hAnsi="Calibri"/>
                <w:b w:val="0"/>
                <w:color w:val="2D2D2D"/>
                <w:sz w:val="19"/>
              </w:rPr>
              <w:t>Médias et communication — Campagne cross-supports, reporting temps réel</w:t>
            </w:r>
          </w:p>
        </w:tc>
      </w:tr>
      <w:tr>
        <w:tc>
          <w:tcPr>
            <w:tcW w:type="dxa" w:w="4703"/>
            <w:shd w:val="clear" w:color="auto" w:fill="FFFFFF"/>
            <w:vAlign w:val="center"/>
          </w:tcPr>
          <w:p>
            <w:pPr>
              <w:spacing w:before="80" w:after="80"/>
              <w:jc w:val="left"/>
            </w:pPr>
            <w:r>
              <w:rPr>
                <w:rFonts w:ascii="Calibri" w:hAnsi="Calibri"/>
                <w:b/>
                <w:color w:val="00347C"/>
                <w:sz w:val="19"/>
              </w:rPr>
              <w:t>Application mobile de terrain pour inspection qualité</w:t>
            </w:r>
          </w:p>
        </w:tc>
        <w:tc>
          <w:tcPr>
            <w:tcW w:type="dxa" w:w="4703"/>
            <w:shd w:val="clear" w:color="auto" w:fill="FFFFFF"/>
            <w:vAlign w:val="center"/>
          </w:tcPr>
          <w:p>
            <w:pPr>
              <w:spacing w:before="80" w:after="80"/>
              <w:jc w:val="left"/>
            </w:pPr>
            <w:r>
              <w:rPr>
                <w:rFonts w:ascii="Calibri" w:hAnsi="Calibri"/>
                <w:b w:val="0"/>
                <w:color w:val="2D2D2D"/>
                <w:sz w:val="19"/>
              </w:rPr>
              <w:t>Agro-industrie — Fonctionnement hors-ligne, sync GPS, 200+ inspecteurs mobiles</w:t>
            </w:r>
          </w:p>
        </w:tc>
      </w:tr>
    </w:tbl>
    <w:p>
      <w:r>
        <w:br w:type="page"/>
      </w:r>
    </w:p>
    <w:p>
      <w:pPr>
        <w:spacing w:before="0" w:after="120"/>
      </w:pPr>
      <w:r>
        <w:rPr>
          <w:rFonts w:ascii="Calibri" w:hAnsi="Calibri"/>
          <w:b/>
          <w:color w:val="00347C"/>
          <w:sz w:val="30"/>
        </w:rPr>
        <w:t>12.  PROPOSITION DE VALEUR DIFFÉRENCIANTE</w:t>
      </w:r>
    </w:p>
    <w:p>
      <w:pPr>
        <w:pBdr>
          <w:bottom w:val="single" w:sz="6" w:space="1" w:color="00347C"/>
        </w:pBdr>
        <w:spacing w:before="20" w:after="40"/>
      </w:pPr>
    </w:p>
    <w:p>
      <w:pPr>
        <w:spacing w:before="60" w:after="60" w:line="360" w:lineRule="auto"/>
        <w:jc w:val="both"/>
      </w:pPr>
      <w:r>
        <w:rPr>
          <w:rFonts w:ascii="Calibri" w:hAnsi="Calibri"/>
          <w:i w:val="0"/>
          <w:color w:val="2D2D2D"/>
          <w:sz w:val="21"/>
        </w:rPr>
        <w:t>Pourquoi choisir Numerix Digital et la Plateforme e-Inspection du Travail plutôt qu'une solution générique ou un développement interne ?</w:t>
      </w:r>
    </w:p>
    <w:tbl>
      <w:tblPr>
        <w:tblW w:type="auto" w:w="0"/>
        <w:jc w:val="center"/>
        <w:tblLook w:firstColumn="1" w:firstRow="1" w:lastColumn="0" w:lastRow="0" w:noHBand="0" w:noVBand="1" w:val="04A0"/>
      </w:tblPr>
      <w:tblGrid>
        <w:gridCol w:w="9406"/>
      </w:tblGrid>
      <w:tr>
        <w:tc>
          <w:tcPr>
            <w:tcW w:type="dxa" w:w="9406"/>
            <w:shd w:val="clear" w:color="auto" w:fill="DCF0FF"/>
          </w:tcPr>
          <w:p>
            <w:pPr>
              <w:spacing w:before="160" w:after="80"/>
            </w:pPr>
            <w:r>
              <w:rPr>
                <w:rFonts w:ascii="Calibri" w:hAnsi="Calibri"/>
                <w:b/>
                <w:color w:val="00347C"/>
                <w:sz w:val="22"/>
              </w:rPr>
              <w:t>✓  Conçu pour la Côte d'Ivoire</w:t>
            </w:r>
          </w:p>
          <w:p>
            <w:pPr>
              <w:spacing w:before="40" w:after="160"/>
            </w:pPr>
            <w:r>
              <w:rPr>
                <w:rFonts w:ascii="Calibri" w:hAnsi="Calibri"/>
                <w:color w:val="2D2D2D"/>
                <w:sz w:val="20"/>
              </w:rPr>
              <w:t xml:space="preserve">    La solution intègre nativement le Code du Travail ivoirien (Loi 2015-532), les conventions collectives nationales, les 19 directions régionales du travail, les opérateurs SMS locaux (Orange CI, MTN CI, Moov Africa) et le contexte linguistique national (Dioula, Baoulé, Attié). Ce n'est pas une solution étrangère adaptée : c'est une solution pensée pour la Côte d'Ivoire.</w:t>
            </w:r>
          </w:p>
        </w:tc>
      </w:tr>
    </w:tbl>
    <w:p/>
    <w:tbl>
      <w:tblPr>
        <w:tblW w:type="auto" w:w="0"/>
        <w:jc w:val="center"/>
        <w:tblLook w:firstColumn="1" w:firstRow="1" w:lastColumn="0" w:lastRow="0" w:noHBand="0" w:noVBand="1" w:val="04A0"/>
      </w:tblPr>
      <w:tblGrid>
        <w:gridCol w:w="9406"/>
      </w:tblGrid>
      <w:tr>
        <w:tc>
          <w:tcPr>
            <w:tcW w:type="dxa" w:w="9406"/>
            <w:shd w:val="clear" w:color="auto" w:fill="DCF0FF"/>
          </w:tcPr>
          <w:p>
            <w:pPr>
              <w:spacing w:before="160" w:after="80"/>
            </w:pPr>
            <w:r>
              <w:rPr>
                <w:rFonts w:ascii="Calibri" w:hAnsi="Calibri"/>
                <w:b/>
                <w:color w:val="00347C"/>
                <w:sz w:val="22"/>
              </w:rPr>
              <w:t>✓  Solution complète, non fragmentée</w:t>
            </w:r>
          </w:p>
          <w:p>
            <w:pPr>
              <w:spacing w:before="40" w:after="160"/>
            </w:pPr>
            <w:r>
              <w:rPr>
                <w:rFonts w:ascii="Calibri" w:hAnsi="Calibri"/>
                <w:color w:val="2D2D2D"/>
                <w:sz w:val="20"/>
              </w:rPr>
              <w:t xml:space="preserve">    16 modules intégrés dans une seule plateforme = une seule source de vérité, une seule interface utilisateur, un seul fournisseur à gérer, une seule piste d'audit. Pas besoin d'assembler et de maintenir plusieurs logiciels disparates.</w:t>
            </w:r>
          </w:p>
        </w:tc>
      </w:tr>
    </w:tbl>
    <w:p/>
    <w:tbl>
      <w:tblPr>
        <w:tblW w:type="auto" w:w="0"/>
        <w:jc w:val="center"/>
        <w:tblLook w:firstColumn="1" w:firstRow="1" w:lastColumn="0" w:lastRow="0" w:noHBand="0" w:noVBand="1" w:val="04A0"/>
      </w:tblPr>
      <w:tblGrid>
        <w:gridCol w:w="9406"/>
      </w:tblGrid>
      <w:tr>
        <w:tc>
          <w:tcPr>
            <w:tcW w:type="dxa" w:w="9406"/>
            <w:shd w:val="clear" w:color="auto" w:fill="DCF0FF"/>
          </w:tcPr>
          <w:p>
            <w:pPr>
              <w:spacing w:before="160" w:after="80"/>
            </w:pPr>
            <w:r>
              <w:rPr>
                <w:rFonts w:ascii="Calibri" w:hAnsi="Calibri"/>
                <w:b/>
                <w:color w:val="00347C"/>
                <w:sz w:val="22"/>
              </w:rPr>
              <w:t>✓  IA au service des agents DGT</w:t>
            </w:r>
          </w:p>
          <w:p>
            <w:pPr>
              <w:spacing w:before="40" w:after="160"/>
            </w:pPr>
            <w:r>
              <w:rPr>
                <w:rFonts w:ascii="Calibri" w:hAnsi="Calibri"/>
                <w:color w:val="2D2D2D"/>
                <w:sz w:val="20"/>
              </w:rPr>
              <w:t xml:space="preserve">    Le chatbot juridique réduit la charge des agents en répondant aux questions récurrentes des travailleurs 24h/24. L'OCR et la transcription audio permettent de traiter plus rapidement des dossiers papier ou des témoignages oraux.</w:t>
            </w:r>
          </w:p>
        </w:tc>
      </w:tr>
    </w:tbl>
    <w:p/>
    <w:tbl>
      <w:tblPr>
        <w:tblW w:type="auto" w:w="0"/>
        <w:jc w:val="center"/>
        <w:tblLook w:firstColumn="1" w:firstRow="1" w:lastColumn="0" w:lastRow="0" w:noHBand="0" w:noVBand="1" w:val="04A0"/>
      </w:tblPr>
      <w:tblGrid>
        <w:gridCol w:w="9406"/>
      </w:tblGrid>
      <w:tr>
        <w:tc>
          <w:tcPr>
            <w:tcW w:type="dxa" w:w="9406"/>
            <w:shd w:val="clear" w:color="auto" w:fill="DCF0FF"/>
          </w:tcPr>
          <w:p>
            <w:pPr>
              <w:spacing w:before="160" w:after="80"/>
            </w:pPr>
            <w:r>
              <w:rPr>
                <w:rFonts w:ascii="Calibri" w:hAnsi="Calibri"/>
                <w:b/>
                <w:color w:val="00347C"/>
                <w:sz w:val="22"/>
              </w:rPr>
              <w:t>✓  Accessibilité sur mobile dans un contexte à forte pénétration smartphone</w:t>
            </w:r>
          </w:p>
          <w:p>
            <w:pPr>
              <w:spacing w:before="40" w:after="160"/>
            </w:pPr>
            <w:r>
              <w:rPr>
                <w:rFonts w:ascii="Calibri" w:hAnsi="Calibri"/>
                <w:color w:val="2D2D2D"/>
                <w:sz w:val="20"/>
              </w:rPr>
              <w:t xml:space="preserve">    La Côte d'Ivoire compte plus de 20 millions d'abonnés mobiles. L'application mobile native (iOS/Android) + la conception mobile-first du portail web garantissent l'accès au service depuis n'importe quel smartphone, même en connexion 3G.</w:t>
            </w:r>
          </w:p>
        </w:tc>
      </w:tr>
    </w:tbl>
    <w:p/>
    <w:tbl>
      <w:tblPr>
        <w:tblW w:type="auto" w:w="0"/>
        <w:jc w:val="center"/>
        <w:tblLook w:firstColumn="1" w:firstRow="1" w:lastColumn="0" w:lastRow="0" w:noHBand="0" w:noVBand="1" w:val="04A0"/>
      </w:tblPr>
      <w:tblGrid>
        <w:gridCol w:w="9406"/>
      </w:tblGrid>
      <w:tr>
        <w:tc>
          <w:tcPr>
            <w:tcW w:type="dxa" w:w="9406"/>
            <w:shd w:val="clear" w:color="auto" w:fill="DCF0FF"/>
          </w:tcPr>
          <w:p>
            <w:pPr>
              <w:spacing w:before="160" w:after="80"/>
            </w:pPr>
            <w:r>
              <w:rPr>
                <w:rFonts w:ascii="Calibri" w:hAnsi="Calibri"/>
                <w:b/>
                <w:color w:val="00347C"/>
                <w:sz w:val="22"/>
              </w:rPr>
              <w:t>✓  Pérennité et autonomie</w:t>
            </w:r>
          </w:p>
          <w:p>
            <w:pPr>
              <w:spacing w:before="40" w:after="160"/>
            </w:pPr>
            <w:r>
              <w:rPr>
                <w:rFonts w:ascii="Calibri" w:hAnsi="Calibri"/>
                <w:color w:val="2D2D2D"/>
                <w:sz w:val="20"/>
              </w:rPr>
              <w:t xml:space="preserve">    Transfert de code source, formation des développeurs IT du Ministère, documentation architecture complète : la DGT devient progressivement autonome et n'est pas dépendante à vie du prestataire pour les évolutions courantes.</w:t>
            </w:r>
          </w:p>
        </w:tc>
      </w:tr>
    </w:tbl>
    <w:p/>
    <w:tbl>
      <w:tblPr>
        <w:tblW w:type="auto" w:w="0"/>
        <w:jc w:val="center"/>
        <w:tblLook w:firstColumn="1" w:firstRow="1" w:lastColumn="0" w:lastRow="0" w:noHBand="0" w:noVBand="1" w:val="04A0"/>
      </w:tblPr>
      <w:tblGrid>
        <w:gridCol w:w="9406"/>
      </w:tblGrid>
      <w:tr>
        <w:tc>
          <w:tcPr>
            <w:tcW w:type="dxa" w:w="9406"/>
            <w:shd w:val="clear" w:color="auto" w:fill="DCF0FF"/>
          </w:tcPr>
          <w:p>
            <w:pPr>
              <w:spacing w:before="160" w:after="80"/>
            </w:pPr>
            <w:r>
              <w:rPr>
                <w:rFonts w:ascii="Calibri" w:hAnsi="Calibri"/>
                <w:b/>
                <w:color w:val="00347C"/>
                <w:sz w:val="22"/>
              </w:rPr>
              <w:t>✓  Retour sur investissement mesurable</w:t>
            </w:r>
          </w:p>
          <w:p>
            <w:pPr>
              <w:spacing w:before="40" w:after="160"/>
            </w:pPr>
            <w:r>
              <w:rPr>
                <w:rFonts w:ascii="Calibri" w:hAnsi="Calibri"/>
                <w:color w:val="2D2D2D"/>
                <w:sz w:val="20"/>
              </w:rPr>
              <w:t xml:space="preserve">    60 % de réduction des délais de traitement des plaintes, 100 % de traçabilité, réduction des coûts papier et de déplacement estimée à 15 millions FCFA/an, amélioration de l'image institutionnelle de la DGT auprès des partenaires sociaux.</w:t>
            </w:r>
          </w:p>
        </w:tc>
      </w:tr>
    </w:tbl>
    <w:p/>
    <w:p>
      <w:r>
        <w:br w:type="page"/>
      </w:r>
    </w:p>
    <w:p>
      <w:pPr>
        <w:spacing w:before="0" w:after="120"/>
      </w:pPr>
      <w:r>
        <w:rPr>
          <w:rFonts w:ascii="Calibri" w:hAnsi="Calibri"/>
          <w:b/>
          <w:color w:val="00347C"/>
          <w:sz w:val="30"/>
        </w:rPr>
        <w:t>13.  CONDITIONS GÉNÉRALES ET JURIDIQUES</w:t>
      </w:r>
    </w:p>
    <w:p>
      <w:pPr>
        <w:pBdr>
          <w:bottom w:val="single" w:sz="6" w:space="1" w:color="00347C"/>
        </w:pBdr>
        <w:spacing w:before="20" w:after="40"/>
      </w:pPr>
    </w:p>
    <w:p>
      <w:pPr>
        <w:spacing w:before="160" w:after="80"/>
      </w:pPr>
      <w:r>
        <w:rPr>
          <w:rFonts w:ascii="Calibri" w:hAnsi="Calibri"/>
          <w:b/>
          <w:color w:val="0072C6"/>
          <w:sz w:val="24"/>
        </w:rPr>
        <w:t>Propriété intellectuelle</w:t>
      </w:r>
    </w:p>
    <w:p>
      <w:pPr>
        <w:spacing w:before="60" w:after="60" w:line="360" w:lineRule="auto"/>
        <w:jc w:val="both"/>
      </w:pPr>
      <w:r>
        <w:rPr>
          <w:rFonts w:ascii="Calibri" w:hAnsi="Calibri"/>
          <w:i w:val="0"/>
          <w:color w:val="2D2D2D"/>
          <w:sz w:val="21"/>
        </w:rPr>
        <w:t>La licence logicielle accordée à la Direction Générale du Travail est perpétuelle, non exclusive et non transférable. Le code source des développements spécifiques réalisés pour la DGT-CI peut être cédé en pleine propriété sur demande, dans les termes d'un avenant au contrat principal.</w:t>
      </w:r>
    </w:p>
    <w:p>
      <w:pPr>
        <w:spacing w:before="160" w:after="80"/>
      </w:pPr>
      <w:r>
        <w:rPr>
          <w:rFonts w:ascii="Calibri" w:hAnsi="Calibri"/>
          <w:b/>
          <w:color w:val="0072C6"/>
          <w:sz w:val="24"/>
        </w:rPr>
        <w:t>Confidentialité</w:t>
      </w:r>
    </w:p>
    <w:p>
      <w:pPr>
        <w:spacing w:before="60" w:after="60" w:line="360" w:lineRule="auto"/>
        <w:jc w:val="both"/>
      </w:pPr>
      <w:r>
        <w:rPr>
          <w:rFonts w:ascii="Calibri" w:hAnsi="Calibri"/>
          <w:i w:val="0"/>
          <w:color w:val="2D2D2D"/>
          <w:sz w:val="21"/>
        </w:rPr>
        <w:t>Numerix Digital s'engage à maintenir la stricte confidentialité de toutes les informations, données, documents et accès mis à disposition dans le cadre du projet. Cet engagement s'applique à l'ensemble du personnel de Numerix Digital mobilisé sur le projet et est valable sans limitation de durée, y compris après la fin du contrat. Un accord de confidentialité (NDA) séparé peut être signé à la demande de la DGT.</w:t>
      </w:r>
    </w:p>
    <w:p>
      <w:pPr>
        <w:spacing w:before="160" w:after="80"/>
      </w:pPr>
      <w:r>
        <w:rPr>
          <w:rFonts w:ascii="Calibri" w:hAnsi="Calibri"/>
          <w:b/>
          <w:color w:val="0072C6"/>
          <w:sz w:val="24"/>
        </w:rPr>
        <w:t>Protection des données personnelles</w:t>
      </w:r>
    </w:p>
    <w:p>
      <w:pPr>
        <w:spacing w:before="60" w:after="60" w:line="360" w:lineRule="auto"/>
        <w:jc w:val="both"/>
      </w:pPr>
      <w:r>
        <w:rPr>
          <w:rFonts w:ascii="Calibri" w:hAnsi="Calibri"/>
          <w:i w:val="0"/>
          <w:color w:val="2D2D2D"/>
          <w:sz w:val="21"/>
        </w:rPr>
        <w:t>La plateforme est conçue en conformité avec la Loi ivoirienne n° 2013-450 du 19 juin 2013 relative à la protection des données à caractère personnel (ARTCI) et les recommandations du RGPD européen. Les données personnelles des travailleurs et employeurs ne seront jamais transmises à des tiers, ni utilisées à des fins commerciales. Un registre des traitements de données sera mis à disposition de la DGT.</w:t>
      </w:r>
    </w:p>
    <w:p>
      <w:pPr>
        <w:spacing w:before="160" w:after="80"/>
      </w:pPr>
      <w:r>
        <w:rPr>
          <w:rFonts w:ascii="Calibri" w:hAnsi="Calibri"/>
          <w:b/>
          <w:color w:val="0072C6"/>
          <w:sz w:val="24"/>
        </w:rPr>
        <w:t>Hébergement et souveraineté des données</w:t>
      </w:r>
    </w:p>
    <w:p>
      <w:pPr>
        <w:spacing w:before="60" w:after="60" w:line="360" w:lineRule="auto"/>
        <w:jc w:val="both"/>
      </w:pPr>
      <w:r>
        <w:rPr>
          <w:rFonts w:ascii="Calibri" w:hAnsi="Calibri"/>
          <w:i w:val="0"/>
          <w:color w:val="2D2D2D"/>
          <w:sz w:val="21"/>
        </w:rPr>
        <w:t>Les données de la DGT seront hébergées sur des serveurs physiquement situés en Côte d'Ivoire ou dans l'UEMOA, à la demande du Ministère. Numerix Digital peut également déployer sur une infrastructure on-premise au sein des datacenters gouvernementaux.</w:t>
      </w:r>
    </w:p>
    <w:p>
      <w:pPr>
        <w:spacing w:before="160" w:after="80"/>
      </w:pPr>
      <w:r>
        <w:rPr>
          <w:rFonts w:ascii="Calibri" w:hAnsi="Calibri"/>
          <w:b/>
          <w:color w:val="0072C6"/>
          <w:sz w:val="24"/>
        </w:rPr>
        <w:t>Force majeure</w:t>
      </w:r>
    </w:p>
    <w:p>
      <w:pPr>
        <w:spacing w:before="60" w:after="60" w:line="360" w:lineRule="auto"/>
        <w:jc w:val="both"/>
      </w:pPr>
      <w:r>
        <w:rPr>
          <w:rFonts w:ascii="Calibri" w:hAnsi="Calibri"/>
          <w:i w:val="0"/>
          <w:color w:val="2D2D2D"/>
          <w:sz w:val="21"/>
        </w:rPr>
        <w:t>Aucune des parties ne pourra être tenue responsable d'un manquement à ses obligations contractuelles résultant d'un événement de force majeure tel que défini par le droit ivoirien (catastrophe naturelle, émeutes, pandémie, interruption des réseaux nationaux).</w:t>
      </w:r>
    </w:p>
    <w:p>
      <w:pPr>
        <w:spacing w:before="160" w:after="80"/>
      </w:pPr>
      <w:r>
        <w:rPr>
          <w:rFonts w:ascii="Calibri" w:hAnsi="Calibri"/>
          <w:b/>
          <w:color w:val="0072C6"/>
          <w:sz w:val="24"/>
        </w:rPr>
        <w:t>Droit applicable et juridiction</w:t>
      </w:r>
    </w:p>
    <w:p>
      <w:pPr>
        <w:spacing w:before="60" w:after="60" w:line="360" w:lineRule="auto"/>
        <w:jc w:val="both"/>
      </w:pPr>
      <w:r>
        <w:rPr>
          <w:rFonts w:ascii="Calibri" w:hAnsi="Calibri"/>
          <w:i w:val="0"/>
          <w:color w:val="2D2D2D"/>
          <w:sz w:val="21"/>
        </w:rPr>
        <w:t>Le présent contrat est régi par le droit de la République de Côte d'Ivoire. Tout litige relatif à son interprétation ou son exécution sera soumis, à défaut d'accord amiable dans un délai de 30 jours, à la juridiction compétente du Tribunal de Commerce d'Abidjan, dont les parties font expressément élection de domicile.</w:t>
      </w:r>
    </w:p>
    <w:p>
      <w:pPr>
        <w:spacing w:before="160" w:after="80"/>
      </w:pPr>
      <w:r>
        <w:rPr>
          <w:rFonts w:ascii="Calibri" w:hAnsi="Calibri"/>
          <w:b/>
          <w:color w:val="0072C6"/>
          <w:sz w:val="24"/>
        </w:rPr>
        <w:t>Sous-traitance</w:t>
      </w:r>
    </w:p>
    <w:p>
      <w:pPr>
        <w:spacing w:before="60" w:after="60" w:line="360" w:lineRule="auto"/>
        <w:jc w:val="both"/>
      </w:pPr>
      <w:r>
        <w:rPr>
          <w:rFonts w:ascii="Calibri" w:hAnsi="Calibri"/>
          <w:i w:val="0"/>
          <w:color w:val="2D2D2D"/>
          <w:sz w:val="21"/>
        </w:rPr>
        <w:t>Numerix Digital pourra faire appel à des sous-traitants spécialisés pour certaines prestations (hébergement cloud, sécurité, gateway SMS). La DGT en sera informée par écrit. La responsabilité contractuelle principale demeure celle de Numerix Digital.</w:t>
      </w:r>
    </w:p>
    <w:p>
      <w:pPr>
        <w:spacing w:before="160" w:after="80"/>
      </w:pPr>
      <w:r>
        <w:rPr>
          <w:rFonts w:ascii="Calibri" w:hAnsi="Calibri"/>
          <w:b/>
          <w:color w:val="0072C6"/>
          <w:sz w:val="24"/>
        </w:rPr>
        <w:t>Modifications du contrat</w:t>
      </w:r>
    </w:p>
    <w:p>
      <w:pPr>
        <w:spacing w:before="60" w:after="60" w:line="360" w:lineRule="auto"/>
        <w:jc w:val="both"/>
      </w:pPr>
      <w:r>
        <w:rPr>
          <w:rFonts w:ascii="Calibri" w:hAnsi="Calibri"/>
          <w:i w:val="0"/>
          <w:color w:val="2D2D2D"/>
          <w:sz w:val="21"/>
        </w:rPr>
        <w:t>Toute modification du périmètre, des délais ou du budget fera l'objet d'un avenant signé par les deux parties avant mise en œuvre. Un comité de pilotage mensuel est mis en place pour piloter conjointement le projet et traiter les demandes d'évolution.</w:t>
      </w:r>
    </w:p>
    <w:p>
      <w:pPr>
        <w:spacing w:before="160" w:after="80"/>
      </w:pPr>
      <w:r>
        <w:rPr>
          <w:rFonts w:ascii="Calibri" w:hAnsi="Calibri"/>
          <w:b/>
          <w:color w:val="0072C6"/>
          <w:sz w:val="24"/>
        </w:rPr>
        <w:t>Résiliation</w:t>
      </w:r>
    </w:p>
    <w:p>
      <w:pPr>
        <w:spacing w:before="60" w:after="60" w:line="360" w:lineRule="auto"/>
        <w:jc w:val="both"/>
      </w:pPr>
      <w:r>
        <w:rPr>
          <w:rFonts w:ascii="Calibri" w:hAnsi="Calibri"/>
          <w:i w:val="0"/>
          <w:color w:val="2D2D2D"/>
          <w:sz w:val="21"/>
        </w:rPr>
        <w:t>Chaque partie peut résilier le contrat avec un préavis de 60 jours en cas de manquement grave non corrigé de l'autre partie dans un délai de 30 jours après mise en demeure. Les livrables réalisés restent la propriété de la DGT, les sommes correspondantes aux livrables acceptés restent dues.</w:t>
      </w:r>
    </w:p>
    <w:p>
      <w:r>
        <w:br w:type="page"/>
      </w:r>
    </w:p>
    <w:p>
      <w:pPr>
        <w:spacing w:before="0" w:after="120"/>
      </w:pPr>
      <w:r>
        <w:rPr>
          <w:rFonts w:ascii="Calibri" w:hAnsi="Calibri"/>
          <w:b/>
          <w:color w:val="00347C"/>
          <w:sz w:val="30"/>
        </w:rPr>
        <w:t>14.  ANNEXES TECHNIQUES</w:t>
      </w:r>
    </w:p>
    <w:p>
      <w:pPr>
        <w:pBdr>
          <w:bottom w:val="single" w:sz="6" w:space="1" w:color="00347C"/>
        </w:pBdr>
        <w:spacing w:before="20" w:after="40"/>
      </w:pPr>
    </w:p>
    <w:p>
      <w:pPr>
        <w:spacing w:before="200" w:after="80"/>
      </w:pPr>
      <w:r>
        <w:rPr>
          <w:rFonts w:ascii="Calibri" w:hAnsi="Calibri"/>
          <w:b/>
          <w:color w:val="0072C6"/>
          <w:sz w:val="24"/>
        </w:rPr>
        <w:t>Annexe A – Endpoints API principaux</w:t>
      </w:r>
    </w:p>
    <w:p>
      <w:pPr>
        <w:spacing w:before="60" w:after="60" w:line="360" w:lineRule="auto"/>
        <w:jc w:val="both"/>
      </w:pPr>
      <w:r>
        <w:rPr>
          <w:rFonts w:ascii="Calibri" w:hAnsi="Calibri"/>
          <w:i w:val="0"/>
          <w:color w:val="2D2D2D"/>
          <w:sz w:val="21"/>
        </w:rPr>
        <w:t>La plateforme expose une API RESTful documentée via Swagger/ReDoc accessible à /api/v1/docs/ (authentification requise). Les principaux groupes d'endpoints sont :</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0347C"/>
            <w:vAlign w:val="center"/>
          </w:tcPr>
          <w:p>
            <w:pPr>
              <w:spacing w:before="120" w:after="120"/>
              <w:jc w:val="center"/>
            </w:pPr>
            <w:r>
              <w:rPr>
                <w:rFonts w:ascii="Calibri" w:hAnsi="Calibri"/>
                <w:b/>
                <w:color w:val="FFFFFF"/>
                <w:sz w:val="20"/>
              </w:rPr>
              <w:t>Endpoint</w:t>
            </w:r>
          </w:p>
        </w:tc>
        <w:tc>
          <w:tcPr>
            <w:tcW w:type="dxa" w:w="4703"/>
            <w:shd w:val="clear" w:color="auto" w:fill="00347C"/>
            <w:vAlign w:val="center"/>
          </w:tcPr>
          <w:p>
            <w:pPr>
              <w:spacing w:before="120" w:after="120"/>
              <w:jc w:val="center"/>
            </w:pPr>
            <w:r>
              <w:rPr>
                <w:rFonts w:ascii="Calibri" w:hAnsi="Calibri"/>
                <w:b/>
                <w:color w:val="FFFFFF"/>
                <w:sz w:val="20"/>
              </w:rPr>
              <w:t>Fonctionnalités couvertes</w:t>
            </w:r>
          </w:p>
        </w:tc>
      </w:tr>
      <w:tr>
        <w:tc>
          <w:tcPr>
            <w:tcW w:type="dxa" w:w="4703"/>
            <w:shd w:val="clear" w:color="auto" w:fill="FFFFFF"/>
            <w:vAlign w:val="center"/>
          </w:tcPr>
          <w:p>
            <w:pPr>
              <w:spacing w:before="80" w:after="80"/>
              <w:jc w:val="left"/>
            </w:pPr>
            <w:r>
              <w:rPr>
                <w:rFonts w:ascii="Calibri" w:hAnsi="Calibri"/>
                <w:b/>
                <w:color w:val="009A44"/>
                <w:sz w:val="19"/>
              </w:rPr>
              <w:t>/api/v1/auth/</w:t>
            </w:r>
          </w:p>
        </w:tc>
        <w:tc>
          <w:tcPr>
            <w:tcW w:type="dxa" w:w="4703"/>
            <w:shd w:val="clear" w:color="auto" w:fill="FFFFFF"/>
            <w:vAlign w:val="center"/>
          </w:tcPr>
          <w:p>
            <w:pPr>
              <w:spacing w:before="80" w:after="80"/>
              <w:jc w:val="left"/>
            </w:pPr>
            <w:r>
              <w:rPr>
                <w:rFonts w:ascii="Calibri" w:hAnsi="Calibri"/>
                <w:b w:val="0"/>
                <w:color w:val="2D2D2D"/>
                <w:sz w:val="19"/>
              </w:rPr>
              <w:t>Authentification : login, refresh token, logout, 2FA setup</w:t>
            </w:r>
          </w:p>
        </w:tc>
      </w:tr>
      <w:tr>
        <w:tc>
          <w:tcPr>
            <w:tcW w:type="dxa" w:w="4703"/>
            <w:shd w:val="clear" w:color="auto" w:fill="F5F7FA"/>
            <w:vAlign w:val="center"/>
          </w:tcPr>
          <w:p>
            <w:pPr>
              <w:spacing w:before="80" w:after="80"/>
              <w:jc w:val="left"/>
            </w:pPr>
            <w:r>
              <w:rPr>
                <w:rFonts w:ascii="Calibri" w:hAnsi="Calibri"/>
                <w:b/>
                <w:color w:val="009A44"/>
                <w:sz w:val="19"/>
              </w:rPr>
              <w:t>/api/v1/users/</w:t>
            </w:r>
          </w:p>
        </w:tc>
        <w:tc>
          <w:tcPr>
            <w:tcW w:type="dxa" w:w="4703"/>
            <w:shd w:val="clear" w:color="auto" w:fill="F5F7FA"/>
            <w:vAlign w:val="center"/>
          </w:tcPr>
          <w:p>
            <w:pPr>
              <w:spacing w:before="80" w:after="80"/>
              <w:jc w:val="left"/>
            </w:pPr>
            <w:r>
              <w:rPr>
                <w:rFonts w:ascii="Calibri" w:hAnsi="Calibri"/>
                <w:b w:val="0"/>
                <w:color w:val="2D2D2D"/>
                <w:sz w:val="19"/>
              </w:rPr>
              <w:t>Gestion des utilisateurs, profils, rôles, permissions</w:t>
            </w:r>
          </w:p>
        </w:tc>
      </w:tr>
      <w:tr>
        <w:tc>
          <w:tcPr>
            <w:tcW w:type="dxa" w:w="4703"/>
            <w:shd w:val="clear" w:color="auto" w:fill="FFFFFF"/>
            <w:vAlign w:val="center"/>
          </w:tcPr>
          <w:p>
            <w:pPr>
              <w:spacing w:before="80" w:after="80"/>
              <w:jc w:val="left"/>
            </w:pPr>
            <w:r>
              <w:rPr>
                <w:rFonts w:ascii="Calibri" w:hAnsi="Calibri"/>
                <w:b/>
                <w:color w:val="009A44"/>
                <w:sz w:val="19"/>
              </w:rPr>
              <w:t>/api/v1/enterprises/</w:t>
            </w:r>
          </w:p>
        </w:tc>
        <w:tc>
          <w:tcPr>
            <w:tcW w:type="dxa" w:w="4703"/>
            <w:shd w:val="clear" w:color="auto" w:fill="FFFFFF"/>
            <w:vAlign w:val="center"/>
          </w:tcPr>
          <w:p>
            <w:pPr>
              <w:spacing w:before="80" w:after="80"/>
              <w:jc w:val="left"/>
            </w:pPr>
            <w:r>
              <w:rPr>
                <w:rFonts w:ascii="Calibri" w:hAnsi="Calibri"/>
                <w:b w:val="0"/>
                <w:color w:val="2D2D2D"/>
                <w:sz w:val="19"/>
              </w:rPr>
              <w:t>Registre des entreprises, score conformité, documents</w:t>
            </w:r>
          </w:p>
        </w:tc>
      </w:tr>
      <w:tr>
        <w:tc>
          <w:tcPr>
            <w:tcW w:type="dxa" w:w="4703"/>
            <w:shd w:val="clear" w:color="auto" w:fill="F5F7FA"/>
            <w:vAlign w:val="center"/>
          </w:tcPr>
          <w:p>
            <w:pPr>
              <w:spacing w:before="80" w:after="80"/>
              <w:jc w:val="left"/>
            </w:pPr>
            <w:r>
              <w:rPr>
                <w:rFonts w:ascii="Calibri" w:hAnsi="Calibri"/>
                <w:b/>
                <w:color w:val="009A44"/>
                <w:sz w:val="19"/>
              </w:rPr>
              <w:t>/api/v1/complaints/</w:t>
            </w:r>
          </w:p>
        </w:tc>
        <w:tc>
          <w:tcPr>
            <w:tcW w:type="dxa" w:w="4703"/>
            <w:shd w:val="clear" w:color="auto" w:fill="F5F7FA"/>
            <w:vAlign w:val="center"/>
          </w:tcPr>
          <w:p>
            <w:pPr>
              <w:spacing w:before="80" w:after="80"/>
              <w:jc w:val="left"/>
            </w:pPr>
            <w:r>
              <w:rPr>
                <w:rFonts w:ascii="Calibri" w:hAnsi="Calibri"/>
                <w:b w:val="0"/>
                <w:color w:val="2D2D2D"/>
                <w:sz w:val="19"/>
              </w:rPr>
              <w:t>Plaintes : CRUD, assignation, changement de statut, pièces jointes</w:t>
            </w:r>
          </w:p>
        </w:tc>
      </w:tr>
      <w:tr>
        <w:tc>
          <w:tcPr>
            <w:tcW w:type="dxa" w:w="4703"/>
            <w:shd w:val="clear" w:color="auto" w:fill="FFFFFF"/>
            <w:vAlign w:val="center"/>
          </w:tcPr>
          <w:p>
            <w:pPr>
              <w:spacing w:before="80" w:after="80"/>
              <w:jc w:val="left"/>
            </w:pPr>
            <w:r>
              <w:rPr>
                <w:rFonts w:ascii="Calibri" w:hAnsi="Calibri"/>
                <w:b/>
                <w:color w:val="009A44"/>
                <w:sz w:val="19"/>
              </w:rPr>
              <w:t>/api/v1/inspections/</w:t>
            </w:r>
          </w:p>
        </w:tc>
        <w:tc>
          <w:tcPr>
            <w:tcW w:type="dxa" w:w="4703"/>
            <w:shd w:val="clear" w:color="auto" w:fill="FFFFFF"/>
            <w:vAlign w:val="center"/>
          </w:tcPr>
          <w:p>
            <w:pPr>
              <w:spacing w:before="80" w:after="80"/>
              <w:jc w:val="left"/>
            </w:pPr>
            <w:r>
              <w:rPr>
                <w:rFonts w:ascii="Calibri" w:hAnsi="Calibri"/>
                <w:b w:val="0"/>
                <w:color w:val="2D2D2D"/>
                <w:sz w:val="19"/>
              </w:rPr>
              <w:t>Zones, missions, rapports d'inspection, PV</w:t>
            </w:r>
          </w:p>
        </w:tc>
      </w:tr>
      <w:tr>
        <w:tc>
          <w:tcPr>
            <w:tcW w:type="dxa" w:w="4703"/>
            <w:shd w:val="clear" w:color="auto" w:fill="F5F7FA"/>
            <w:vAlign w:val="center"/>
          </w:tcPr>
          <w:p>
            <w:pPr>
              <w:spacing w:before="80" w:after="80"/>
              <w:jc w:val="left"/>
            </w:pPr>
            <w:r>
              <w:rPr>
                <w:rFonts w:ascii="Calibri" w:hAnsi="Calibri"/>
                <w:b/>
                <w:color w:val="009A44"/>
                <w:sz w:val="19"/>
              </w:rPr>
              <w:t>/api/v1/mediations/</w:t>
            </w:r>
          </w:p>
        </w:tc>
        <w:tc>
          <w:tcPr>
            <w:tcW w:type="dxa" w:w="4703"/>
            <w:shd w:val="clear" w:color="auto" w:fill="F5F7FA"/>
            <w:vAlign w:val="center"/>
          </w:tcPr>
          <w:p>
            <w:pPr>
              <w:spacing w:before="80" w:after="80"/>
              <w:jc w:val="left"/>
            </w:pPr>
            <w:r>
              <w:rPr>
                <w:rFonts w:ascii="Calibri" w:hAnsi="Calibri"/>
                <w:b w:val="0"/>
                <w:color w:val="2D2D2D"/>
                <w:sz w:val="19"/>
              </w:rPr>
              <w:t>Séances de médiation, convocations, PV de conciliation</w:t>
            </w:r>
          </w:p>
        </w:tc>
      </w:tr>
      <w:tr>
        <w:tc>
          <w:tcPr>
            <w:tcW w:type="dxa" w:w="4703"/>
            <w:shd w:val="clear" w:color="auto" w:fill="FFFFFF"/>
            <w:vAlign w:val="center"/>
          </w:tcPr>
          <w:p>
            <w:pPr>
              <w:spacing w:before="80" w:after="80"/>
              <w:jc w:val="left"/>
            </w:pPr>
            <w:r>
              <w:rPr>
                <w:rFonts w:ascii="Calibri" w:hAnsi="Calibri"/>
                <w:b/>
                <w:color w:val="009A44"/>
                <w:sz w:val="19"/>
              </w:rPr>
              <w:t>/api/v1/judicial/</w:t>
            </w:r>
          </w:p>
        </w:tc>
        <w:tc>
          <w:tcPr>
            <w:tcW w:type="dxa" w:w="4703"/>
            <w:shd w:val="clear" w:color="auto" w:fill="FFFFFF"/>
            <w:vAlign w:val="center"/>
          </w:tcPr>
          <w:p>
            <w:pPr>
              <w:spacing w:before="80" w:after="80"/>
              <w:jc w:val="left"/>
            </w:pPr>
            <w:r>
              <w:rPr>
                <w:rFonts w:ascii="Calibri" w:hAnsi="Calibri"/>
                <w:b w:val="0"/>
                <w:color w:val="2D2D2D"/>
                <w:sz w:val="19"/>
              </w:rPr>
              <w:t>Procédures judiciaires, audiences, décisions</w:t>
            </w:r>
          </w:p>
        </w:tc>
      </w:tr>
      <w:tr>
        <w:tc>
          <w:tcPr>
            <w:tcW w:type="dxa" w:w="4703"/>
            <w:shd w:val="clear" w:color="auto" w:fill="F5F7FA"/>
            <w:vAlign w:val="center"/>
          </w:tcPr>
          <w:p>
            <w:pPr>
              <w:spacing w:before="80" w:after="80"/>
              <w:jc w:val="left"/>
            </w:pPr>
            <w:r>
              <w:rPr>
                <w:rFonts w:ascii="Calibri" w:hAnsi="Calibri"/>
                <w:b/>
                <w:color w:val="009A44"/>
                <w:sz w:val="19"/>
              </w:rPr>
              <w:t>/api/v1/domestic/</w:t>
            </w:r>
          </w:p>
        </w:tc>
        <w:tc>
          <w:tcPr>
            <w:tcW w:type="dxa" w:w="4703"/>
            <w:shd w:val="clear" w:color="auto" w:fill="F5F7FA"/>
            <w:vAlign w:val="center"/>
          </w:tcPr>
          <w:p>
            <w:pPr>
              <w:spacing w:before="80" w:after="80"/>
              <w:jc w:val="left"/>
            </w:pPr>
            <w:r>
              <w:rPr>
                <w:rFonts w:ascii="Calibri" w:hAnsi="Calibri"/>
                <w:b w:val="0"/>
                <w:color w:val="2D2D2D"/>
                <w:sz w:val="19"/>
              </w:rPr>
              <w:t>Travailleurs domestiques, contrats, certifications</w:t>
            </w:r>
          </w:p>
        </w:tc>
      </w:tr>
      <w:tr>
        <w:tc>
          <w:tcPr>
            <w:tcW w:type="dxa" w:w="4703"/>
            <w:shd w:val="clear" w:color="auto" w:fill="FFFFFF"/>
            <w:vAlign w:val="center"/>
          </w:tcPr>
          <w:p>
            <w:pPr>
              <w:spacing w:before="80" w:after="80"/>
              <w:jc w:val="left"/>
            </w:pPr>
            <w:r>
              <w:rPr>
                <w:rFonts w:ascii="Calibri" w:hAnsi="Calibri"/>
                <w:b/>
                <w:color w:val="009A44"/>
                <w:sz w:val="19"/>
              </w:rPr>
              <w:t>/api/v1/ai/</w:t>
            </w:r>
          </w:p>
        </w:tc>
        <w:tc>
          <w:tcPr>
            <w:tcW w:type="dxa" w:w="4703"/>
            <w:shd w:val="clear" w:color="auto" w:fill="FFFFFF"/>
            <w:vAlign w:val="center"/>
          </w:tcPr>
          <w:p>
            <w:pPr>
              <w:spacing w:before="80" w:after="80"/>
              <w:jc w:val="left"/>
            </w:pPr>
            <w:r>
              <w:rPr>
                <w:rFonts w:ascii="Calibri" w:hAnsi="Calibri"/>
                <w:b w:val="0"/>
                <w:color w:val="2D2D2D"/>
                <w:sz w:val="19"/>
              </w:rPr>
              <w:t>Chatbot juridique, analyse documentaire, transcription</w:t>
            </w:r>
          </w:p>
        </w:tc>
      </w:tr>
      <w:tr>
        <w:tc>
          <w:tcPr>
            <w:tcW w:type="dxa" w:w="4703"/>
            <w:shd w:val="clear" w:color="auto" w:fill="F5F7FA"/>
            <w:vAlign w:val="center"/>
          </w:tcPr>
          <w:p>
            <w:pPr>
              <w:spacing w:before="80" w:after="80"/>
              <w:jc w:val="left"/>
            </w:pPr>
            <w:r>
              <w:rPr>
                <w:rFonts w:ascii="Calibri" w:hAnsi="Calibri"/>
                <w:b/>
                <w:color w:val="009A44"/>
                <w:sz w:val="19"/>
              </w:rPr>
              <w:t>/api/v1/observatory/</w:t>
            </w:r>
          </w:p>
        </w:tc>
        <w:tc>
          <w:tcPr>
            <w:tcW w:type="dxa" w:w="4703"/>
            <w:shd w:val="clear" w:color="auto" w:fill="F5F7FA"/>
            <w:vAlign w:val="center"/>
          </w:tcPr>
          <w:p>
            <w:pPr>
              <w:spacing w:before="80" w:after="80"/>
              <w:jc w:val="left"/>
            </w:pPr>
            <w:r>
              <w:rPr>
                <w:rFonts w:ascii="Calibri" w:hAnsi="Calibri"/>
                <w:b w:val="0"/>
                <w:color w:val="2D2D2D"/>
                <w:sz w:val="19"/>
              </w:rPr>
              <w:t>Statistiques, rapports, indicateurs, exports</w:t>
            </w:r>
          </w:p>
        </w:tc>
      </w:tr>
      <w:tr>
        <w:tc>
          <w:tcPr>
            <w:tcW w:type="dxa" w:w="4703"/>
            <w:shd w:val="clear" w:color="auto" w:fill="FFFFFF"/>
            <w:vAlign w:val="center"/>
          </w:tcPr>
          <w:p>
            <w:pPr>
              <w:spacing w:before="80" w:after="80"/>
              <w:jc w:val="left"/>
            </w:pPr>
            <w:r>
              <w:rPr>
                <w:rFonts w:ascii="Calibri" w:hAnsi="Calibri"/>
                <w:b/>
                <w:color w:val="009A44"/>
                <w:sz w:val="19"/>
              </w:rPr>
              <w:t>/api/v1/bi/</w:t>
            </w:r>
          </w:p>
        </w:tc>
        <w:tc>
          <w:tcPr>
            <w:tcW w:type="dxa" w:w="4703"/>
            <w:shd w:val="clear" w:color="auto" w:fill="FFFFFF"/>
            <w:vAlign w:val="center"/>
          </w:tcPr>
          <w:p>
            <w:pPr>
              <w:spacing w:before="80" w:after="80"/>
              <w:jc w:val="left"/>
            </w:pPr>
            <w:r>
              <w:rPr>
                <w:rFonts w:ascii="Calibri" w:hAnsi="Calibri"/>
                <w:b w:val="0"/>
                <w:color w:val="2D2D2D"/>
                <w:sz w:val="19"/>
              </w:rPr>
              <w:t>Tableaux de bord, widgets, rapports personnalisés</w:t>
            </w:r>
          </w:p>
        </w:tc>
      </w:tr>
      <w:tr>
        <w:tc>
          <w:tcPr>
            <w:tcW w:type="dxa" w:w="4703"/>
            <w:shd w:val="clear" w:color="auto" w:fill="F5F7FA"/>
            <w:vAlign w:val="center"/>
          </w:tcPr>
          <w:p>
            <w:pPr>
              <w:spacing w:before="80" w:after="80"/>
              <w:jc w:val="left"/>
            </w:pPr>
            <w:r>
              <w:rPr>
                <w:rFonts w:ascii="Calibri" w:hAnsi="Calibri"/>
                <w:b/>
                <w:color w:val="009A44"/>
                <w:sz w:val="19"/>
              </w:rPr>
              <w:t>/api/v1/ged/</w:t>
            </w:r>
          </w:p>
        </w:tc>
        <w:tc>
          <w:tcPr>
            <w:tcW w:type="dxa" w:w="4703"/>
            <w:shd w:val="clear" w:color="auto" w:fill="F5F7FA"/>
            <w:vAlign w:val="center"/>
          </w:tcPr>
          <w:p>
            <w:pPr>
              <w:spacing w:before="80" w:after="80"/>
              <w:jc w:val="left"/>
            </w:pPr>
            <w:r>
              <w:rPr>
                <w:rFonts w:ascii="Calibri" w:hAnsi="Calibri"/>
                <w:b w:val="0"/>
                <w:color w:val="2D2D2D"/>
                <w:sz w:val="19"/>
              </w:rPr>
              <w:t>Documents, versionnage, audit trail GED</w:t>
            </w:r>
          </w:p>
        </w:tc>
      </w:tr>
      <w:tr>
        <w:tc>
          <w:tcPr>
            <w:tcW w:type="dxa" w:w="4703"/>
            <w:shd w:val="clear" w:color="auto" w:fill="FFFFFF"/>
            <w:vAlign w:val="center"/>
          </w:tcPr>
          <w:p>
            <w:pPr>
              <w:spacing w:before="80" w:after="80"/>
              <w:jc w:val="left"/>
            </w:pPr>
            <w:r>
              <w:rPr>
                <w:rFonts w:ascii="Calibri" w:hAnsi="Calibri"/>
                <w:b/>
                <w:color w:val="009A44"/>
                <w:sz w:val="19"/>
              </w:rPr>
              <w:t>/api/v1/notifications/</w:t>
            </w:r>
          </w:p>
        </w:tc>
        <w:tc>
          <w:tcPr>
            <w:tcW w:type="dxa" w:w="4703"/>
            <w:shd w:val="clear" w:color="auto" w:fill="FFFFFF"/>
            <w:vAlign w:val="center"/>
          </w:tcPr>
          <w:p>
            <w:pPr>
              <w:spacing w:before="80" w:after="80"/>
              <w:jc w:val="left"/>
            </w:pPr>
            <w:r>
              <w:rPr>
                <w:rFonts w:ascii="Calibri" w:hAnsi="Calibri"/>
                <w:b w:val="0"/>
                <w:color w:val="2D2D2D"/>
                <w:sz w:val="19"/>
              </w:rPr>
              <w:t>Préférences, historique des notifications</w:t>
            </w:r>
          </w:p>
        </w:tc>
      </w:tr>
      <w:tr>
        <w:tc>
          <w:tcPr>
            <w:tcW w:type="dxa" w:w="4703"/>
            <w:shd w:val="clear" w:color="auto" w:fill="F5F7FA"/>
            <w:vAlign w:val="center"/>
          </w:tcPr>
          <w:p>
            <w:pPr>
              <w:spacing w:before="80" w:after="80"/>
              <w:jc w:val="left"/>
            </w:pPr>
            <w:r>
              <w:rPr>
                <w:rFonts w:ascii="Calibri" w:hAnsi="Calibri"/>
                <w:b/>
                <w:color w:val="009A44"/>
                <w:sz w:val="19"/>
              </w:rPr>
              <w:t>/api/v1/administration/</w:t>
            </w:r>
          </w:p>
        </w:tc>
        <w:tc>
          <w:tcPr>
            <w:tcW w:type="dxa" w:w="4703"/>
            <w:shd w:val="clear" w:color="auto" w:fill="F5F7FA"/>
            <w:vAlign w:val="center"/>
          </w:tcPr>
          <w:p>
            <w:pPr>
              <w:spacing w:before="80" w:after="80"/>
              <w:jc w:val="left"/>
            </w:pPr>
            <w:r>
              <w:rPr>
                <w:rFonts w:ascii="Calibri" w:hAnsi="Calibri"/>
                <w:b w:val="0"/>
                <w:color w:val="2D2D2D"/>
                <w:sz w:val="19"/>
              </w:rPr>
              <w:t>Configuration système, audit log, paramètres</w:t>
            </w:r>
          </w:p>
        </w:tc>
      </w:tr>
      <w:tr>
        <w:tc>
          <w:tcPr>
            <w:tcW w:type="dxa" w:w="4703"/>
            <w:shd w:val="clear" w:color="auto" w:fill="FFFFFF"/>
            <w:vAlign w:val="center"/>
          </w:tcPr>
          <w:p>
            <w:pPr>
              <w:spacing w:before="80" w:after="80"/>
              <w:jc w:val="left"/>
            </w:pPr>
            <w:r>
              <w:rPr>
                <w:rFonts w:ascii="Calibri" w:hAnsi="Calibri"/>
                <w:b/>
                <w:color w:val="009A44"/>
                <w:sz w:val="19"/>
              </w:rPr>
              <w:t>/api/v1/landing/</w:t>
            </w:r>
          </w:p>
        </w:tc>
        <w:tc>
          <w:tcPr>
            <w:tcW w:type="dxa" w:w="4703"/>
            <w:shd w:val="clear" w:color="auto" w:fill="FFFFFF"/>
            <w:vAlign w:val="center"/>
          </w:tcPr>
          <w:p>
            <w:pPr>
              <w:spacing w:before="80" w:after="80"/>
              <w:jc w:val="left"/>
            </w:pPr>
            <w:r>
              <w:rPr>
                <w:rFonts w:ascii="Calibri" w:hAnsi="Calibri"/>
                <w:b w:val="0"/>
                <w:color w:val="2D2D2D"/>
                <w:sz w:val="19"/>
              </w:rPr>
              <w:t>Articles, FAQ, annuaires des directions</w:t>
            </w:r>
          </w:p>
        </w:tc>
      </w:tr>
    </w:tbl>
    <w:p>
      <w:pPr>
        <w:spacing w:before="200" w:after="80"/>
      </w:pPr>
      <w:r>
        <w:rPr>
          <w:rFonts w:ascii="Calibri" w:hAnsi="Calibri"/>
          <w:b/>
          <w:color w:val="0072C6"/>
          <w:sz w:val="24"/>
        </w:rPr>
        <w:t>Annexe B – Schéma d'intégration avec les systèmes existants</w:t>
      </w:r>
    </w:p>
    <w:p>
      <w:pPr>
        <w:spacing w:before="60" w:after="60" w:line="360" w:lineRule="auto"/>
        <w:jc w:val="both"/>
      </w:pPr>
      <w:r>
        <w:rPr>
          <w:rFonts w:ascii="Calibri" w:hAnsi="Calibri"/>
          <w:i w:val="0"/>
          <w:color w:val="2D2D2D"/>
          <w:sz w:val="21"/>
        </w:rPr>
        <w:t>La plateforme prévoit les intégrations suivantes avec les systèmes tiers ivoiriens :</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0347C"/>
            <w:vAlign w:val="center"/>
          </w:tcPr>
          <w:p>
            <w:pPr>
              <w:spacing w:before="120" w:after="120"/>
              <w:jc w:val="center"/>
            </w:pPr>
            <w:r>
              <w:rPr>
                <w:rFonts w:ascii="Calibri" w:hAnsi="Calibri"/>
                <w:b/>
                <w:color w:val="FFFFFF"/>
                <w:sz w:val="20"/>
              </w:rPr>
              <w:t>Système tiers</w:t>
            </w:r>
          </w:p>
        </w:tc>
        <w:tc>
          <w:tcPr>
            <w:tcW w:type="dxa" w:w="4703"/>
            <w:shd w:val="clear" w:color="auto" w:fill="00347C"/>
            <w:vAlign w:val="center"/>
          </w:tcPr>
          <w:p>
            <w:pPr>
              <w:spacing w:before="120" w:after="120"/>
              <w:jc w:val="center"/>
            </w:pPr>
            <w:r>
              <w:rPr>
                <w:rFonts w:ascii="Calibri" w:hAnsi="Calibri"/>
                <w:b/>
                <w:color w:val="FFFFFF"/>
                <w:sz w:val="20"/>
              </w:rPr>
              <w:t>Nature de l'intégration</w:t>
            </w:r>
          </w:p>
        </w:tc>
      </w:tr>
      <w:tr>
        <w:tc>
          <w:tcPr>
            <w:tcW w:type="dxa" w:w="4703"/>
            <w:shd w:val="clear" w:color="auto" w:fill="FFFFFF"/>
            <w:vAlign w:val="center"/>
          </w:tcPr>
          <w:p>
            <w:pPr>
              <w:spacing w:before="80" w:after="80"/>
              <w:jc w:val="left"/>
            </w:pPr>
            <w:r>
              <w:rPr>
                <w:rFonts w:ascii="Calibri" w:hAnsi="Calibri"/>
                <w:b/>
                <w:color w:val="00347C"/>
                <w:sz w:val="19"/>
              </w:rPr>
              <w:t>CNPS (Caisse Nationale de Prévoyance Sociale)</w:t>
            </w:r>
          </w:p>
        </w:tc>
        <w:tc>
          <w:tcPr>
            <w:tcW w:type="dxa" w:w="4703"/>
            <w:shd w:val="clear" w:color="auto" w:fill="FFFFFF"/>
            <w:vAlign w:val="center"/>
          </w:tcPr>
          <w:p>
            <w:pPr>
              <w:spacing w:before="80" w:after="80"/>
              <w:jc w:val="left"/>
            </w:pPr>
            <w:r>
              <w:rPr>
                <w:rFonts w:ascii="Calibri" w:hAnsi="Calibri"/>
                <w:b w:val="0"/>
                <w:color w:val="2D2D2D"/>
                <w:sz w:val="19"/>
              </w:rPr>
              <w:t>Vérification en temps réel de l'immatriculation et de la situation cotisante d'une entreprise lors du dépôt d'une plainte.</w:t>
            </w:r>
          </w:p>
        </w:tc>
      </w:tr>
      <w:tr>
        <w:tc>
          <w:tcPr>
            <w:tcW w:type="dxa" w:w="4703"/>
            <w:shd w:val="clear" w:color="auto" w:fill="F5F7FA"/>
            <w:vAlign w:val="center"/>
          </w:tcPr>
          <w:p>
            <w:pPr>
              <w:spacing w:before="80" w:after="80"/>
              <w:jc w:val="left"/>
            </w:pPr>
            <w:r>
              <w:rPr>
                <w:rFonts w:ascii="Calibri" w:hAnsi="Calibri"/>
                <w:b/>
                <w:color w:val="00347C"/>
                <w:sz w:val="19"/>
              </w:rPr>
              <w:t>DGI / e-impôts</w:t>
            </w:r>
          </w:p>
        </w:tc>
        <w:tc>
          <w:tcPr>
            <w:tcW w:type="dxa" w:w="4703"/>
            <w:shd w:val="clear" w:color="auto" w:fill="F5F7FA"/>
            <w:vAlign w:val="center"/>
          </w:tcPr>
          <w:p>
            <w:pPr>
              <w:spacing w:before="80" w:after="80"/>
              <w:jc w:val="left"/>
            </w:pPr>
            <w:r>
              <w:rPr>
                <w:rFonts w:ascii="Calibri" w:hAnsi="Calibri"/>
                <w:b w:val="0"/>
                <w:color w:val="2D2D2D"/>
                <w:sz w:val="19"/>
              </w:rPr>
              <w:t>Validation du NIF des entreprises enregistrées dans la plateforme.</w:t>
            </w:r>
          </w:p>
        </w:tc>
      </w:tr>
      <w:tr>
        <w:tc>
          <w:tcPr>
            <w:tcW w:type="dxa" w:w="4703"/>
            <w:shd w:val="clear" w:color="auto" w:fill="FFFFFF"/>
            <w:vAlign w:val="center"/>
          </w:tcPr>
          <w:p>
            <w:pPr>
              <w:spacing w:before="80" w:after="80"/>
              <w:jc w:val="left"/>
            </w:pPr>
            <w:r>
              <w:rPr>
                <w:rFonts w:ascii="Calibri" w:hAnsi="Calibri"/>
                <w:b/>
                <w:color w:val="00347C"/>
                <w:sz w:val="19"/>
              </w:rPr>
              <w:t>RCCM (Registre du Commerce)</w:t>
            </w:r>
          </w:p>
        </w:tc>
        <w:tc>
          <w:tcPr>
            <w:tcW w:type="dxa" w:w="4703"/>
            <w:shd w:val="clear" w:color="auto" w:fill="FFFFFF"/>
            <w:vAlign w:val="center"/>
          </w:tcPr>
          <w:p>
            <w:pPr>
              <w:spacing w:before="80" w:after="80"/>
              <w:jc w:val="left"/>
            </w:pPr>
            <w:r>
              <w:rPr>
                <w:rFonts w:ascii="Calibri" w:hAnsi="Calibri"/>
                <w:b w:val="0"/>
                <w:color w:val="2D2D2D"/>
                <w:sz w:val="19"/>
              </w:rPr>
              <w:t>Vérification et enrichissement des données des entreprises depuis le Greffe du Tribunal de Commerce.</w:t>
            </w:r>
          </w:p>
        </w:tc>
      </w:tr>
      <w:tr>
        <w:tc>
          <w:tcPr>
            <w:tcW w:type="dxa" w:w="4703"/>
            <w:shd w:val="clear" w:color="auto" w:fill="F5F7FA"/>
            <w:vAlign w:val="center"/>
          </w:tcPr>
          <w:p>
            <w:pPr>
              <w:spacing w:before="80" w:after="80"/>
              <w:jc w:val="left"/>
            </w:pPr>
            <w:r>
              <w:rPr>
                <w:rFonts w:ascii="Calibri" w:hAnsi="Calibri"/>
                <w:b/>
                <w:color w:val="00347C"/>
                <w:sz w:val="19"/>
              </w:rPr>
              <w:t>e-services.ci</w:t>
            </w:r>
          </w:p>
        </w:tc>
        <w:tc>
          <w:tcPr>
            <w:tcW w:type="dxa" w:w="4703"/>
            <w:shd w:val="clear" w:color="auto" w:fill="F5F7FA"/>
            <w:vAlign w:val="center"/>
          </w:tcPr>
          <w:p>
            <w:pPr>
              <w:spacing w:before="80" w:after="80"/>
              <w:jc w:val="left"/>
            </w:pPr>
            <w:r>
              <w:rPr>
                <w:rFonts w:ascii="Calibri" w:hAnsi="Calibri"/>
                <w:b w:val="0"/>
                <w:color w:val="2D2D2D"/>
                <w:sz w:val="19"/>
              </w:rPr>
              <w:t>Portail unique des services publics ivoiriens — interconnexion pour la connexion citoyenne (SSO).</w:t>
            </w:r>
          </w:p>
        </w:tc>
      </w:tr>
      <w:tr>
        <w:tc>
          <w:tcPr>
            <w:tcW w:type="dxa" w:w="4703"/>
            <w:shd w:val="clear" w:color="auto" w:fill="FFFFFF"/>
            <w:vAlign w:val="center"/>
          </w:tcPr>
          <w:p>
            <w:pPr>
              <w:spacing w:before="80" w:after="80"/>
              <w:jc w:val="left"/>
            </w:pPr>
            <w:r>
              <w:rPr>
                <w:rFonts w:ascii="Calibri" w:hAnsi="Calibri"/>
                <w:b/>
                <w:color w:val="00347C"/>
                <w:sz w:val="19"/>
              </w:rPr>
              <w:t>Orange CI / MTN CI / Moov Africa</w:t>
            </w:r>
          </w:p>
        </w:tc>
        <w:tc>
          <w:tcPr>
            <w:tcW w:type="dxa" w:w="4703"/>
            <w:shd w:val="clear" w:color="auto" w:fill="FFFFFF"/>
            <w:vAlign w:val="center"/>
          </w:tcPr>
          <w:p>
            <w:pPr>
              <w:spacing w:before="80" w:after="80"/>
              <w:jc w:val="left"/>
            </w:pPr>
            <w:r>
              <w:rPr>
                <w:rFonts w:ascii="Calibri" w:hAnsi="Calibri"/>
                <w:b w:val="0"/>
                <w:color w:val="2D2D2D"/>
                <w:sz w:val="19"/>
              </w:rPr>
              <w:t>Gateway SMS pour l'envoi de notifications et d'OTP aux utilisateurs mobiles.</w:t>
            </w:r>
          </w:p>
        </w:tc>
      </w:tr>
      <w:tr>
        <w:tc>
          <w:tcPr>
            <w:tcW w:type="dxa" w:w="4703"/>
            <w:shd w:val="clear" w:color="auto" w:fill="F5F7FA"/>
            <w:vAlign w:val="center"/>
          </w:tcPr>
          <w:p>
            <w:pPr>
              <w:spacing w:before="80" w:after="80"/>
              <w:jc w:val="left"/>
            </w:pPr>
            <w:r>
              <w:rPr>
                <w:rFonts w:ascii="Calibri" w:hAnsi="Calibri"/>
                <w:b/>
                <w:color w:val="00347C"/>
                <w:sz w:val="19"/>
              </w:rPr>
              <w:t>CinetPay / Bizao</w:t>
            </w:r>
          </w:p>
        </w:tc>
        <w:tc>
          <w:tcPr>
            <w:tcW w:type="dxa" w:w="4703"/>
            <w:shd w:val="clear" w:color="auto" w:fill="F5F7FA"/>
            <w:vAlign w:val="center"/>
          </w:tcPr>
          <w:p>
            <w:pPr>
              <w:spacing w:before="80" w:after="80"/>
              <w:jc w:val="left"/>
            </w:pPr>
            <w:r>
              <w:rPr>
                <w:rFonts w:ascii="Calibri" w:hAnsi="Calibri"/>
                <w:b w:val="0"/>
                <w:color w:val="2D2D2D"/>
                <w:sz w:val="19"/>
              </w:rPr>
              <w:t>Paiement en ligne des frais de dépôt de dossier (si applicable dans une phase ultérieure).</w:t>
            </w:r>
          </w:p>
        </w:tc>
      </w:tr>
    </w:tbl>
    <w:p>
      <w:pPr>
        <w:spacing w:before="200" w:after="80"/>
      </w:pPr>
      <w:r>
        <w:rPr>
          <w:rFonts w:ascii="Calibri" w:hAnsi="Calibri"/>
          <w:b/>
          <w:color w:val="0072C6"/>
          <w:sz w:val="24"/>
        </w:rPr>
        <w:t>Annexe C – Glossaire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0347C"/>
            <w:vAlign w:val="center"/>
          </w:tcPr>
          <w:p>
            <w:pPr>
              <w:spacing w:before="120" w:after="120"/>
              <w:jc w:val="center"/>
            </w:pPr>
            <w:r>
              <w:rPr>
                <w:rFonts w:ascii="Calibri" w:hAnsi="Calibri"/>
                <w:b/>
                <w:color w:val="FFFFFF"/>
                <w:sz w:val="20"/>
              </w:rPr>
              <w:t>Sigle / Terme</w:t>
            </w:r>
          </w:p>
        </w:tc>
        <w:tc>
          <w:tcPr>
            <w:tcW w:type="dxa" w:w="4703"/>
            <w:shd w:val="clear" w:color="auto" w:fill="00347C"/>
            <w:vAlign w:val="center"/>
          </w:tcPr>
          <w:p>
            <w:pPr>
              <w:spacing w:before="120" w:after="120"/>
              <w:jc w:val="center"/>
            </w:pPr>
            <w:r>
              <w:rPr>
                <w:rFonts w:ascii="Calibri" w:hAnsi="Calibri"/>
                <w:b/>
                <w:color w:val="FFFFFF"/>
                <w:sz w:val="20"/>
              </w:rPr>
              <w:t>Définition</w:t>
            </w:r>
          </w:p>
        </w:tc>
      </w:tr>
      <w:tr>
        <w:tc>
          <w:tcPr>
            <w:tcW w:type="dxa" w:w="4703"/>
            <w:shd w:val="clear" w:color="auto" w:fill="FFFFFF"/>
            <w:vAlign w:val="center"/>
          </w:tcPr>
          <w:p>
            <w:pPr>
              <w:spacing w:before="80" w:after="80"/>
              <w:jc w:val="left"/>
            </w:pPr>
            <w:r>
              <w:rPr>
                <w:rFonts w:ascii="Calibri" w:hAnsi="Calibri"/>
                <w:b/>
                <w:color w:val="00347C"/>
                <w:sz w:val="19"/>
              </w:rPr>
              <w:t>DGT</w:t>
            </w:r>
          </w:p>
        </w:tc>
        <w:tc>
          <w:tcPr>
            <w:tcW w:type="dxa" w:w="4703"/>
            <w:shd w:val="clear" w:color="auto" w:fill="FFFFFF"/>
            <w:vAlign w:val="center"/>
          </w:tcPr>
          <w:p>
            <w:pPr>
              <w:spacing w:before="80" w:after="80"/>
              <w:jc w:val="left"/>
            </w:pPr>
            <w:r>
              <w:rPr>
                <w:rFonts w:ascii="Calibri" w:hAnsi="Calibri"/>
                <w:b w:val="0"/>
                <w:color w:val="2D2D2D"/>
                <w:sz w:val="19"/>
              </w:rPr>
              <w:t>Direction Générale du Travail</w:t>
            </w:r>
          </w:p>
        </w:tc>
      </w:tr>
      <w:tr>
        <w:tc>
          <w:tcPr>
            <w:tcW w:type="dxa" w:w="4703"/>
            <w:shd w:val="clear" w:color="auto" w:fill="F5F7FA"/>
            <w:vAlign w:val="center"/>
          </w:tcPr>
          <w:p>
            <w:pPr>
              <w:spacing w:before="80" w:after="80"/>
              <w:jc w:val="left"/>
            </w:pPr>
            <w:r>
              <w:rPr>
                <w:rFonts w:ascii="Calibri" w:hAnsi="Calibri"/>
                <w:b/>
                <w:color w:val="00347C"/>
                <w:sz w:val="19"/>
              </w:rPr>
              <w:t>CNPS</w:t>
            </w:r>
          </w:p>
        </w:tc>
        <w:tc>
          <w:tcPr>
            <w:tcW w:type="dxa" w:w="4703"/>
            <w:shd w:val="clear" w:color="auto" w:fill="F5F7FA"/>
            <w:vAlign w:val="center"/>
          </w:tcPr>
          <w:p>
            <w:pPr>
              <w:spacing w:before="80" w:after="80"/>
              <w:jc w:val="left"/>
            </w:pPr>
            <w:r>
              <w:rPr>
                <w:rFonts w:ascii="Calibri" w:hAnsi="Calibri"/>
                <w:b w:val="0"/>
                <w:color w:val="2D2D2D"/>
                <w:sz w:val="19"/>
              </w:rPr>
              <w:t>Caisse Nationale de Prévoyance Sociale – Côte d'Ivoire</w:t>
            </w:r>
          </w:p>
        </w:tc>
      </w:tr>
      <w:tr>
        <w:tc>
          <w:tcPr>
            <w:tcW w:type="dxa" w:w="4703"/>
            <w:shd w:val="clear" w:color="auto" w:fill="FFFFFF"/>
            <w:vAlign w:val="center"/>
          </w:tcPr>
          <w:p>
            <w:pPr>
              <w:spacing w:before="80" w:after="80"/>
              <w:jc w:val="left"/>
            </w:pPr>
            <w:r>
              <w:rPr>
                <w:rFonts w:ascii="Calibri" w:hAnsi="Calibri"/>
                <w:b/>
                <w:color w:val="00347C"/>
                <w:sz w:val="19"/>
              </w:rPr>
              <w:t>RCCM</w:t>
            </w:r>
          </w:p>
        </w:tc>
        <w:tc>
          <w:tcPr>
            <w:tcW w:type="dxa" w:w="4703"/>
            <w:shd w:val="clear" w:color="auto" w:fill="FFFFFF"/>
            <w:vAlign w:val="center"/>
          </w:tcPr>
          <w:p>
            <w:pPr>
              <w:spacing w:before="80" w:after="80"/>
              <w:jc w:val="left"/>
            </w:pPr>
            <w:r>
              <w:rPr>
                <w:rFonts w:ascii="Calibri" w:hAnsi="Calibri"/>
                <w:b w:val="0"/>
                <w:color w:val="2D2D2D"/>
                <w:sz w:val="19"/>
              </w:rPr>
              <w:t>Registre du Commerce et du Crédit Mobilier</w:t>
            </w:r>
          </w:p>
        </w:tc>
      </w:tr>
      <w:tr>
        <w:tc>
          <w:tcPr>
            <w:tcW w:type="dxa" w:w="4703"/>
            <w:shd w:val="clear" w:color="auto" w:fill="F5F7FA"/>
            <w:vAlign w:val="center"/>
          </w:tcPr>
          <w:p>
            <w:pPr>
              <w:spacing w:before="80" w:after="80"/>
              <w:jc w:val="left"/>
            </w:pPr>
            <w:r>
              <w:rPr>
                <w:rFonts w:ascii="Calibri" w:hAnsi="Calibri"/>
                <w:b/>
                <w:color w:val="00347C"/>
                <w:sz w:val="19"/>
              </w:rPr>
              <w:t>JWT</w:t>
            </w:r>
          </w:p>
        </w:tc>
        <w:tc>
          <w:tcPr>
            <w:tcW w:type="dxa" w:w="4703"/>
            <w:shd w:val="clear" w:color="auto" w:fill="F5F7FA"/>
            <w:vAlign w:val="center"/>
          </w:tcPr>
          <w:p>
            <w:pPr>
              <w:spacing w:before="80" w:after="80"/>
              <w:jc w:val="left"/>
            </w:pPr>
            <w:r>
              <w:rPr>
                <w:rFonts w:ascii="Calibri" w:hAnsi="Calibri"/>
                <w:b w:val="0"/>
                <w:color w:val="2D2D2D"/>
                <w:sz w:val="19"/>
              </w:rPr>
              <w:t>JSON Web Token – mécanisme d'authentification sécurisé</w:t>
            </w:r>
          </w:p>
        </w:tc>
      </w:tr>
      <w:tr>
        <w:tc>
          <w:tcPr>
            <w:tcW w:type="dxa" w:w="4703"/>
            <w:shd w:val="clear" w:color="auto" w:fill="FFFFFF"/>
            <w:vAlign w:val="center"/>
          </w:tcPr>
          <w:p>
            <w:pPr>
              <w:spacing w:before="80" w:after="80"/>
              <w:jc w:val="left"/>
            </w:pPr>
            <w:r>
              <w:rPr>
                <w:rFonts w:ascii="Calibri" w:hAnsi="Calibri"/>
                <w:b/>
                <w:color w:val="00347C"/>
                <w:sz w:val="19"/>
              </w:rPr>
              <w:t>OTP</w:t>
            </w:r>
          </w:p>
        </w:tc>
        <w:tc>
          <w:tcPr>
            <w:tcW w:type="dxa" w:w="4703"/>
            <w:shd w:val="clear" w:color="auto" w:fill="FFFFFF"/>
            <w:vAlign w:val="center"/>
          </w:tcPr>
          <w:p>
            <w:pPr>
              <w:spacing w:before="80" w:after="80"/>
              <w:jc w:val="left"/>
            </w:pPr>
            <w:r>
              <w:rPr>
                <w:rFonts w:ascii="Calibri" w:hAnsi="Calibri"/>
                <w:b w:val="0"/>
                <w:color w:val="2D2D2D"/>
                <w:sz w:val="19"/>
              </w:rPr>
              <w:t>One-Time Password – code à usage unique pour l'authentification 2FA</w:t>
            </w:r>
          </w:p>
        </w:tc>
      </w:tr>
      <w:tr>
        <w:tc>
          <w:tcPr>
            <w:tcW w:type="dxa" w:w="4703"/>
            <w:shd w:val="clear" w:color="auto" w:fill="F5F7FA"/>
            <w:vAlign w:val="center"/>
          </w:tcPr>
          <w:p>
            <w:pPr>
              <w:spacing w:before="80" w:after="80"/>
              <w:jc w:val="left"/>
            </w:pPr>
            <w:r>
              <w:rPr>
                <w:rFonts w:ascii="Calibri" w:hAnsi="Calibri"/>
                <w:b/>
                <w:color w:val="00347C"/>
                <w:sz w:val="19"/>
              </w:rPr>
              <w:t>GED</w:t>
            </w:r>
          </w:p>
        </w:tc>
        <w:tc>
          <w:tcPr>
            <w:tcW w:type="dxa" w:w="4703"/>
            <w:shd w:val="clear" w:color="auto" w:fill="F5F7FA"/>
            <w:vAlign w:val="center"/>
          </w:tcPr>
          <w:p>
            <w:pPr>
              <w:spacing w:before="80" w:after="80"/>
              <w:jc w:val="left"/>
            </w:pPr>
            <w:r>
              <w:rPr>
                <w:rFonts w:ascii="Calibri" w:hAnsi="Calibri"/>
                <w:b w:val="0"/>
                <w:color w:val="2D2D2D"/>
                <w:sz w:val="19"/>
              </w:rPr>
              <w:t>Gestion Électronique des Documents</w:t>
            </w:r>
          </w:p>
        </w:tc>
      </w:tr>
      <w:tr>
        <w:tc>
          <w:tcPr>
            <w:tcW w:type="dxa" w:w="4703"/>
            <w:shd w:val="clear" w:color="auto" w:fill="FFFFFF"/>
            <w:vAlign w:val="center"/>
          </w:tcPr>
          <w:p>
            <w:pPr>
              <w:spacing w:before="80" w:after="80"/>
              <w:jc w:val="left"/>
            </w:pPr>
            <w:r>
              <w:rPr>
                <w:rFonts w:ascii="Calibri" w:hAnsi="Calibri"/>
                <w:b/>
                <w:color w:val="00347C"/>
                <w:sz w:val="19"/>
              </w:rPr>
              <w:t>SLA</w:t>
            </w:r>
          </w:p>
        </w:tc>
        <w:tc>
          <w:tcPr>
            <w:tcW w:type="dxa" w:w="4703"/>
            <w:shd w:val="clear" w:color="auto" w:fill="FFFFFF"/>
            <w:vAlign w:val="center"/>
          </w:tcPr>
          <w:p>
            <w:pPr>
              <w:spacing w:before="80" w:after="80"/>
              <w:jc w:val="left"/>
            </w:pPr>
            <w:r>
              <w:rPr>
                <w:rFonts w:ascii="Calibri" w:hAnsi="Calibri"/>
                <w:b w:val="0"/>
                <w:color w:val="2D2D2D"/>
                <w:sz w:val="19"/>
              </w:rPr>
              <w:t>Service Level Agreement – accord sur les niveaux de service</w:t>
            </w:r>
          </w:p>
        </w:tc>
      </w:tr>
      <w:tr>
        <w:tc>
          <w:tcPr>
            <w:tcW w:type="dxa" w:w="4703"/>
            <w:shd w:val="clear" w:color="auto" w:fill="F5F7FA"/>
            <w:vAlign w:val="center"/>
          </w:tcPr>
          <w:p>
            <w:pPr>
              <w:spacing w:before="80" w:after="80"/>
              <w:jc w:val="left"/>
            </w:pPr>
            <w:r>
              <w:rPr>
                <w:rFonts w:ascii="Calibri" w:hAnsi="Calibri"/>
                <w:b/>
                <w:color w:val="00347C"/>
                <w:sz w:val="19"/>
              </w:rPr>
              <w:t>RBAC</w:t>
            </w:r>
          </w:p>
        </w:tc>
        <w:tc>
          <w:tcPr>
            <w:tcW w:type="dxa" w:w="4703"/>
            <w:shd w:val="clear" w:color="auto" w:fill="F5F7FA"/>
            <w:vAlign w:val="center"/>
          </w:tcPr>
          <w:p>
            <w:pPr>
              <w:spacing w:before="80" w:after="80"/>
              <w:jc w:val="left"/>
            </w:pPr>
            <w:r>
              <w:rPr>
                <w:rFonts w:ascii="Calibri" w:hAnsi="Calibri"/>
                <w:b w:val="0"/>
                <w:color w:val="2D2D2D"/>
                <w:sz w:val="19"/>
              </w:rPr>
              <w:t>Role-Based Access Control – contrôle d'accès basé sur les rôles</w:t>
            </w:r>
          </w:p>
        </w:tc>
      </w:tr>
      <w:tr>
        <w:tc>
          <w:tcPr>
            <w:tcW w:type="dxa" w:w="4703"/>
            <w:shd w:val="clear" w:color="auto" w:fill="FFFFFF"/>
            <w:vAlign w:val="center"/>
          </w:tcPr>
          <w:p>
            <w:pPr>
              <w:spacing w:before="80" w:after="80"/>
              <w:jc w:val="left"/>
            </w:pPr>
            <w:r>
              <w:rPr>
                <w:rFonts w:ascii="Calibri" w:hAnsi="Calibri"/>
                <w:b/>
                <w:color w:val="00347C"/>
                <w:sz w:val="19"/>
              </w:rPr>
              <w:t>PV</w:t>
            </w:r>
          </w:p>
        </w:tc>
        <w:tc>
          <w:tcPr>
            <w:tcW w:type="dxa" w:w="4703"/>
            <w:shd w:val="clear" w:color="auto" w:fill="FFFFFF"/>
            <w:vAlign w:val="center"/>
          </w:tcPr>
          <w:p>
            <w:pPr>
              <w:spacing w:before="80" w:after="80"/>
              <w:jc w:val="left"/>
            </w:pPr>
            <w:r>
              <w:rPr>
                <w:rFonts w:ascii="Calibri" w:hAnsi="Calibri"/>
                <w:b w:val="0"/>
                <w:color w:val="2D2D2D"/>
                <w:sz w:val="19"/>
              </w:rPr>
              <w:t>Procès-Verbal (d'infraction, de conciliation, de réception)</w:t>
            </w:r>
          </w:p>
        </w:tc>
      </w:tr>
      <w:tr>
        <w:tc>
          <w:tcPr>
            <w:tcW w:type="dxa" w:w="4703"/>
            <w:shd w:val="clear" w:color="auto" w:fill="F5F7FA"/>
            <w:vAlign w:val="center"/>
          </w:tcPr>
          <w:p>
            <w:pPr>
              <w:spacing w:before="80" w:after="80"/>
              <w:jc w:val="left"/>
            </w:pPr>
            <w:r>
              <w:rPr>
                <w:rFonts w:ascii="Calibri" w:hAnsi="Calibri"/>
                <w:b/>
                <w:color w:val="00347C"/>
                <w:sz w:val="19"/>
              </w:rPr>
              <w:t>OIT</w:t>
            </w:r>
          </w:p>
        </w:tc>
        <w:tc>
          <w:tcPr>
            <w:tcW w:type="dxa" w:w="4703"/>
            <w:shd w:val="clear" w:color="auto" w:fill="F5F7FA"/>
            <w:vAlign w:val="center"/>
          </w:tcPr>
          <w:p>
            <w:pPr>
              <w:spacing w:before="80" w:after="80"/>
              <w:jc w:val="left"/>
            </w:pPr>
            <w:r>
              <w:rPr>
                <w:rFonts w:ascii="Calibri" w:hAnsi="Calibri"/>
                <w:b w:val="0"/>
                <w:color w:val="2D2D2D"/>
                <w:sz w:val="19"/>
              </w:rPr>
              <w:t>Organisation Internationale du Travail (BIT en Français – Bureau International du Travail)</w:t>
            </w:r>
          </w:p>
        </w:tc>
      </w:tr>
      <w:tr>
        <w:tc>
          <w:tcPr>
            <w:tcW w:type="dxa" w:w="4703"/>
            <w:shd w:val="clear" w:color="auto" w:fill="FFFFFF"/>
            <w:vAlign w:val="center"/>
          </w:tcPr>
          <w:p>
            <w:pPr>
              <w:spacing w:before="80" w:after="80"/>
              <w:jc w:val="left"/>
            </w:pPr>
            <w:r>
              <w:rPr>
                <w:rFonts w:ascii="Calibri" w:hAnsi="Calibri"/>
                <w:b/>
                <w:color w:val="00347C"/>
                <w:sz w:val="19"/>
              </w:rPr>
              <w:t>OCR</w:t>
            </w:r>
          </w:p>
        </w:tc>
        <w:tc>
          <w:tcPr>
            <w:tcW w:type="dxa" w:w="4703"/>
            <w:shd w:val="clear" w:color="auto" w:fill="FFFFFF"/>
            <w:vAlign w:val="center"/>
          </w:tcPr>
          <w:p>
            <w:pPr>
              <w:spacing w:before="80" w:after="80"/>
              <w:jc w:val="left"/>
            </w:pPr>
            <w:r>
              <w:rPr>
                <w:rFonts w:ascii="Calibri" w:hAnsi="Calibri"/>
                <w:b w:val="0"/>
                <w:color w:val="2D2D2D"/>
                <w:sz w:val="19"/>
              </w:rPr>
              <w:t>Optical Character Recognition – reconnaissance optique de caractères</w:t>
            </w:r>
          </w:p>
        </w:tc>
      </w:tr>
      <w:tr>
        <w:tc>
          <w:tcPr>
            <w:tcW w:type="dxa" w:w="4703"/>
            <w:shd w:val="clear" w:color="auto" w:fill="F5F7FA"/>
            <w:vAlign w:val="center"/>
          </w:tcPr>
          <w:p>
            <w:pPr>
              <w:spacing w:before="80" w:after="80"/>
              <w:jc w:val="left"/>
            </w:pPr>
            <w:r>
              <w:rPr>
                <w:rFonts w:ascii="Calibri" w:hAnsi="Calibri"/>
                <w:b/>
                <w:color w:val="00347C"/>
                <w:sz w:val="19"/>
              </w:rPr>
              <w:t>CI/CD</w:t>
            </w:r>
          </w:p>
        </w:tc>
        <w:tc>
          <w:tcPr>
            <w:tcW w:type="dxa" w:w="4703"/>
            <w:shd w:val="clear" w:color="auto" w:fill="F5F7FA"/>
            <w:vAlign w:val="center"/>
          </w:tcPr>
          <w:p>
            <w:pPr>
              <w:spacing w:before="80" w:after="80"/>
              <w:jc w:val="left"/>
            </w:pPr>
            <w:r>
              <w:rPr>
                <w:rFonts w:ascii="Calibri" w:hAnsi="Calibri"/>
                <w:b w:val="0"/>
                <w:color w:val="2D2D2D"/>
                <w:sz w:val="19"/>
              </w:rPr>
              <w:t>Continuous Integration / Continuous Deployment – pratique DevOps de déploiement automatisé</w:t>
            </w:r>
          </w:p>
        </w:tc>
      </w:tr>
      <w:tr>
        <w:tc>
          <w:tcPr>
            <w:tcW w:type="dxa" w:w="4703"/>
            <w:shd w:val="clear" w:color="auto" w:fill="FFFFFF"/>
            <w:vAlign w:val="center"/>
          </w:tcPr>
          <w:p>
            <w:pPr>
              <w:spacing w:before="80" w:after="80"/>
              <w:jc w:val="left"/>
            </w:pPr>
            <w:r>
              <w:rPr>
                <w:rFonts w:ascii="Calibri" w:hAnsi="Calibri"/>
                <w:b/>
                <w:color w:val="00347C"/>
                <w:sz w:val="19"/>
              </w:rPr>
              <w:t>RTO</w:t>
            </w:r>
          </w:p>
        </w:tc>
        <w:tc>
          <w:tcPr>
            <w:tcW w:type="dxa" w:w="4703"/>
            <w:shd w:val="clear" w:color="auto" w:fill="FFFFFF"/>
            <w:vAlign w:val="center"/>
          </w:tcPr>
          <w:p>
            <w:pPr>
              <w:spacing w:before="80" w:after="80"/>
              <w:jc w:val="left"/>
            </w:pPr>
            <w:r>
              <w:rPr>
                <w:rFonts w:ascii="Calibri" w:hAnsi="Calibri"/>
                <w:b w:val="0"/>
                <w:color w:val="2D2D2D"/>
                <w:sz w:val="19"/>
              </w:rPr>
              <w:t>Recovery Time Objective – délai de reprise après incident</w:t>
            </w:r>
          </w:p>
        </w:tc>
      </w:tr>
      <w:tr>
        <w:tc>
          <w:tcPr>
            <w:tcW w:type="dxa" w:w="4703"/>
            <w:shd w:val="clear" w:color="auto" w:fill="F5F7FA"/>
            <w:vAlign w:val="center"/>
          </w:tcPr>
          <w:p>
            <w:pPr>
              <w:spacing w:before="80" w:after="80"/>
              <w:jc w:val="left"/>
            </w:pPr>
            <w:r>
              <w:rPr>
                <w:rFonts w:ascii="Calibri" w:hAnsi="Calibri"/>
                <w:b/>
                <w:color w:val="00347C"/>
                <w:sz w:val="19"/>
              </w:rPr>
              <w:t>RPO</w:t>
            </w:r>
          </w:p>
        </w:tc>
        <w:tc>
          <w:tcPr>
            <w:tcW w:type="dxa" w:w="4703"/>
            <w:shd w:val="clear" w:color="auto" w:fill="F5F7FA"/>
            <w:vAlign w:val="center"/>
          </w:tcPr>
          <w:p>
            <w:pPr>
              <w:spacing w:before="80" w:after="80"/>
              <w:jc w:val="left"/>
            </w:pPr>
            <w:r>
              <w:rPr>
                <w:rFonts w:ascii="Calibri" w:hAnsi="Calibri"/>
                <w:b w:val="0"/>
                <w:color w:val="2D2D2D"/>
                <w:sz w:val="19"/>
              </w:rPr>
              <w:t>Recovery Point Objective – perte de données maximale tolérée</w:t>
            </w:r>
          </w:p>
        </w:tc>
      </w:tr>
      <w:tr>
        <w:tc>
          <w:tcPr>
            <w:tcW w:type="dxa" w:w="4703"/>
            <w:shd w:val="clear" w:color="auto" w:fill="FFFFFF"/>
            <w:vAlign w:val="center"/>
          </w:tcPr>
          <w:p>
            <w:pPr>
              <w:spacing w:before="80" w:after="80"/>
              <w:jc w:val="left"/>
            </w:pPr>
            <w:r>
              <w:rPr>
                <w:rFonts w:ascii="Calibri" w:hAnsi="Calibri"/>
                <w:b/>
                <w:color w:val="00347C"/>
                <w:sz w:val="19"/>
              </w:rPr>
              <w:t>ARTCI</w:t>
            </w:r>
          </w:p>
        </w:tc>
        <w:tc>
          <w:tcPr>
            <w:tcW w:type="dxa" w:w="4703"/>
            <w:shd w:val="clear" w:color="auto" w:fill="FFFFFF"/>
            <w:vAlign w:val="center"/>
          </w:tcPr>
          <w:p>
            <w:pPr>
              <w:spacing w:before="80" w:after="80"/>
              <w:jc w:val="left"/>
            </w:pPr>
            <w:r>
              <w:rPr>
                <w:rFonts w:ascii="Calibri" w:hAnsi="Calibri"/>
                <w:b w:val="0"/>
                <w:color w:val="2D2D2D"/>
                <w:sz w:val="19"/>
              </w:rPr>
              <w:t>Autorité de Régulation des Télécommunications/TIC de Côte d'Ivoire</w:t>
            </w:r>
          </w:p>
        </w:tc>
      </w:tr>
    </w:tbl>
    <w:p/>
    <w:p>
      <w:pPr>
        <w:pBdr>
          <w:bottom w:val="single" w:sz="8" w:space="1" w:color="F47E1C"/>
        </w:pBdr>
        <w:spacing w:before="20" w:after="40"/>
      </w:pPr>
    </w:p>
    <w:p>
      <w:pPr>
        <w:spacing w:before="400" w:after="120"/>
      </w:pPr>
      <w:r>
        <w:rPr>
          <w:rFonts w:ascii="Calibri" w:hAnsi="Calibri"/>
          <w:b/>
          <w:color w:val="00347C"/>
          <w:sz w:val="28"/>
        </w:rPr>
        <w:t>ACCEPTATION DE L'OFFRE</w:t>
      </w:r>
    </w:p>
    <w:p>
      <w:pPr>
        <w:spacing w:before="60" w:after="60" w:line="360" w:lineRule="auto"/>
        <w:jc w:val="both"/>
      </w:pPr>
      <w:r>
        <w:rPr>
          <w:rFonts w:ascii="Calibri" w:hAnsi="Calibri"/>
          <w:i w:val="0"/>
          <w:color w:val="2D2D2D"/>
          <w:sz w:val="21"/>
        </w:rPr>
        <w:t>Pour accepter la présente offre commerciale, veuillez retourner ce document signé, daté et revêtu du cachet officiel de la Direction Générale du Travail à l'adresse : franckalain.ai@gmail.com — avec pour objet : « Acceptation Offre OC-DGT-CI-2026-001 ».</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0347C"/>
          </w:tcPr>
          <w:p>
            <w:pPr>
              <w:spacing w:before="160" w:after="160"/>
              <w:jc w:val="center"/>
            </w:pPr>
            <w:r>
              <w:rPr>
                <w:rFonts w:ascii="Calibri" w:hAnsi="Calibri"/>
                <w:b/>
                <w:color w:val="FFFFFF"/>
                <w:sz w:val="20"/>
              </w:rPr>
              <w:t>Pour Numerix Digital</w:t>
            </w:r>
          </w:p>
        </w:tc>
        <w:tc>
          <w:tcPr>
            <w:tcW w:type="dxa" w:w="4703"/>
            <w:shd w:val="clear" w:color="auto" w:fill="F47E1C"/>
          </w:tcPr>
          <w:p>
            <w:pPr>
              <w:spacing w:before="160" w:after="160"/>
              <w:jc w:val="center"/>
            </w:pPr>
            <w:r>
              <w:rPr>
                <w:rFonts w:ascii="Calibri" w:hAnsi="Calibri"/>
                <w:b/>
                <w:color w:val="FFFFFF"/>
                <w:sz w:val="20"/>
              </w:rPr>
              <w:t>Pour la Direction Générale du Travail – CI</w:t>
            </w:r>
          </w:p>
        </w:tc>
      </w:tr>
      <w:tr>
        <w:tc>
          <w:tcPr>
            <w:tcW w:type="dxa" w:w="4703"/>
          </w:tcPr>
          <w:p>
            <w:pPr>
              <w:spacing w:before="100" w:after="100"/>
            </w:pPr>
            <w:r>
              <w:rPr>
                <w:rFonts w:ascii="Calibri" w:hAnsi="Calibri"/>
                <w:color w:val="2D2D2D"/>
                <w:sz w:val="20"/>
              </w:rPr>
              <w:t>Nom et titre :</w:t>
            </w:r>
          </w:p>
        </w:tc>
        <w:tc>
          <w:tcPr>
            <w:tcW w:type="dxa" w:w="4703"/>
          </w:tcPr>
          <w:p>
            <w:pPr>
              <w:spacing w:before="100" w:after="100"/>
            </w:pPr>
            <w:r>
              <w:rPr>
                <w:rFonts w:ascii="Calibri" w:hAnsi="Calibri"/>
                <w:color w:val="2D2D2D"/>
                <w:sz w:val="20"/>
              </w:rPr>
              <w:t>Nom et titre :</w:t>
            </w:r>
          </w:p>
        </w:tc>
      </w:tr>
      <w:tr>
        <w:tc>
          <w:tcPr>
            <w:tcW w:type="dxa" w:w="4703"/>
          </w:tcPr>
          <w:p>
            <w:pPr>
              <w:spacing w:before="100" w:after="100"/>
            </w:pPr>
            <w:r>
              <w:rPr>
                <w:rFonts w:ascii="Calibri" w:hAnsi="Calibri"/>
                <w:color w:val="2D2D2D"/>
                <w:sz w:val="20"/>
              </w:rPr>
              <w:t>Date :</w:t>
            </w:r>
          </w:p>
        </w:tc>
        <w:tc>
          <w:tcPr>
            <w:tcW w:type="dxa" w:w="4703"/>
          </w:tcPr>
          <w:p>
            <w:pPr>
              <w:spacing w:before="100" w:after="100"/>
            </w:pPr>
            <w:r>
              <w:rPr>
                <w:rFonts w:ascii="Calibri" w:hAnsi="Calibri"/>
                <w:color w:val="2D2D2D"/>
                <w:sz w:val="20"/>
              </w:rPr>
              <w:t>Date :</w:t>
            </w:r>
          </w:p>
        </w:tc>
      </w:tr>
      <w:tr>
        <w:tc>
          <w:tcPr>
            <w:tcW w:type="dxa" w:w="4703"/>
          </w:tcPr>
          <w:p>
            <w:pPr>
              <w:spacing w:before="100" w:after="360"/>
            </w:pPr>
            <w:r>
              <w:rPr>
                <w:rFonts w:ascii="Calibri" w:hAnsi="Calibri"/>
                <w:color w:val="2D2D2D"/>
                <w:sz w:val="20"/>
              </w:rPr>
              <w:t>Signature :</w:t>
            </w:r>
          </w:p>
        </w:tc>
        <w:tc>
          <w:tcPr>
            <w:tcW w:type="dxa" w:w="4703"/>
          </w:tcPr>
          <w:p>
            <w:pPr>
              <w:spacing w:before="100" w:after="360"/>
            </w:pPr>
            <w:r>
              <w:rPr>
                <w:rFonts w:ascii="Calibri" w:hAnsi="Calibri"/>
                <w:color w:val="2D2D2D"/>
                <w:sz w:val="20"/>
              </w:rPr>
              <w:t>Signature :</w:t>
            </w:r>
          </w:p>
        </w:tc>
      </w:tr>
      <w:tr>
        <w:tc>
          <w:tcPr>
            <w:tcW w:type="dxa" w:w="4703"/>
          </w:tcPr>
          <w:p>
            <w:pPr>
              <w:spacing w:before="100" w:after="360"/>
            </w:pPr>
            <w:r>
              <w:rPr>
                <w:rFonts w:ascii="Calibri" w:hAnsi="Calibri"/>
                <w:color w:val="2D2D2D"/>
                <w:sz w:val="20"/>
              </w:rPr>
              <w:t>Cachet officiel :</w:t>
            </w:r>
          </w:p>
        </w:tc>
        <w:tc>
          <w:tcPr>
            <w:tcW w:type="dxa" w:w="4703"/>
          </w:tcPr>
          <w:p>
            <w:pPr>
              <w:spacing w:before="100" w:after="360"/>
            </w:pPr>
            <w:r>
              <w:rPr>
                <w:rFonts w:ascii="Calibri" w:hAnsi="Calibri"/>
                <w:color w:val="2D2D2D"/>
                <w:sz w:val="20"/>
              </w:rPr>
              <w:t>Cachet officiel :</w:t>
            </w:r>
          </w:p>
        </w:tc>
      </w:tr>
    </w:tbl>
    <w:p/>
    <w:p>
      <w:pPr>
        <w:pBdr>
          <w:bottom w:val="single" w:sz="4" w:space="1" w:color="F47E1C"/>
        </w:pBdr>
        <w:spacing w:before="20" w:after="40"/>
      </w:pPr>
    </w:p>
    <w:p>
      <w:pPr>
        <w:spacing w:before="160"/>
        <w:jc w:val="center"/>
      </w:pPr>
      <w:r>
        <w:rPr>
          <w:rFonts w:ascii="Calibri" w:hAnsi="Calibri"/>
          <w:i/>
          <w:color w:val="0072C6"/>
          <w:sz w:val="17"/>
        </w:rPr>
        <w:t>Numerix Digital  •  franckalain.ai@gmail.com  •  numerix.digital@gmail.com</w:t>
        <w:br/>
        <w:t>Plateforme : api-e-inspection.numerix.digital  •  Réf. OC-DGT-CI-2026-001  •  13 June 2026</w:t>
        <w:br/>
        <w:t>Document confidentiel – Usage exclusif de la Direction Générale du Travail de Côte d'Ivoire</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