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47E1C"/>
          <w:sz w:val="56"/>
        </w:rPr>
        <w:t>DOCUMENTATION DES WORKFLOWS</w:t>
      </w:r>
    </w:p>
    <w:p>
      <w:pPr>
        <w:jc w:val="center"/>
      </w:pPr>
      <w:r>
        <w:rPr>
          <w:b/>
          <w:color w:val="009A44"/>
          <w:sz w:val="36"/>
        </w:rPr>
        <w:t>Plateforme Nationale e-Inspection du Travail</w:t>
      </w:r>
    </w:p>
    <w:p/>
    <w:p>
      <w:pPr>
        <w:jc w:val="center"/>
      </w:pPr>
      <w:r>
        <w:rPr>
          <w:color w:val="6B7280"/>
          <w:sz w:val="26"/>
        </w:rPr>
        <w:t>Ministère de l'Emploi et de la Protection Sociale</w:t>
      </w:r>
    </w:p>
    <w:p>
      <w:pPr>
        <w:jc w:val="center"/>
      </w:pPr>
      <w:r>
        <w:rPr>
          <w:i/>
          <w:color w:val="6B7280"/>
          <w:sz w:val="24"/>
        </w:rPr>
        <w:t>République de Côte d'Ivoire</w:t>
      </w:r>
    </w:p>
    <w:p/>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F47E1C"/>
          </w:tcPr>
          <w:p>
            <w:r>
              <w:rPr>
                <w:b/>
                <w:color w:val="FFFFFF"/>
                <w:sz w:val="20"/>
              </w:rPr>
              <w:t>Référence</w:t>
            </w:r>
          </w:p>
        </w:tc>
        <w:tc>
          <w:tcPr>
            <w:tcW w:type="dxa" w:w="4844"/>
            <w:shd w:val="clear" w:color="auto" w:fill="FFF7ED"/>
          </w:tcPr>
          <w:p>
            <w:r>
              <w:rPr>
                <w:sz w:val="20"/>
              </w:rPr>
              <w:t>DOC-WF-EINSP-CI-2026-001</w:t>
            </w:r>
          </w:p>
        </w:tc>
      </w:tr>
      <w:tr>
        <w:tc>
          <w:tcPr>
            <w:tcW w:type="dxa" w:w="4844"/>
            <w:shd w:val="clear" w:color="auto" w:fill="FFFFFF"/>
          </w:tcPr>
          <w:p>
            <w:r>
              <w:rPr>
                <w:b/>
                <w:color w:val="111827"/>
                <w:sz w:val="20"/>
              </w:rPr>
              <w:t>Version</w:t>
            </w:r>
          </w:p>
        </w:tc>
        <w:tc>
          <w:tcPr>
            <w:tcW w:type="dxa" w:w="4844"/>
            <w:shd w:val="clear" w:color="auto" w:fill="FFFFFF"/>
          </w:tcPr>
          <w:p>
            <w:r>
              <w:rPr>
                <w:sz w:val="20"/>
              </w:rPr>
              <w:t>1.0</w:t>
            </w:r>
          </w:p>
        </w:tc>
      </w:tr>
      <w:tr>
        <w:tc>
          <w:tcPr>
            <w:tcW w:type="dxa" w:w="4844"/>
            <w:shd w:val="clear" w:color="auto" w:fill="F9FAFB"/>
          </w:tcPr>
          <w:p>
            <w:r>
              <w:rPr>
                <w:b/>
                <w:color w:val="111827"/>
                <w:sz w:val="20"/>
              </w:rPr>
              <w:t>Date</w:t>
            </w:r>
          </w:p>
        </w:tc>
        <w:tc>
          <w:tcPr>
            <w:tcW w:type="dxa" w:w="4844"/>
            <w:shd w:val="clear" w:color="auto" w:fill="FFFFFF"/>
          </w:tcPr>
          <w:p>
            <w:r>
              <w:rPr>
                <w:sz w:val="20"/>
              </w:rPr>
              <w:t>15 June 2026</w:t>
            </w:r>
          </w:p>
        </w:tc>
      </w:tr>
      <w:tr>
        <w:tc>
          <w:tcPr>
            <w:tcW w:type="dxa" w:w="4844"/>
            <w:shd w:val="clear" w:color="auto" w:fill="FFFFFF"/>
          </w:tcPr>
          <w:p>
            <w:r>
              <w:rPr>
                <w:b/>
                <w:color w:val="111827"/>
                <w:sz w:val="20"/>
              </w:rPr>
              <w:t>Statut</w:t>
            </w:r>
          </w:p>
        </w:tc>
        <w:tc>
          <w:tcPr>
            <w:tcW w:type="dxa" w:w="4844"/>
            <w:shd w:val="clear" w:color="auto" w:fill="FFFFFF"/>
          </w:tcPr>
          <w:p>
            <w:r>
              <w:rPr>
                <w:sz w:val="20"/>
              </w:rPr>
              <w:t>Validé</w:t>
            </w:r>
          </w:p>
        </w:tc>
      </w:tr>
      <w:tr>
        <w:tc>
          <w:tcPr>
            <w:tcW w:type="dxa" w:w="4844"/>
            <w:shd w:val="clear" w:color="auto" w:fill="F9FAFB"/>
          </w:tcPr>
          <w:p>
            <w:r>
              <w:rPr>
                <w:b/>
                <w:color w:val="111827"/>
                <w:sz w:val="20"/>
              </w:rPr>
              <w:t>Auteur</w:t>
            </w:r>
          </w:p>
        </w:tc>
        <w:tc>
          <w:tcPr>
            <w:tcW w:type="dxa" w:w="4844"/>
            <w:shd w:val="clear" w:color="auto" w:fill="FFFFFF"/>
          </w:tcPr>
          <w:p>
            <w:r>
              <w:rPr>
                <w:sz w:val="20"/>
              </w:rPr>
              <w:t>Direction Générale du Travail</w:t>
            </w:r>
          </w:p>
        </w:tc>
      </w:tr>
      <w:tr>
        <w:tc>
          <w:tcPr>
            <w:tcW w:type="dxa" w:w="4844"/>
            <w:shd w:val="clear" w:color="auto" w:fill="FFFFFF"/>
          </w:tcPr>
          <w:p>
            <w:r>
              <w:rPr>
                <w:b/>
                <w:color w:val="111827"/>
                <w:sz w:val="20"/>
              </w:rPr>
              <w:t>Diffusion</w:t>
            </w:r>
          </w:p>
        </w:tc>
        <w:tc>
          <w:tcPr>
            <w:tcW w:type="dxa" w:w="4844"/>
            <w:shd w:val="clear" w:color="auto" w:fill="FFFFFF"/>
          </w:tcPr>
          <w:p>
            <w:r>
              <w:rPr>
                <w:sz w:val="20"/>
              </w:rPr>
              <w:t>Confidentiel — Usage interne</w:t>
            </w:r>
          </w:p>
        </w:tc>
      </w:tr>
    </w:tbl>
    <w:p>
      <w:r>
        <w:br w:type="page"/>
      </w:r>
    </w:p>
    <w:p>
      <w:pPr>
        <w:spacing w:before="360" w:after="120"/>
        <w:pBdr>
          <w:bottom w:val="single" w:sz="8" w:space="2" w:color="F47E1C"/>
        </w:pBdr>
      </w:pPr>
      <w:r>
        <w:rPr>
          <w:b/>
          <w:color w:val="F47E1C"/>
          <w:sz w:val="32"/>
        </w:rPr>
        <w:t>SOMMAIRE</w:t>
      </w:r>
    </w:p>
    <w:p>
      <w:pPr>
        <w:spacing w:after="60"/>
        <w:ind w:left="283"/>
      </w:pPr>
      <w:r>
        <w:rPr>
          <w:sz w:val="22"/>
        </w:rPr>
        <w:t>1.   Contexte et périmètre</w:t>
      </w:r>
    </w:p>
    <w:p>
      <w:pPr>
        <w:spacing w:after="60"/>
        <w:ind w:left="283"/>
      </w:pPr>
      <w:r>
        <w:rPr>
          <w:sz w:val="22"/>
        </w:rPr>
        <w:t>2.   Architecture technique</w:t>
      </w:r>
    </w:p>
    <w:p>
      <w:pPr>
        <w:spacing w:after="60"/>
        <w:ind w:left="283"/>
      </w:pPr>
      <w:r>
        <w:rPr>
          <w:sz w:val="22"/>
        </w:rPr>
        <w:t>3.   Rôles et permissions (RBAC)</w:t>
      </w:r>
    </w:p>
    <w:p>
      <w:pPr>
        <w:spacing w:after="60"/>
        <w:ind w:left="283"/>
      </w:pPr>
      <w:r>
        <w:rPr>
          <w:sz w:val="22"/>
        </w:rPr>
        <w:t>4.   Workflow des Plaintes</w:t>
      </w:r>
    </w:p>
    <w:p>
      <w:pPr>
        <w:spacing w:after="60"/>
        <w:ind w:left="283"/>
      </w:pPr>
      <w:r>
        <w:rPr>
          <w:sz w:val="22"/>
        </w:rPr>
        <w:t>5.   Workflow de Médiation / Conciliation</w:t>
      </w:r>
    </w:p>
    <w:p>
      <w:pPr>
        <w:spacing w:after="60"/>
        <w:ind w:left="283"/>
      </w:pPr>
      <w:r>
        <w:rPr>
          <w:sz w:val="22"/>
        </w:rPr>
        <w:t>6.   Workflow de Convocation — Accusé de réception</w:t>
      </w:r>
    </w:p>
    <w:p>
      <w:pPr>
        <w:spacing w:after="60"/>
        <w:ind w:left="283"/>
      </w:pPr>
      <w:r>
        <w:rPr>
          <w:sz w:val="22"/>
        </w:rPr>
        <w:t>7.   Gestion des Non-Comparutions (Employeur absent)</w:t>
      </w:r>
    </w:p>
    <w:p>
      <w:pPr>
        <w:spacing w:after="60"/>
        <w:ind w:left="283"/>
      </w:pPr>
      <w:r>
        <w:rPr>
          <w:sz w:val="22"/>
        </w:rPr>
        <w:t>8.   Workflow des Accords</w:t>
      </w:r>
    </w:p>
    <w:p>
      <w:pPr>
        <w:spacing w:after="60"/>
        <w:ind w:left="283"/>
      </w:pPr>
      <w:r>
        <w:rPr>
          <w:sz w:val="22"/>
        </w:rPr>
        <w:t>9.   Procédures Judiciaires et Escalade</w:t>
      </w:r>
    </w:p>
    <w:p>
      <w:pPr>
        <w:spacing w:after="60"/>
        <w:ind w:left="283"/>
      </w:pPr>
      <w:r>
        <w:rPr>
          <w:sz w:val="22"/>
        </w:rPr>
        <w:t>10.  Tâches Celery automatiques</w:t>
      </w:r>
    </w:p>
    <w:p>
      <w:pPr>
        <w:spacing w:after="60"/>
        <w:ind w:left="283"/>
      </w:pPr>
      <w:r>
        <w:rPr>
          <w:sz w:val="22"/>
        </w:rPr>
        <w:t>11.  Référentiel des endpoints API</w:t>
      </w:r>
    </w:p>
    <w:p>
      <w:pPr>
        <w:spacing w:after="60"/>
        <w:ind w:left="283"/>
      </w:pPr>
      <w:r>
        <w:rPr>
          <w:sz w:val="22"/>
        </w:rPr>
        <w:t>12.  Notifications multi-canal</w:t>
      </w:r>
    </w:p>
    <w:p>
      <w:pPr>
        <w:spacing w:after="60"/>
        <w:ind w:left="283"/>
      </w:pPr>
      <w:r>
        <w:rPr>
          <w:sz w:val="22"/>
        </w:rPr>
        <w:t>13.  Sécurité et conformité</w:t>
      </w:r>
    </w:p>
    <w:p>
      <w:r>
        <w:br w:type="page"/>
      </w:r>
    </w:p>
    <w:p>
      <w:pPr>
        <w:spacing w:before="360" w:after="120"/>
        <w:pBdr>
          <w:bottom w:val="single" w:sz="8" w:space="2" w:color="F47E1C"/>
        </w:pBdr>
      </w:pPr>
      <w:r>
        <w:rPr>
          <w:b/>
          <w:color w:val="F47E1C"/>
          <w:sz w:val="32"/>
        </w:rPr>
        <w:t>1. CONTEXTE ET PÉRIMÈTRE</w:t>
      </w:r>
    </w:p>
    <w:p>
      <w:pPr>
        <w:spacing w:after="80" w:before="0"/>
      </w:pPr>
      <w:r>
        <w:rPr>
          <w:i w:val="0"/>
          <w:sz w:val="21"/>
        </w:rPr>
        <w:t>La Plateforme Nationale e-Inspection du Travail est un système d'information déployé par la Direction Générale du Travail (DGT) du Ministère de l'Emploi et de la Protection Sociale de Côte d'Ivoire. Elle couvre l'ensemble du cycle de vie du traitement des plaintes de travailleurs, de la médiation à la résolution judiciaire, en conformité avec le Code du Travail ivoirien (Loi n° 2015-532 du 20 juillet 2015).</w:t>
      </w:r>
    </w:p>
    <w:p>
      <w:pPr>
        <w:spacing w:before="240" w:after="80"/>
      </w:pPr>
      <w:r>
        <w:rPr>
          <w:b/>
          <w:color w:val="1D4ED8"/>
          <w:sz w:val="26"/>
        </w:rPr>
        <w:t>Périmètre fonctionnel</w:t>
      </w:r>
    </w:p>
    <w:p>
      <w:pPr>
        <w:pStyle w:val="ListBullet"/>
        <w:spacing w:after="40" w:before="0"/>
      </w:pPr>
      <w:r>
        <w:rPr>
          <w:sz w:val="21"/>
        </w:rPr>
        <w:t>• Dépôt et traitement des plaintes de travailleurs</w:t>
      </w:r>
    </w:p>
    <w:p>
      <w:pPr>
        <w:pStyle w:val="ListBullet"/>
        <w:spacing w:after="40" w:before="0"/>
      </w:pPr>
      <w:r>
        <w:rPr>
          <w:sz w:val="21"/>
        </w:rPr>
        <w:t>• Planification et conduite des séances de médiation/conciliation</w:t>
      </w:r>
    </w:p>
    <w:p>
      <w:pPr>
        <w:pStyle w:val="ListBullet"/>
        <w:spacing w:after="40" w:before="0"/>
      </w:pPr>
      <w:r>
        <w:rPr>
          <w:sz w:val="21"/>
        </w:rPr>
        <w:t>• Convocation multi-canal des parties (email, SMS, notification mobile)</w:t>
      </w:r>
    </w:p>
    <w:p>
      <w:pPr>
        <w:pStyle w:val="ListBullet"/>
        <w:spacing w:after="40" w:before="0"/>
      </w:pPr>
      <w:r>
        <w:rPr>
          <w:sz w:val="21"/>
        </w:rPr>
        <w:t>• Accusé de réception traçable avec jeton UUID</w:t>
      </w:r>
    </w:p>
    <w:p>
      <w:pPr>
        <w:pStyle w:val="ListBullet"/>
        <w:spacing w:after="40" w:before="0"/>
      </w:pPr>
      <w:r>
        <w:rPr>
          <w:sz w:val="21"/>
        </w:rPr>
        <w:t>• Gestion des non-comparutions avec génération de PV de carence</w:t>
      </w:r>
    </w:p>
    <w:p>
      <w:pPr>
        <w:pStyle w:val="ListBullet"/>
        <w:spacing w:after="40" w:before="0"/>
      </w:pPr>
      <w:r>
        <w:rPr>
          <w:sz w:val="21"/>
        </w:rPr>
        <w:t>• Rédaction et signature électronique des accords</w:t>
      </w:r>
    </w:p>
    <w:p>
      <w:pPr>
        <w:pStyle w:val="ListBullet"/>
        <w:spacing w:after="40" w:before="0"/>
      </w:pPr>
      <w:r>
        <w:rPr>
          <w:sz w:val="21"/>
        </w:rPr>
        <w:t>• Escalade hiérarchique et procédures judiciaires</w:t>
      </w:r>
    </w:p>
    <w:p>
      <w:pPr>
        <w:pStyle w:val="ListBullet"/>
        <w:spacing w:after="40" w:before="0"/>
      </w:pPr>
      <w:r>
        <w:rPr>
          <w:sz w:val="21"/>
        </w:rPr>
        <w:t>• Tableau de bord et indicateurs de performance</w:t>
      </w:r>
    </w:p>
    <w:p>
      <w:pPr>
        <w:spacing w:before="240" w:after="80"/>
      </w:pPr>
      <w:r>
        <w:rPr>
          <w:b/>
          <w:color w:val="1D4ED8"/>
          <w:sz w:val="26"/>
        </w:rPr>
        <w:t>Cadre légal</w:t>
      </w:r>
    </w:p>
    <w:p>
      <w:pPr>
        <w:spacing w:after="80" w:before="0"/>
      </w:pPr>
      <w:r>
        <w:rPr>
          <w:i w:val="0"/>
          <w:sz w:val="21"/>
        </w:rPr>
        <w:t>Code du Travail — Loi n° 2015-532 du 20 juillet 2015 (JOCI n° 32 du 09/08/2016)</w:t>
      </w:r>
    </w:p>
    <w:p>
      <w:pPr>
        <w:spacing w:after="80" w:before="0"/>
      </w:pPr>
      <w:r>
        <w:rPr>
          <w:i w:val="0"/>
          <w:sz w:val="21"/>
        </w:rPr>
        <w:t>Règlement n° 05/2002/CM/UEMOA sur la libre circulation des travailleurs</w:t>
      </w:r>
    </w:p>
    <w:p>
      <w:pPr>
        <w:spacing w:after="80" w:before="0"/>
      </w:pPr>
      <w:r>
        <w:rPr>
          <w:i w:val="0"/>
          <w:sz w:val="21"/>
        </w:rPr>
        <w:t>Loi n° 2013-450 du 19 juin 2013 relative à la protection des données à caractère personnel</w:t>
      </w:r>
    </w:p>
    <w:p>
      <w:r>
        <w:br w:type="page"/>
      </w:r>
    </w:p>
    <w:p>
      <w:pPr>
        <w:spacing w:before="360" w:after="120"/>
        <w:pBdr>
          <w:bottom w:val="single" w:sz="8" w:space="2" w:color="F47E1C"/>
        </w:pBdr>
      </w:pPr>
      <w:r>
        <w:rPr>
          <w:b/>
          <w:color w:val="F47E1C"/>
          <w:sz w:val="32"/>
        </w:rPr>
        <w:t>2. ARCHITECTURE TECHNIQUE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F47E1C"/>
          </w:tcPr>
          <w:p>
            <w:pPr>
              <w:jc w:val="center"/>
            </w:pPr>
            <w:r>
              <w:rPr>
                <w:b/>
                <w:color w:val="FFFFFF"/>
                <w:sz w:val="19"/>
              </w:rPr>
              <w:t>Couche</w:t>
            </w:r>
          </w:p>
        </w:tc>
        <w:tc>
          <w:tcPr>
            <w:tcW w:type="dxa" w:w="2422"/>
            <w:shd w:val="clear" w:color="auto" w:fill="F47E1C"/>
          </w:tcPr>
          <w:p>
            <w:pPr>
              <w:jc w:val="center"/>
            </w:pPr>
            <w:r>
              <w:rPr>
                <w:b/>
                <w:color w:val="FFFFFF"/>
                <w:sz w:val="19"/>
              </w:rPr>
              <w:t>Technologie</w:t>
            </w:r>
          </w:p>
        </w:tc>
        <w:tc>
          <w:tcPr>
            <w:tcW w:type="dxa" w:w="2422"/>
            <w:shd w:val="clear" w:color="auto" w:fill="F47E1C"/>
          </w:tcPr>
          <w:p>
            <w:pPr>
              <w:jc w:val="center"/>
            </w:pPr>
            <w:r>
              <w:rPr>
                <w:b/>
                <w:color w:val="FFFFFF"/>
                <w:sz w:val="19"/>
              </w:rPr>
              <w:t>Version</w:t>
            </w:r>
          </w:p>
        </w:tc>
        <w:tc>
          <w:tcPr>
            <w:tcW w:type="dxa" w:w="2422"/>
            <w:shd w:val="clear" w:color="auto" w:fill="F47E1C"/>
          </w:tcPr>
          <w:p>
            <w:pPr>
              <w:jc w:val="center"/>
            </w:pPr>
            <w:r>
              <w:rPr>
                <w:b/>
                <w:color w:val="FFFFFF"/>
                <w:sz w:val="19"/>
              </w:rPr>
              <w:t>Rôle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Backend API</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Django + DRF</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5.0.6 / 3.15.1</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API REST, logique métier, authentification</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Base de données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MySQL / MariaDB</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8.0+</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Persistance des données</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Authentification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SimpleJWT + OTP/2FA</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5.3.1</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JWT access/refresh + 2FA</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Tâches async</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Celery + Redis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5.3.6</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Envoi emails/SMS, tâches planifiées</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WebSocket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Django Channels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4.1.0</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Notifications temps réel</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Frontend web</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React + TypeScript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18+</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Interface inspecteurs &amp; employeurs</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Mobile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React Native / Expo</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50+</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Application iOS et Android</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Documents Word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python-docx</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1.2.0</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Génération PV, accords, offres</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Email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Django SMTP</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Convocations, alertes, relances</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SMS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Orange CI / MTN CI</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Convocations SMS (+225)</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Timezone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Africa/Abidjan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UTC+0</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Fuseau horaire Côte d'Ivoire</w:t>
            </w:r>
          </w:p>
        </w:tc>
      </w:tr>
    </w:tbl>
    <w:p/>
    <w:p>
      <w:r>
        <w:br w:type="page"/>
      </w:r>
    </w:p>
    <w:p>
      <w:pPr>
        <w:spacing w:before="360" w:after="120"/>
        <w:pBdr>
          <w:bottom w:val="single" w:sz="8" w:space="2" w:color="F47E1C"/>
        </w:pBdr>
      </w:pPr>
      <w:r>
        <w:rPr>
          <w:b/>
          <w:color w:val="F47E1C"/>
          <w:sz w:val="32"/>
        </w:rPr>
        <w:t>3. RÔLES ET PERMISSIONS (RBAC)</w:t>
      </w:r>
    </w:p>
    <w:p>
      <w:pPr>
        <w:spacing w:after="80" w:before="0"/>
      </w:pPr>
      <w:r>
        <w:rPr>
          <w:i w:val="0"/>
          <w:sz w:val="21"/>
        </w:rPr>
        <w:t>Le système implémente un contrôle d'accès basé sur les rôles (RBAC) avec 8 profils :</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009A44"/>
          </w:tcPr>
          <w:p>
            <w:pPr>
              <w:jc w:val="center"/>
            </w:pPr>
            <w:r>
              <w:rPr>
                <w:b/>
                <w:color w:val="FFFFFF"/>
                <w:sz w:val="19"/>
              </w:rPr>
              <w:t>Rôle</w:t>
            </w:r>
          </w:p>
        </w:tc>
        <w:tc>
          <w:tcPr>
            <w:tcW w:type="dxa" w:w="2422"/>
            <w:shd w:val="clear" w:color="auto" w:fill="009A44"/>
          </w:tcPr>
          <w:p>
            <w:pPr>
              <w:jc w:val="center"/>
            </w:pPr>
            <w:r>
              <w:rPr>
                <w:b/>
                <w:color w:val="FFFFFF"/>
                <w:sz w:val="19"/>
              </w:rPr>
              <w:t>Code</w:t>
            </w:r>
          </w:p>
        </w:tc>
        <w:tc>
          <w:tcPr>
            <w:tcW w:type="dxa" w:w="2422"/>
            <w:shd w:val="clear" w:color="auto" w:fill="009A44"/>
          </w:tcPr>
          <w:p>
            <w:pPr>
              <w:jc w:val="center"/>
            </w:pPr>
            <w:r>
              <w:rPr>
                <w:b/>
                <w:color w:val="FFFFFF"/>
                <w:sz w:val="19"/>
              </w:rPr>
              <w:t>Périmètre</w:t>
            </w:r>
          </w:p>
        </w:tc>
        <w:tc>
          <w:tcPr>
            <w:tcW w:type="dxa" w:w="2422"/>
            <w:shd w:val="clear" w:color="auto" w:fill="009A44"/>
          </w:tcPr>
          <w:p>
            <w:pPr>
              <w:jc w:val="center"/>
            </w:pPr>
            <w:r>
              <w:rPr>
                <w:b/>
                <w:color w:val="FFFFFF"/>
                <w:sz w:val="19"/>
              </w:rPr>
              <w:t>Accès Médiation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Travailleur (salarié)</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EMPLOYE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Ses propres plaintes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Lecture séances le concernant</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Travailleur domestique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EMPLOYE_MAISON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Ses propres plaintes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Lecture séances le concernant</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Employeur</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EMPLOYEUR</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Son entreprise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Espace convocation, accusé réception</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 du Travail</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Plaintes assignées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CRUD séances, convocation, PV carence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Chef d'inspection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CHEF_INSPECTION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Son inspection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Supervision, escalade</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Directeur Régional</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DIRECTEUR_REGIONAL</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Sa région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Tableau de bord régional</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Directeur Général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DIRECTEUR_GENERAL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National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Vue globale, validation</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Administrateur système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ADMIN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Tout le système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Accès total</w:t>
            </w:r>
          </w:p>
        </w:tc>
      </w:tr>
    </w:tbl>
    <w:p/>
    <w:p>
      <w:r>
        <w:br w:type="page"/>
      </w:r>
    </w:p>
    <w:p>
      <w:pPr>
        <w:spacing w:before="360" w:after="120"/>
        <w:pBdr>
          <w:bottom w:val="single" w:sz="8" w:space="2" w:color="F47E1C"/>
        </w:pBdr>
      </w:pPr>
      <w:r>
        <w:rPr>
          <w:b/>
          <w:color w:val="F47E1C"/>
          <w:sz w:val="32"/>
        </w:rPr>
        <w:t>4. WORKFLOW DES PLAINTES</w:t>
      </w:r>
    </w:p>
    <w:p>
      <w:pPr>
        <w:spacing w:before="240" w:after="80"/>
      </w:pPr>
      <w:r>
        <w:rPr>
          <w:b/>
          <w:color w:val="1D4ED8"/>
          <w:sz w:val="26"/>
        </w:rPr>
        <w:t>4.1 Diagramme de statuts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pPr>
              <w:jc w:val="center"/>
            </w:pPr>
            <w:r>
              <w:rPr>
                <w:b/>
                <w:color w:val="FFFFFF"/>
                <w:sz w:val="18"/>
              </w:rPr>
              <w:t>PENDING</w:t>
              <w:br/>
              <w:t>(En attente)</w:t>
            </w:r>
          </w:p>
        </w:tc>
        <w:tc>
          <w:tcPr>
            <w:tcW w:type="dxa" w:w="1615"/>
            <w:shd w:val="clear" w:color="auto" w:fill="1D4ED8"/>
          </w:tcPr>
          <w:p>
            <w:pPr>
              <w:jc w:val="center"/>
            </w:pPr>
            <w:r>
              <w:rPr>
                <w:b/>
                <w:color w:val="FFFFFF"/>
                <w:sz w:val="18"/>
              </w:rPr>
              <w:t>ASSIGNED</w:t>
              <w:br/>
              <w:t>(Assignée)</w:t>
            </w:r>
          </w:p>
        </w:tc>
        <w:tc>
          <w:tcPr>
            <w:tcW w:type="dxa" w:w="1615"/>
            <w:shd w:val="clear" w:color="auto" w:fill="1D4ED8"/>
          </w:tcPr>
          <w:p>
            <w:pPr>
              <w:jc w:val="center"/>
            </w:pPr>
            <w:r>
              <w:rPr>
                <w:b/>
                <w:color w:val="FFFFFF"/>
                <w:sz w:val="18"/>
              </w:rPr>
              <w:t>IN_PROGRESS</w:t>
              <w:br/>
              <w:t>(En cours)</w:t>
            </w:r>
          </w:p>
        </w:tc>
        <w:tc>
          <w:tcPr>
            <w:tcW w:type="dxa" w:w="1615"/>
            <w:shd w:val="clear" w:color="auto" w:fill="1D4ED8"/>
          </w:tcPr>
          <w:p>
            <w:pPr>
              <w:jc w:val="center"/>
            </w:pPr>
            <w:r>
              <w:rPr>
                <w:b/>
                <w:color w:val="FFFFFF"/>
                <w:sz w:val="18"/>
              </w:rPr>
              <w:t>UNDER_INVESTIGATION</w:t>
              <w:br/>
              <w:t>(Investigation)</w:t>
            </w:r>
          </w:p>
        </w:tc>
        <w:tc>
          <w:tcPr>
            <w:tcW w:type="dxa" w:w="1615"/>
            <w:shd w:val="clear" w:color="auto" w:fill="1D4ED8"/>
          </w:tcPr>
          <w:p>
            <w:pPr>
              <w:jc w:val="center"/>
            </w:pPr>
            <w:r>
              <w:rPr>
                <w:b/>
                <w:color w:val="FFFFFF"/>
                <w:sz w:val="18"/>
              </w:rPr>
              <w:t>MEDIATION</w:t>
              <w:br/>
              <w:t>(Médiation)</w:t>
            </w:r>
          </w:p>
        </w:tc>
        <w:tc>
          <w:tcPr>
            <w:tcW w:type="dxa" w:w="1615"/>
            <w:shd w:val="clear" w:color="auto" w:fill="1D4ED8"/>
          </w:tcPr>
          <w:p>
            <w:pPr>
              <w:jc w:val="center"/>
            </w:pPr>
            <w:r>
              <w:rPr>
                <w:b/>
                <w:color w:val="FFFFFF"/>
                <w:sz w:val="18"/>
              </w:rPr>
              <w:t>RESOLVED</w:t>
              <w:br/>
              <w:t>(Résolue)</w:t>
            </w:r>
          </w:p>
        </w:tc>
      </w:tr>
      <w:tr>
        <w:tc>
          <w:tcPr>
            <w:tcW w:type="dxa" w:w="1615"/>
            <w:shd w:val="clear" w:color="auto" w:fill="F0FDF4"/>
          </w:tcPr>
          <w:p>
            <w:pPr>
              <w:jc w:val="center"/>
            </w:pPr>
            <w:r>
              <w:rPr>
                <w:sz w:val="17"/>
              </w:rPr>
              <w:t>Plainte déposée</w:t>
              <w:br/>
              <w:t>non encore traitée</w:t>
            </w:r>
          </w:p>
        </w:tc>
        <w:tc>
          <w:tcPr>
            <w:tcW w:type="dxa" w:w="1615"/>
            <w:shd w:val="clear" w:color="auto" w:fill="F0FDF4"/>
          </w:tcPr>
          <w:p>
            <w:pPr>
              <w:jc w:val="center"/>
            </w:pPr>
            <w:r>
              <w:rPr>
                <w:sz w:val="17"/>
              </w:rPr>
              <w:t>Inspecteur</w:t>
              <w:br/>
              <w:t>attribué</w:t>
            </w:r>
          </w:p>
        </w:tc>
        <w:tc>
          <w:tcPr>
            <w:tcW w:type="dxa" w:w="1615"/>
            <w:shd w:val="clear" w:color="auto" w:fill="F0FDF4"/>
          </w:tcPr>
          <w:p>
            <w:pPr>
              <w:jc w:val="center"/>
            </w:pPr>
            <w:r>
              <w:rPr>
                <w:sz w:val="17"/>
              </w:rPr>
              <w:t>Enquête</w:t>
              <w:br/>
              <w:t>en cours</w:t>
            </w:r>
          </w:p>
        </w:tc>
        <w:tc>
          <w:tcPr>
            <w:tcW w:type="dxa" w:w="1615"/>
            <w:shd w:val="clear" w:color="auto" w:fill="F0FDF4"/>
          </w:tcPr>
          <w:p>
            <w:pPr>
              <w:jc w:val="center"/>
            </w:pPr>
            <w:r>
              <w:rPr>
                <w:sz w:val="17"/>
              </w:rPr>
              <w:t>Instruction</w:t>
              <w:br/>
              <w:t>approfondie</w:t>
            </w:r>
          </w:p>
        </w:tc>
        <w:tc>
          <w:tcPr>
            <w:tcW w:type="dxa" w:w="1615"/>
            <w:shd w:val="clear" w:color="auto" w:fill="F0FDF4"/>
          </w:tcPr>
          <w:p>
            <w:pPr>
              <w:jc w:val="center"/>
            </w:pPr>
            <w:r>
              <w:rPr>
                <w:sz w:val="17"/>
              </w:rPr>
              <w:t>Séance de</w:t>
              <w:br/>
              <w:t>médiation planifiée</w:t>
            </w:r>
          </w:p>
        </w:tc>
        <w:tc>
          <w:tcPr>
            <w:tcW w:type="dxa" w:w="1615"/>
            <w:shd w:val="clear" w:color="auto" w:fill="F0FDF4"/>
          </w:tcPr>
          <w:p>
            <w:pPr>
              <w:jc w:val="center"/>
            </w:pPr>
            <w:r>
              <w:rPr>
                <w:sz w:val="17"/>
              </w:rPr>
              <w:t>Clôturée</w:t>
              <w:br/>
              <w:t>amiablement</w:t>
            </w:r>
          </w:p>
        </w:tc>
      </w:tr>
    </w:tbl>
    <w:p/>
    <w:p>
      <w:pPr>
        <w:spacing w:before="240" w:after="80"/>
      </w:pPr>
      <w:r>
        <w:rPr>
          <w:b/>
          <w:color w:val="1D4ED8"/>
          <w:sz w:val="26"/>
        </w:rPr>
        <w:t>4.2 Statuts de sortie alternatifs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DC2626"/>
          </w:tcPr>
          <w:p>
            <w:pPr>
              <w:jc w:val="center"/>
            </w:pPr>
            <w:r>
              <w:rPr>
                <w:b/>
                <w:color w:val="FFFFFF"/>
                <w:sz w:val="19"/>
              </w:rPr>
              <w:t>Statut</w:t>
            </w:r>
          </w:p>
        </w:tc>
        <w:tc>
          <w:tcPr>
            <w:tcW w:type="dxa" w:w="2422"/>
            <w:shd w:val="clear" w:color="auto" w:fill="DC2626"/>
          </w:tcPr>
          <w:p>
            <w:pPr>
              <w:jc w:val="center"/>
            </w:pPr>
            <w:r>
              <w:rPr>
                <w:b/>
                <w:color w:val="FFFFFF"/>
                <w:sz w:val="19"/>
              </w:rPr>
              <w:t>Code</w:t>
            </w:r>
          </w:p>
        </w:tc>
        <w:tc>
          <w:tcPr>
            <w:tcW w:type="dxa" w:w="2422"/>
            <w:shd w:val="clear" w:color="auto" w:fill="DC2626"/>
          </w:tcPr>
          <w:p>
            <w:pPr>
              <w:jc w:val="center"/>
            </w:pPr>
            <w:r>
              <w:rPr>
                <w:b/>
                <w:color w:val="FFFFFF"/>
                <w:sz w:val="19"/>
              </w:rPr>
              <w:t>Déclencheur</w:t>
            </w:r>
          </w:p>
        </w:tc>
        <w:tc>
          <w:tcPr>
            <w:tcW w:type="dxa" w:w="2422"/>
            <w:shd w:val="clear" w:color="auto" w:fill="DC2626"/>
          </w:tcPr>
          <w:p>
            <w:pPr>
              <w:jc w:val="center"/>
            </w:pPr>
            <w:r>
              <w:rPr>
                <w:b/>
                <w:color w:val="FFFFFF"/>
                <w:sz w:val="19"/>
              </w:rPr>
              <w:t>Action suivante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Résolu judiciaire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JUDICIAL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Médiation échouée ou accord rompu</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Procédure Tribunal du Travail</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Escaladé</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ESCALATED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Non-comparution employeur × 3</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Transmission hiérarchie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Classé sans suite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CLOSED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Désistement du plaignant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Archivage</w:t>
            </w:r>
          </w:p>
        </w:tc>
      </w:tr>
    </w:tbl>
    <w:p/>
    <w:p>
      <w:pPr>
        <w:spacing w:before="240" w:after="80"/>
      </w:pPr>
      <w:r>
        <w:rPr>
          <w:b/>
          <w:color w:val="1D4ED8"/>
          <w:sz w:val="26"/>
        </w:rPr>
        <w:t>4.3 Processus de dépôt</w:t>
      </w:r>
    </w:p>
    <w:p>
      <w:pPr>
        <w:pStyle w:val="ListBullet"/>
        <w:spacing w:after="40" w:before="0"/>
      </w:pPr>
      <w:r>
        <w:rPr>
          <w:sz w:val="21"/>
        </w:rPr>
        <w:t>• 1. Le travailleur se connecte et remplit le formulaire de plainte (mobile ou web).</w:t>
      </w:r>
    </w:p>
    <w:p>
      <w:pPr>
        <w:pStyle w:val="ListBullet"/>
        <w:spacing w:after="40" w:before="0"/>
      </w:pPr>
      <w:r>
        <w:rPr>
          <w:sz w:val="21"/>
        </w:rPr>
        <w:t>• 2. La plainte reçoit le statut PENDING et un numéro de référence unique.</w:t>
      </w:r>
    </w:p>
    <w:p>
      <w:pPr>
        <w:pStyle w:val="ListBullet"/>
        <w:spacing w:after="40" w:before="0"/>
      </w:pPr>
      <w:r>
        <w:rPr>
          <w:sz w:val="21"/>
        </w:rPr>
        <w:t>• 3. Le Chef d'Inspection assigne la plainte à un inspecteur disponible → statut ASSIGNED.</w:t>
      </w:r>
    </w:p>
    <w:p>
      <w:pPr>
        <w:pStyle w:val="ListBullet"/>
        <w:spacing w:after="40" w:before="0"/>
      </w:pPr>
      <w:r>
        <w:rPr>
          <w:sz w:val="21"/>
        </w:rPr>
        <w:t>• 4. L'inspecteur instruit le dossier, change le statut en IN_PROGRESS.</w:t>
      </w:r>
    </w:p>
    <w:p>
      <w:pPr>
        <w:pStyle w:val="ListBullet"/>
        <w:spacing w:after="40" w:before="0"/>
      </w:pPr>
      <w:r>
        <w:rPr>
          <w:sz w:val="21"/>
        </w:rPr>
        <w:t>• 5. Si la complexité le requiert, il passe en UNDER_INVESTIGATION.</w:t>
      </w:r>
    </w:p>
    <w:p>
      <w:pPr>
        <w:pStyle w:val="ListBullet"/>
        <w:spacing w:after="40" w:before="0"/>
      </w:pPr>
      <w:r>
        <w:rPr>
          <w:sz w:val="21"/>
        </w:rPr>
        <w:t>• 6. L'inspecteur propose une médiation → statut MEDIATION + création de la séance.</w:t>
      </w:r>
    </w:p>
    <w:p>
      <w:pPr>
        <w:pStyle w:val="ListBullet"/>
        <w:spacing w:after="40" w:before="0"/>
      </w:pPr>
      <w:r>
        <w:rPr>
          <w:sz w:val="21"/>
        </w:rPr>
        <w:t>• 7. À l'issue de la médiation : RESOLVED (accord signé) ou JUDICIAL (échec).</w:t>
      </w:r>
    </w:p>
    <w:p>
      <w:pPr>
        <w:spacing w:before="240" w:after="80"/>
      </w:pPr>
      <w:r>
        <w:rPr>
          <w:b/>
          <w:color w:val="1D4ED8"/>
          <w:sz w:val="26"/>
        </w:rPr>
        <w:t>4.4 Notifications automatiques</w:t>
      </w:r>
    </w:p>
    <w:p>
      <w:pPr>
        <w:pStyle w:val="ListBullet"/>
        <w:spacing w:after="40" w:before="0"/>
      </w:pPr>
      <w:r>
        <w:rPr>
          <w:sz w:val="21"/>
        </w:rPr>
        <w:t>• Dépôt plainte → email de confirmation au travailleur</w:t>
      </w:r>
    </w:p>
    <w:p>
      <w:pPr>
        <w:pStyle w:val="ListBullet"/>
        <w:spacing w:after="40" w:before="0"/>
      </w:pPr>
      <w:r>
        <w:rPr>
          <w:sz w:val="21"/>
        </w:rPr>
        <w:t>• Assignation → email à l'inspecteur avec récapitulatif du dossier</w:t>
      </w:r>
    </w:p>
    <w:p>
      <w:pPr>
        <w:pStyle w:val="ListBullet"/>
        <w:spacing w:after="40" w:before="0"/>
      </w:pPr>
      <w:r>
        <w:rPr>
          <w:sz w:val="21"/>
        </w:rPr>
        <w:t>• Changement de statut → email + push notification au plaignant</w:t>
      </w:r>
    </w:p>
    <w:p>
      <w:pPr>
        <w:pStyle w:val="ListBullet"/>
        <w:spacing w:after="40" w:before="0"/>
      </w:pPr>
      <w:r>
        <w:rPr>
          <w:sz w:val="21"/>
        </w:rPr>
        <w:t>• Médiation planifiée → convocations email+SMS à toutes les parties</w:t>
      </w:r>
    </w:p>
    <w:p>
      <w:r>
        <w:br w:type="page"/>
      </w:r>
    </w:p>
    <w:p>
      <w:pPr>
        <w:spacing w:before="360" w:after="120"/>
        <w:pBdr>
          <w:bottom w:val="single" w:sz="8" w:space="2" w:color="F47E1C"/>
        </w:pBdr>
      </w:pPr>
      <w:r>
        <w:rPr>
          <w:b/>
          <w:color w:val="F47E1C"/>
          <w:sz w:val="32"/>
        </w:rPr>
        <w:t>5. WORKFLOW DE MÉDIATION / CONCILIATION</w:t>
      </w:r>
    </w:p>
    <w:p>
      <w:pPr>
        <w:spacing w:before="240" w:after="80"/>
      </w:pPr>
      <w:r>
        <w:rPr>
          <w:b/>
          <w:color w:val="1D4ED8"/>
          <w:sz w:val="26"/>
        </w:rPr>
        <w:t>5.1 Distinction Médiation / Conciliation</w:t>
      </w:r>
    </w:p>
    <w:p>
      <w:pPr>
        <w:spacing w:after="80" w:before="0"/>
      </w:pPr>
      <w:r>
        <w:rPr>
          <w:i w:val="0"/>
          <w:sz w:val="21"/>
        </w:rPr>
        <w:t>Dans le système, les termes "Médiation" et "Conciliation" désignent le même processus de résolution amiable. Le médiateur est un Inspecteur ou Chef d'Inspection qui facilite le dialogue entre le travailleur et l'employeur. La conciliation est la phase préalable obligatoire avant tout recours judiciaire (Art. 81 du Code du Travail).</w:t>
      </w:r>
    </w:p>
    <w:p>
      <w:pPr>
        <w:spacing w:before="240" w:after="80"/>
      </w:pPr>
      <w:r>
        <w:rPr>
          <w:b/>
          <w:color w:val="1D4ED8"/>
          <w:sz w:val="26"/>
        </w:rPr>
        <w:t>5.2 Cycle de vie d'une séance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009A44"/>
          </w:tcPr>
          <w:p>
            <w:pPr>
              <w:jc w:val="center"/>
            </w:pPr>
            <w:r>
              <w:rPr>
                <w:b/>
                <w:color w:val="FFFFFF"/>
                <w:sz w:val="18"/>
              </w:rPr>
              <w:t>SCHEDULED</w:t>
              <w:br/>
              <w:t>(Planifiée)</w:t>
            </w:r>
          </w:p>
        </w:tc>
        <w:tc>
          <w:tcPr>
            <w:tcW w:type="dxa" w:w="1938"/>
            <w:shd w:val="clear" w:color="auto" w:fill="009A44"/>
          </w:tcPr>
          <w:p>
            <w:pPr>
              <w:jc w:val="center"/>
            </w:pPr>
            <w:r>
              <w:rPr>
                <w:b/>
                <w:color w:val="FFFFFF"/>
                <w:sz w:val="18"/>
              </w:rPr>
              <w:t>ONGOING</w:t>
              <w:br/>
              <w:t>(En cours)</w:t>
            </w:r>
          </w:p>
        </w:tc>
        <w:tc>
          <w:tcPr>
            <w:tcW w:type="dxa" w:w="1938"/>
            <w:shd w:val="clear" w:color="auto" w:fill="009A44"/>
          </w:tcPr>
          <w:p>
            <w:pPr>
              <w:jc w:val="center"/>
            </w:pPr>
            <w:r>
              <w:rPr>
                <w:b/>
                <w:color w:val="FFFFFF"/>
                <w:sz w:val="18"/>
              </w:rPr>
              <w:t>COMPLETED</w:t>
              <w:br/>
              <w:t>(Terminée)</w:t>
            </w:r>
          </w:p>
        </w:tc>
        <w:tc>
          <w:tcPr>
            <w:tcW w:type="dxa" w:w="1938"/>
            <w:shd w:val="clear" w:color="auto" w:fill="009A44"/>
          </w:tcPr>
          <w:p>
            <w:pPr>
              <w:jc w:val="center"/>
            </w:pPr>
            <w:r>
              <w:rPr>
                <w:b/>
                <w:color w:val="FFFFFF"/>
                <w:sz w:val="18"/>
              </w:rPr>
              <w:t>POSTPONED</w:t>
              <w:br/>
              <w:t>(Reportée)</w:t>
            </w:r>
          </w:p>
        </w:tc>
        <w:tc>
          <w:tcPr>
            <w:tcW w:type="dxa" w:w="1938"/>
            <w:shd w:val="clear" w:color="auto" w:fill="009A44"/>
          </w:tcPr>
          <w:p>
            <w:pPr>
              <w:jc w:val="center"/>
            </w:pPr>
            <w:r>
              <w:rPr>
                <w:b/>
                <w:color w:val="FFFFFF"/>
                <w:sz w:val="18"/>
              </w:rPr>
              <w:t>CANCELLED</w:t>
              <w:br/>
              <w:t>(Annulée)</w:t>
            </w:r>
          </w:p>
        </w:tc>
      </w:tr>
      <w:tr>
        <w:tc>
          <w:tcPr>
            <w:tcW w:type="dxa" w:w="1938"/>
            <w:shd w:val="clear" w:color="auto" w:fill="F0FDF4"/>
          </w:tcPr>
          <w:p>
            <w:pPr>
              <w:jc w:val="center"/>
            </w:pPr>
            <w:r>
              <w:rPr>
                <w:sz w:val="17"/>
              </w:rPr>
              <w:t>Séance créée,</w:t>
              <w:br/>
              <w:t>convocations envoyées</w:t>
            </w:r>
          </w:p>
        </w:tc>
        <w:tc>
          <w:tcPr>
            <w:tcW w:type="dxa" w:w="1938"/>
            <w:shd w:val="clear" w:color="auto" w:fill="F0FDF4"/>
          </w:tcPr>
          <w:p>
            <w:pPr>
              <w:jc w:val="center"/>
            </w:pPr>
            <w:r>
              <w:rPr>
                <w:sz w:val="17"/>
              </w:rPr>
              <w:t>Séance démarrée</w:t>
              <w:br/>
              <w:t>par le médiateur</w:t>
            </w:r>
          </w:p>
        </w:tc>
        <w:tc>
          <w:tcPr>
            <w:tcW w:type="dxa" w:w="1938"/>
            <w:shd w:val="clear" w:color="auto" w:fill="F0FDF4"/>
          </w:tcPr>
          <w:p>
            <w:pPr>
              <w:jc w:val="center"/>
            </w:pPr>
            <w:r>
              <w:rPr>
                <w:sz w:val="17"/>
              </w:rPr>
              <w:t>Séance close</w:t>
              <w:br/>
              <w:t>avec ou sans accord</w:t>
            </w:r>
          </w:p>
        </w:tc>
        <w:tc>
          <w:tcPr>
            <w:tcW w:type="dxa" w:w="1938"/>
            <w:shd w:val="clear" w:color="auto" w:fill="F0FDF4"/>
          </w:tcPr>
          <w:p>
            <w:pPr>
              <w:jc w:val="center"/>
            </w:pPr>
            <w:r>
              <w:rPr>
                <w:sz w:val="17"/>
              </w:rPr>
              <w:t>Renvoi à une</w:t>
              <w:br/>
              <w:t>nouvelle date</w:t>
            </w:r>
          </w:p>
        </w:tc>
        <w:tc>
          <w:tcPr>
            <w:tcW w:type="dxa" w:w="1938"/>
            <w:shd w:val="clear" w:color="auto" w:fill="F0FDF4"/>
          </w:tcPr>
          <w:p>
            <w:pPr>
              <w:jc w:val="center"/>
            </w:pPr>
            <w:r>
              <w:rPr>
                <w:sz w:val="17"/>
              </w:rPr>
              <w:t>Annulation</w:t>
              <w:br/>
              <w:t>définitive</w:t>
            </w:r>
          </w:p>
        </w:tc>
      </w:tr>
    </w:tbl>
    <w:p/>
    <w:p>
      <w:pPr>
        <w:spacing w:before="240" w:after="80"/>
      </w:pPr>
      <w:r>
        <w:rPr>
          <w:b/>
          <w:color w:val="1D4ED8"/>
          <w:sz w:val="26"/>
        </w:rPr>
        <w:t>5.3 Création d'une séance de médiation</w:t>
      </w:r>
    </w:p>
    <w:p>
      <w:pPr>
        <w:pStyle w:val="ListBullet"/>
        <w:spacing w:after="40" w:before="0"/>
      </w:pPr>
      <w:r>
        <w:rPr>
          <w:sz w:val="21"/>
        </w:rPr>
        <w:t>• 1. L'inspecteur crée une séance via POST /mediations/sessions/ en liant la plainte concernée.</w:t>
      </w:r>
    </w:p>
    <w:p>
      <w:pPr>
        <w:pStyle w:val="ListBullet"/>
        <w:spacing w:after="40" w:before="0"/>
      </w:pPr>
      <w:r>
        <w:rPr>
          <w:sz w:val="21"/>
        </w:rPr>
        <w:t>• 2. Il définit la date, l'heure, le lieu (présentiel/visio/hybride) et désigne le médiateur.</w:t>
      </w:r>
    </w:p>
    <w:p>
      <w:pPr>
        <w:pStyle w:val="ListBullet"/>
        <w:spacing w:after="40" w:before="0"/>
      </w:pPr>
      <w:r>
        <w:rPr>
          <w:sz w:val="21"/>
        </w:rPr>
        <w:t>• 3. Il ajoute les participants : travailleur plaignant, employeur (rôles EMPLOYEE/EMPLOYER).</w:t>
      </w:r>
    </w:p>
    <w:p>
      <w:pPr>
        <w:pStyle w:val="ListBullet"/>
        <w:spacing w:after="40" w:before="0"/>
      </w:pPr>
      <w:r>
        <w:rPr>
          <w:sz w:val="21"/>
        </w:rPr>
        <w:t>• 4. Il déclenche les convocations via POST /mediations/sessions/{id}/convoke/.</w:t>
      </w:r>
    </w:p>
    <w:p>
      <w:pPr>
        <w:pStyle w:val="ListBullet"/>
        <w:spacing w:after="40" w:before="0"/>
      </w:pPr>
      <w:r>
        <w:rPr>
          <w:sz w:val="21"/>
        </w:rPr>
        <w:t>• 5. Les convocations sont envoyées simultanément par email, SMS et notification push.</w:t>
      </w:r>
    </w:p>
    <w:p>
      <w:pPr>
        <w:pStyle w:val="ListBullet"/>
        <w:spacing w:after="40" w:before="0"/>
      </w:pPr>
      <w:r>
        <w:rPr>
          <w:sz w:val="21"/>
        </w:rPr>
        <w:t>• 6. Chaque envoi est tracé dans ConvocationAttempt (canal, statut, horodatage, ID fournisseur).</w:t>
      </w:r>
    </w:p>
    <w:p>
      <w:pPr>
        <w:spacing w:before="240" w:after="80"/>
      </w:pPr>
      <w:r>
        <w:rPr>
          <w:b/>
          <w:color w:val="1D4ED8"/>
          <w:sz w:val="26"/>
        </w:rPr>
        <w:t>5.4 Résultats possibles de la séance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0F766E"/>
          </w:tcPr>
          <w:p>
            <w:pPr>
              <w:jc w:val="center"/>
            </w:pPr>
            <w:r>
              <w:rPr>
                <w:b/>
                <w:color w:val="FFFFFF"/>
                <w:sz w:val="19"/>
              </w:rPr>
              <w:t>Résultat</w:t>
            </w:r>
          </w:p>
        </w:tc>
        <w:tc>
          <w:tcPr>
            <w:tcW w:type="dxa" w:w="2422"/>
            <w:shd w:val="clear" w:color="auto" w:fill="0F766E"/>
          </w:tcPr>
          <w:p>
            <w:pPr>
              <w:jc w:val="center"/>
            </w:pPr>
            <w:r>
              <w:rPr>
                <w:b/>
                <w:color w:val="FFFFFF"/>
                <w:sz w:val="19"/>
              </w:rPr>
              <w:t>Code</w:t>
            </w:r>
          </w:p>
        </w:tc>
        <w:tc>
          <w:tcPr>
            <w:tcW w:type="dxa" w:w="2422"/>
            <w:shd w:val="clear" w:color="auto" w:fill="0F766E"/>
          </w:tcPr>
          <w:p>
            <w:pPr>
              <w:jc w:val="center"/>
            </w:pPr>
            <w:r>
              <w:rPr>
                <w:b/>
                <w:color w:val="FFFFFF"/>
                <w:sz w:val="19"/>
              </w:rPr>
              <w:t>Condition</w:t>
            </w:r>
          </w:p>
        </w:tc>
        <w:tc>
          <w:tcPr>
            <w:tcW w:type="dxa" w:w="2422"/>
            <w:shd w:val="clear" w:color="auto" w:fill="0F766E"/>
          </w:tcPr>
          <w:p>
            <w:pPr>
              <w:jc w:val="center"/>
            </w:pPr>
            <w:r>
              <w:rPr>
                <w:b/>
                <w:color w:val="FFFFFF"/>
                <w:sz w:val="19"/>
              </w:rPr>
              <w:t>Suite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Accord trouvé</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AGREEMENT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Toutes parties d'accord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Création + signature de l'accord</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Accord partiel</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PARTIAL_AGREEMENT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Accord sur certains points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Accord partiel + nouvelle séance possible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Pas d'accord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NO_AGREEMENT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Désaccord total</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Renvoi judiciaire → statut JUDICIAL</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Non-comparution employeur</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(voir §7)</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Employeur absent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PV de carence + escalade hiérarchique</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En attente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PENDING</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Séance non encore tenue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En attente de la date de séance</w:t>
            </w:r>
          </w:p>
        </w:tc>
      </w:tr>
    </w:tbl>
    <w:p/>
    <w:p>
      <w:pPr>
        <w:spacing w:before="240" w:after="80"/>
      </w:pPr>
      <w:r>
        <w:rPr>
          <w:b/>
          <w:color w:val="1D4ED8"/>
          <w:sz w:val="26"/>
        </w:rPr>
        <w:t>5.5 Rédaction du Procès-Verbal de séance</w:t>
      </w:r>
    </w:p>
    <w:p>
      <w:pPr>
        <w:pStyle w:val="ListBullet"/>
        <w:spacing w:after="40" w:before="0"/>
      </w:pPr>
      <w:r>
        <w:rPr>
          <w:sz w:val="21"/>
        </w:rPr>
        <w:t>• 1. Après la séance, l'inspecteur remplit le PV via POST /mediations/sessions/{id}/generate_minutes/.</w:t>
      </w:r>
    </w:p>
    <w:p>
      <w:pPr>
        <w:pStyle w:val="ListBullet"/>
        <w:spacing w:after="40" w:before="0"/>
      </w:pPr>
      <w:r>
        <w:rPr>
          <w:sz w:val="21"/>
        </w:rPr>
        <w:t>• 2. Le PV contient : déclaration d'ouverture, déclarations des parties, synthèse des débats, accords atteints.</w:t>
      </w:r>
    </w:p>
    <w:p>
      <w:pPr>
        <w:pStyle w:val="ListBullet"/>
        <w:spacing w:after="40" w:before="0"/>
      </w:pPr>
      <w:r>
        <w:rPr>
          <w:sz w:val="21"/>
        </w:rPr>
        <w:t>• 3. Le PV est signé électroniquement par toutes les parties.</w:t>
      </w:r>
    </w:p>
    <w:p>
      <w:pPr>
        <w:pStyle w:val="ListBullet"/>
        <w:spacing w:after="40" w:before="0"/>
      </w:pPr>
      <w:r>
        <w:rPr>
          <w:sz w:val="21"/>
        </w:rPr>
        <w:t>• 4. Une copie PDF est générée et attachée à la séance (MediationDocument de type MINUTES).</w:t>
      </w:r>
    </w:p>
    <w:p>
      <w:r>
        <w:br w:type="page"/>
      </w:r>
    </w:p>
    <w:p>
      <w:pPr>
        <w:spacing w:before="360" w:after="120"/>
        <w:pBdr>
          <w:bottom w:val="single" w:sz="8" w:space="2" w:color="F47E1C"/>
        </w:pBdr>
      </w:pPr>
      <w:r>
        <w:rPr>
          <w:b/>
          <w:color w:val="F47E1C"/>
          <w:sz w:val="32"/>
        </w:rPr>
        <w:t>6. WORKFLOW DE CONVOCATION — ACCUSÉ DE RÉCEPTION</w:t>
      </w:r>
    </w:p>
    <w:p>
      <w:pPr>
        <w:spacing w:before="240" w:after="80"/>
      </w:pPr>
      <w:r>
        <w:rPr>
          <w:b/>
          <w:color w:val="1D4ED8"/>
          <w:sz w:val="26"/>
        </w:rPr>
        <w:t>6.1 Problème résolu</w:t>
      </w:r>
    </w:p>
    <w:p>
      <w:pPr>
        <w:spacing w:after="80" w:before="0"/>
      </w:pPr>
      <w:r>
        <w:rPr>
          <w:i w:val="0"/>
          <w:sz w:val="21"/>
        </w:rPr>
        <w:t>Un problème récurrent rencontré par les Inspecteurs du Travail est le refus des employeurs de prendre acte des convocations (refus de signer le courrier, absence au bureau, téléphone non répondu). Le système implémente une solution multi-canal traçable qui constitue une preuve légale d'envoi de la convocation.</w:t>
      </w:r>
    </w:p>
    <w:p>
      <w:pPr>
        <w:spacing w:before="240" w:after="80"/>
      </w:pPr>
      <w:r>
        <w:rPr>
          <w:b/>
          <w:color w:val="1D4ED8"/>
          <w:sz w:val="26"/>
        </w:rPr>
        <w:t>6.2 Mécanisme de convocation traçable</w:t>
      </w:r>
    </w:p>
    <w:p>
      <w:pPr>
        <w:spacing w:after="80" w:before="0"/>
      </w:pPr>
      <w:r>
        <w:rPr>
          <w:i w:val="0"/>
          <w:sz w:val="21"/>
        </w:rPr>
        <w:t>Chaque participant reçoit un jeton UUID unique (acknowledgment_token) stocké en base. Ce jeton est inclus dans les liens email et SMS sous la forme :</w:t>
      </w:r>
    </w:p>
    <w:p>
      <w:pPr>
        <w:spacing w:after="80" w:before="0"/>
      </w:pPr>
      <w:r>
        <w:rPr>
          <w:i/>
          <w:color w:val="1D4ED8"/>
          <w:sz w:val="21"/>
        </w:rPr>
        <w:t xml:space="preserve">    https://e-inspection.ci/convocation/confirmer/{token}/</w:t>
      </w:r>
    </w:p>
    <w:p>
      <w:pPr>
        <w:spacing w:after="80" w:before="0"/>
      </w:pPr>
      <w:r>
        <w:rPr>
          <w:i w:val="0"/>
          <w:sz w:val="21"/>
        </w:rPr>
        <w:t>Lorsque le destinataire clique ce lien, le timestamp acknowledged_at est enregistré sans nécessiter de connexion.</w:t>
      </w:r>
    </w:p>
    <w:p>
      <w:pPr>
        <w:spacing w:before="240" w:after="80"/>
      </w:pPr>
      <w:r>
        <w:rPr>
          <w:b/>
          <w:color w:val="1D4ED8"/>
          <w:sz w:val="26"/>
        </w:rPr>
        <w:t>6.3 Diagramme de convocation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1D4ED8"/>
          </w:tcPr>
          <w:p>
            <w:pPr>
              <w:jc w:val="center"/>
            </w:pPr>
            <w:r>
              <w:rPr>
                <w:b/>
                <w:color w:val="FFFFFF"/>
                <w:sz w:val="18"/>
              </w:rPr>
              <w:t>Non convoqué</w:t>
            </w:r>
          </w:p>
        </w:tc>
        <w:tc>
          <w:tcPr>
            <w:tcW w:type="dxa" w:w="1938"/>
            <w:shd w:val="clear" w:color="auto" w:fill="1D4ED8"/>
          </w:tcPr>
          <w:p>
            <w:pPr>
              <w:jc w:val="center"/>
            </w:pPr>
            <w:r>
              <w:rPr>
                <w:b/>
                <w:color w:val="FFFFFF"/>
                <w:sz w:val="18"/>
              </w:rPr>
              <w:t>Convocation</w:t>
              <w:br/>
              <w:t>envoyée</w:t>
            </w:r>
          </w:p>
        </w:tc>
        <w:tc>
          <w:tcPr>
            <w:tcW w:type="dxa" w:w="1938"/>
            <w:shd w:val="clear" w:color="auto" w:fill="1D4ED8"/>
          </w:tcPr>
          <w:p>
            <w:pPr>
              <w:jc w:val="center"/>
            </w:pPr>
            <w:r>
              <w:rPr>
                <w:b/>
                <w:color w:val="FFFFFF"/>
                <w:sz w:val="18"/>
              </w:rPr>
              <w:t>Livré</w:t>
            </w:r>
          </w:p>
        </w:tc>
        <w:tc>
          <w:tcPr>
            <w:tcW w:type="dxa" w:w="1938"/>
            <w:shd w:val="clear" w:color="auto" w:fill="1D4ED8"/>
          </w:tcPr>
          <w:p>
            <w:pPr>
              <w:jc w:val="center"/>
            </w:pPr>
            <w:r>
              <w:rPr>
                <w:b/>
                <w:color w:val="FFFFFF"/>
                <w:sz w:val="18"/>
              </w:rPr>
              <w:t>Confirmé</w:t>
              <w:br/>
              <w:t>manuellement</w:t>
            </w:r>
          </w:p>
        </w:tc>
        <w:tc>
          <w:tcPr>
            <w:tcW w:type="dxa" w:w="1938"/>
            <w:shd w:val="clear" w:color="auto" w:fill="1D4ED8"/>
          </w:tcPr>
          <w:p>
            <w:pPr>
              <w:jc w:val="center"/>
            </w:pPr>
            <w:r>
              <w:rPr>
                <w:b/>
                <w:color w:val="FFFFFF"/>
                <w:sz w:val="18"/>
              </w:rPr>
              <w:t>Non-comparution</w:t>
            </w:r>
          </w:p>
        </w:tc>
      </w:tr>
      <w:tr>
        <w:tc>
          <w:tcPr>
            <w:tcW w:type="dxa" w:w="1938"/>
            <w:shd w:val="clear" w:color="auto" w:fill="F0FDF4"/>
          </w:tcPr>
          <w:p>
            <w:pPr>
              <w:jc w:val="center"/>
            </w:pPr>
            <w:r>
              <w:rPr>
                <w:sz w:val="17"/>
              </w:rPr>
              <w:t>Participant</w:t>
              <w:br/>
              <w:t>ajouté à la séance</w:t>
            </w:r>
          </w:p>
        </w:tc>
        <w:tc>
          <w:tcPr>
            <w:tcW w:type="dxa" w:w="1938"/>
            <w:shd w:val="clear" w:color="auto" w:fill="F0FDF4"/>
          </w:tcPr>
          <w:p>
            <w:pPr>
              <w:jc w:val="center"/>
            </w:pPr>
            <w:r>
              <w:rPr>
                <w:sz w:val="17"/>
              </w:rPr>
              <w:t>Email + SMS + Push</w:t>
              <w:br/>
              <w:t>envoyés simultanément</w:t>
            </w:r>
          </w:p>
        </w:tc>
        <w:tc>
          <w:tcPr>
            <w:tcW w:type="dxa" w:w="1938"/>
            <w:shd w:val="clear" w:color="auto" w:fill="F0FDF4"/>
          </w:tcPr>
          <w:p>
            <w:pPr>
              <w:jc w:val="center"/>
            </w:pPr>
            <w:r>
              <w:rPr>
                <w:sz w:val="17"/>
              </w:rPr>
              <w:t>Accusé de réception</w:t>
              <w:br/>
              <w:t>électronique (clic lien)</w:t>
            </w:r>
          </w:p>
        </w:tc>
        <w:tc>
          <w:tcPr>
            <w:tcW w:type="dxa" w:w="1938"/>
            <w:shd w:val="clear" w:color="auto" w:fill="F0FDF4"/>
          </w:tcPr>
          <w:p>
            <w:pPr>
              <w:jc w:val="center"/>
            </w:pPr>
            <w:r>
              <w:rPr>
                <w:sz w:val="17"/>
              </w:rPr>
              <w:t>L'inspecteur confirme</w:t>
              <w:br/>
              <w:t>la réception en présentiel</w:t>
            </w:r>
          </w:p>
        </w:tc>
        <w:tc>
          <w:tcPr>
            <w:tcW w:type="dxa" w:w="1938"/>
            <w:shd w:val="clear" w:color="auto" w:fill="F0FDF4"/>
          </w:tcPr>
          <w:p>
            <w:pPr>
              <w:jc w:val="center"/>
            </w:pPr>
            <w:r>
              <w:rPr>
                <w:sz w:val="17"/>
              </w:rPr>
              <w:t>Aucun accusé après</w:t>
              <w:br/>
              <w:t>3 relances → PV carence</w:t>
            </w:r>
          </w:p>
        </w:tc>
      </w:tr>
    </w:tbl>
    <w:p/>
    <w:p>
      <w:pPr>
        <w:spacing w:before="240" w:after="80"/>
      </w:pPr>
      <w:r>
        <w:rPr>
          <w:b/>
          <w:color w:val="1D4ED8"/>
          <w:sz w:val="26"/>
        </w:rPr>
        <w:t>6.4 Canaux de notification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7C3AED"/>
          </w:tcPr>
          <w:p>
            <w:pPr>
              <w:jc w:val="center"/>
            </w:pPr>
            <w:r>
              <w:rPr>
                <w:b/>
                <w:color w:val="FFFFFF"/>
                <w:sz w:val="19"/>
              </w:rPr>
              <w:t>Canal</w:t>
            </w:r>
          </w:p>
        </w:tc>
        <w:tc>
          <w:tcPr>
            <w:tcW w:type="dxa" w:w="1938"/>
            <w:shd w:val="clear" w:color="auto" w:fill="7C3AED"/>
          </w:tcPr>
          <w:p>
            <w:pPr>
              <w:jc w:val="center"/>
            </w:pPr>
            <w:r>
              <w:rPr>
                <w:b/>
                <w:color w:val="FFFFFF"/>
                <w:sz w:val="19"/>
              </w:rPr>
              <w:t>Code</w:t>
            </w:r>
          </w:p>
        </w:tc>
        <w:tc>
          <w:tcPr>
            <w:tcW w:type="dxa" w:w="1938"/>
            <w:shd w:val="clear" w:color="auto" w:fill="7C3AED"/>
          </w:tcPr>
          <w:p>
            <w:pPr>
              <w:jc w:val="center"/>
            </w:pPr>
            <w:r>
              <w:rPr>
                <w:b/>
                <w:color w:val="FFFFFF"/>
                <w:sz w:val="19"/>
              </w:rPr>
              <w:t>Fournisseur</w:t>
            </w:r>
          </w:p>
        </w:tc>
        <w:tc>
          <w:tcPr>
            <w:tcW w:type="dxa" w:w="1938"/>
            <w:shd w:val="clear" w:color="auto" w:fill="7C3AED"/>
          </w:tcPr>
          <w:p>
            <w:pPr>
              <w:jc w:val="center"/>
            </w:pPr>
            <w:r>
              <w:rPr>
                <w:b/>
                <w:color w:val="FFFFFF"/>
                <w:sz w:val="19"/>
              </w:rPr>
              <w:t>Lien de confirmation</w:t>
            </w:r>
          </w:p>
        </w:tc>
        <w:tc>
          <w:tcPr>
            <w:tcW w:type="dxa" w:w="1938"/>
            <w:shd w:val="clear" w:color="auto" w:fill="7C3AED"/>
          </w:tcPr>
          <w:p>
            <w:pPr>
              <w:jc w:val="center"/>
            </w:pPr>
            <w:r>
              <w:rPr>
                <w:b/>
                <w:color w:val="FFFFFF"/>
                <w:sz w:val="19"/>
              </w:rPr>
              <w:t>Preuve légale</w:t>
            </w:r>
          </w:p>
        </w:tc>
      </w:tr>
      <w:tr>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Email</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EMAIL</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Django SMTP</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Lien UUID cliquable</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Oui — timestamp clic</w:t>
            </w:r>
          </w:p>
        </w:tc>
      </w:tr>
      <w:tr>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SMS</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SMS</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Orange CI / MTN CI / Moov Africa</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Lien court UUID</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Oui — timestamp clic</w:t>
            </w:r>
          </w:p>
        </w:tc>
      </w:tr>
      <w:tr>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Push mobile</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PUSH</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Django Channels / Firebase</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Deep link</w:t>
            </w:r>
          </w:p>
        </w:tc>
        <w:tc>
          <w:tcPr>
            <w:tcW w:type="dxa" w:w="1938"/>
            <w:shd w:val="clear" w:color="auto" w:fill="F9FAFB"/>
            <w:tcBorders>
              <w:top w:val="single" w:sz="4" w:space="0" w:color="E5E7EB"/>
              <w:left w:val="single" w:sz="4" w:space="0" w:color="E5E7EB"/>
              <w:bottom w:val="single" w:sz="4" w:space="0" w:color="E5E7EB"/>
              <w:right w:val="single" w:sz="4" w:space="0" w:color="E5E7EB"/>
            </w:tcBorders>
          </w:tcPr>
          <w:p>
            <w:r>
              <w:rPr>
                <w:sz w:val="19"/>
              </w:rPr>
              <w:t>Oui — timestamp push</w:t>
            </w:r>
          </w:p>
        </w:tc>
      </w:tr>
      <w:tr>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Confirmation manuelle</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MANUAL</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 en présentiel</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N/A</w:t>
            </w:r>
          </w:p>
        </w:tc>
        <w:tc>
          <w:tcPr>
            <w:tcW w:type="dxa" w:w="1938"/>
            <w:shd w:val="clear" w:color="auto" w:fill="FFFFFF"/>
            <w:tcBorders>
              <w:top w:val="single" w:sz="4" w:space="0" w:color="E5E7EB"/>
              <w:left w:val="single" w:sz="4" w:space="0" w:color="E5E7EB"/>
              <w:bottom w:val="single" w:sz="4" w:space="0" w:color="E5E7EB"/>
              <w:right w:val="single" w:sz="4" w:space="0" w:color="E5E7EB"/>
            </w:tcBorders>
          </w:tcPr>
          <w:p>
            <w:r>
              <w:rPr>
                <w:sz w:val="19"/>
              </w:rPr>
              <w:t>Oui — inspecteur signataire</w:t>
            </w:r>
          </w:p>
        </w:tc>
      </w:tr>
    </w:tbl>
    <w:p/>
    <w:p>
      <w:pPr>
        <w:spacing w:before="240" w:after="80"/>
      </w:pPr>
      <w:r>
        <w:rPr>
          <w:b/>
          <w:color w:val="1D4ED8"/>
          <w:sz w:val="26"/>
        </w:rPr>
        <w:t>6.5 API de convocation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0F766E"/>
          </w:tcPr>
          <w:p>
            <w:pPr>
              <w:jc w:val="center"/>
            </w:pPr>
            <w:r>
              <w:rPr>
                <w:b/>
                <w:color w:val="FFFFFF"/>
                <w:sz w:val="19"/>
              </w:rPr>
              <w:t>Action</w:t>
            </w:r>
          </w:p>
        </w:tc>
        <w:tc>
          <w:tcPr>
            <w:tcW w:type="dxa" w:w="2422"/>
            <w:shd w:val="clear" w:color="auto" w:fill="0F766E"/>
          </w:tcPr>
          <w:p>
            <w:pPr>
              <w:jc w:val="center"/>
            </w:pPr>
            <w:r>
              <w:rPr>
                <w:b/>
                <w:color w:val="FFFFFF"/>
                <w:sz w:val="19"/>
              </w:rPr>
              <w:t>Méthode</w:t>
            </w:r>
          </w:p>
        </w:tc>
        <w:tc>
          <w:tcPr>
            <w:tcW w:type="dxa" w:w="2422"/>
            <w:shd w:val="clear" w:color="auto" w:fill="0F766E"/>
          </w:tcPr>
          <w:p>
            <w:pPr>
              <w:jc w:val="center"/>
            </w:pPr>
            <w:r>
              <w:rPr>
                <w:b/>
                <w:color w:val="FFFFFF"/>
                <w:sz w:val="19"/>
              </w:rPr>
              <w:t>Endpoint</w:t>
            </w:r>
          </w:p>
        </w:tc>
        <w:tc>
          <w:tcPr>
            <w:tcW w:type="dxa" w:w="2422"/>
            <w:shd w:val="clear" w:color="auto" w:fill="0F766E"/>
          </w:tcPr>
          <w:p>
            <w:pPr>
              <w:jc w:val="center"/>
            </w:pPr>
            <w:r>
              <w:rPr>
                <w:b/>
                <w:color w:val="FFFFFF"/>
                <w:sz w:val="19"/>
              </w:rPr>
              <w:t>Permission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Envoyer convocations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/mediations/sessions/{id}/convoke/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Accuser réception (lien)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/mediations/sessions/acknowledge/{token}/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Public (sans auth)</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Confirmer manuellement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/mediations/sessions/{id}/manual_acknowledge/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Relancer</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/mediations/sessions/{id}/relance/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Voir en attente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/mediations/sessions/pending_acknowledgment/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bl>
    <w:p/>
    <w:p>
      <w:pPr>
        <w:spacing w:before="240" w:after="80"/>
      </w:pPr>
      <w:r>
        <w:rPr>
          <w:b/>
          <w:color w:val="1D4ED8"/>
          <w:sz w:val="26"/>
        </w:rPr>
        <w:t>6.6 Rotation des canaux lors des relances</w:t>
      </w:r>
    </w:p>
    <w:p>
      <w:pPr>
        <w:spacing w:after="80" w:before="0"/>
      </w:pPr>
      <w:r>
        <w:rPr>
          <w:i w:val="0"/>
          <w:sz w:val="21"/>
        </w:rPr>
        <w:t>Pour maximiser les chances d'atteindre l'employeur, les relances utilisent une rotation de canaux :</w:t>
      </w:r>
    </w:p>
    <w:p>
      <w:pPr>
        <w:pStyle w:val="ListBullet"/>
        <w:spacing w:after="40" w:before="0"/>
      </w:pPr>
      <w:r>
        <w:rPr>
          <w:sz w:val="21"/>
        </w:rPr>
        <w:t>• Relance n°1 (48h après la 1ère convocation) → EMAIL</w:t>
      </w:r>
    </w:p>
    <w:p>
      <w:pPr>
        <w:pStyle w:val="ListBullet"/>
        <w:spacing w:after="40" w:before="0"/>
      </w:pPr>
      <w:r>
        <w:rPr>
          <w:sz w:val="21"/>
        </w:rPr>
        <w:t>• Relance n°2 (24h après) → SMS</w:t>
      </w:r>
    </w:p>
    <w:p>
      <w:pPr>
        <w:pStyle w:val="ListBullet"/>
        <w:spacing w:after="40" w:before="0"/>
      </w:pPr>
      <w:r>
        <w:rPr>
          <w:sz w:val="21"/>
        </w:rPr>
        <w:t>• Relance n°3 (24h après) → PUSH</w:t>
      </w:r>
    </w:p>
    <w:p>
      <w:pPr>
        <w:pStyle w:val="ListBullet"/>
        <w:spacing w:after="40" w:before="0"/>
      </w:pPr>
      <w:r>
        <w:rPr>
          <w:sz w:val="21"/>
        </w:rPr>
        <w:t>• Au-delà de 3 relances → escalade automatique à la hiérarchie</w:t>
      </w:r>
    </w:p>
    <w:p>
      <w:r>
        <w:br w:type="page"/>
      </w:r>
    </w:p>
    <w:p>
      <w:pPr>
        <w:spacing w:before="360" w:after="120"/>
        <w:pBdr>
          <w:bottom w:val="single" w:sz="8" w:space="2" w:color="F47E1C"/>
        </w:pBdr>
      </w:pPr>
      <w:r>
        <w:rPr>
          <w:b/>
          <w:color w:val="F47E1C"/>
          <w:sz w:val="32"/>
        </w:rPr>
        <w:t>7. GESTION DES NON-COMPARUTIONS (EMPLOYEUR ABSENT)</w:t>
      </w:r>
    </w:p>
    <w:p>
      <w:pPr>
        <w:spacing w:before="240" w:after="80"/>
      </w:pPr>
      <w:r>
        <w:rPr>
          <w:b/>
          <w:color w:val="1D4ED8"/>
          <w:sz w:val="26"/>
        </w:rPr>
        <w:t>7.1 Cadre légal</w:t>
      </w:r>
    </w:p>
    <w:p>
      <w:pPr>
        <w:spacing w:after="80" w:before="0"/>
      </w:pPr>
      <w:r>
        <w:rPr>
          <w:i w:val="0"/>
          <w:sz w:val="21"/>
        </w:rPr>
        <w:t>Conformément au Code du Travail ivoirien (Loi n° 2015-532), le refus de comparaître devant l'Inspection du Travail après convocation régulière constitue une infraction passible de sanctions pécuniaires et peut entraîner l'engagement de poursuites judiciaires.</w:t>
      </w:r>
    </w:p>
    <w:p>
      <w:pPr>
        <w:spacing w:before="240" w:after="80"/>
      </w:pPr>
      <w:r>
        <w:rPr>
          <w:b/>
          <w:color w:val="1D4ED8"/>
          <w:sz w:val="26"/>
        </w:rPr>
        <w:t>7.2 Processus de constat de non-comparution</w:t>
      </w:r>
    </w:p>
    <w:p>
      <w:pPr>
        <w:pStyle w:val="ListBullet"/>
        <w:spacing w:after="40" w:before="0"/>
      </w:pPr>
      <w:r>
        <w:rPr>
          <w:sz w:val="21"/>
        </w:rPr>
        <w:t>• 1. Le jour de la séance, si l'employeur ne se présente pas, l'inspecteur attend 30 minutes (délai de tolérance).</w:t>
      </w:r>
    </w:p>
    <w:p>
      <w:pPr>
        <w:pStyle w:val="ListBullet"/>
        <w:spacing w:after="40" w:before="0"/>
      </w:pPr>
      <w:r>
        <w:rPr>
          <w:sz w:val="21"/>
        </w:rPr>
        <w:t>• 2. Il ouvre l'interface d'administration ou l'application mobile.</w:t>
      </w:r>
    </w:p>
    <w:p>
      <w:pPr>
        <w:pStyle w:val="ListBullet"/>
        <w:spacing w:after="40" w:before="0"/>
      </w:pPr>
      <w:r>
        <w:rPr>
          <w:sz w:val="21"/>
        </w:rPr>
        <w:t>• 3. Il clique "Constater la non-comparution" sur la séance concernée.</w:t>
      </w:r>
    </w:p>
    <w:p>
      <w:pPr>
        <w:pStyle w:val="ListBullet"/>
        <w:spacing w:after="40" w:before="0"/>
      </w:pPr>
      <w:r>
        <w:rPr>
          <w:sz w:val="21"/>
        </w:rPr>
        <w:t>• 4. Il remplit le formulaire : notes circonstanciées, cocher "Ouvrir PV d'infraction" si souhaité, cocher "Escalader à la hiérarchie".</w:t>
      </w:r>
    </w:p>
    <w:p>
      <w:pPr>
        <w:pStyle w:val="ListBullet"/>
        <w:spacing w:after="40" w:before="0"/>
      </w:pPr>
      <w:r>
        <w:rPr>
          <w:sz w:val="21"/>
        </w:rPr>
        <w:t>• 5. Il soumet via POST /mediations/sessions/{id}/report_no_show/.</w:t>
      </w:r>
    </w:p>
    <w:p>
      <w:pPr>
        <w:pStyle w:val="ListBullet"/>
        <w:spacing w:after="40" w:before="0"/>
      </w:pPr>
      <w:r>
        <w:rPr>
          <w:sz w:val="21"/>
        </w:rPr>
        <w:t>• 6. Le système effectue automatiquement les actions ci-dessous.</w:t>
      </w:r>
    </w:p>
    <w:p>
      <w:pPr>
        <w:spacing w:before="240" w:after="80"/>
      </w:pPr>
      <w:r>
        <w:rPr>
          <w:b/>
          <w:color w:val="1D4ED8"/>
          <w:sz w:val="26"/>
        </w:rPr>
        <w:t>7.3 Actions automatiques déclenchées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DC2626"/>
          </w:tcPr>
          <w:p>
            <w:pPr>
              <w:jc w:val="center"/>
            </w:pPr>
            <w:r>
              <w:rPr>
                <w:b/>
                <w:color w:val="FFFFFF"/>
                <w:sz w:val="19"/>
              </w:rPr>
              <w:t>Action</w:t>
            </w:r>
          </w:p>
        </w:tc>
        <w:tc>
          <w:tcPr>
            <w:tcW w:type="dxa" w:w="3230"/>
            <w:shd w:val="clear" w:color="auto" w:fill="DC2626"/>
          </w:tcPr>
          <w:p>
            <w:pPr>
              <w:jc w:val="center"/>
            </w:pPr>
            <w:r>
              <w:rPr>
                <w:b/>
                <w:color w:val="FFFFFF"/>
                <w:sz w:val="19"/>
              </w:rPr>
              <w:t>Détail</w:t>
            </w:r>
          </w:p>
        </w:tc>
        <w:tc>
          <w:tcPr>
            <w:tcW w:type="dxa" w:w="3230"/>
            <w:shd w:val="clear" w:color="auto" w:fill="DC2626"/>
          </w:tcPr>
          <w:p>
            <w:pPr>
              <w:jc w:val="center"/>
            </w:pPr>
            <w:r>
              <w:rPr>
                <w:b/>
                <w:color w:val="FFFFFF"/>
                <w:sz w:val="19"/>
              </w:rPr>
              <w:t>Acteur</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Enregistrement</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employer_no_show=True, no_show_reported_at=now, no_show_reported_by=inspecteur</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Statut plainte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Plainte → ESCALATED (ou JUDICIAL si open_infraction_pv)</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Score conformité</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compliance_score de l'entreprise − 15 points</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PV de carence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Document MediationDocument de type PV_CARENCE généré et attaché à la séance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PV d'infraction</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Si open_infraction_pv=True → MediationDocument de type INFRACTION créé</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Notification hiérarchie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Chef d'Inspection et Directeur Régional notifiés par email et notification in-app</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Système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Alerte tableau de bord</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Compteur "Non-comparutions" incrémenté dans les KPIs de l'interface admin</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Système</w:t>
            </w:r>
          </w:p>
        </w:tc>
      </w:tr>
    </w:tbl>
    <w:p/>
    <w:p>
      <w:pPr>
        <w:spacing w:before="240" w:after="80"/>
      </w:pPr>
      <w:r>
        <w:rPr>
          <w:b/>
          <w:color w:val="1D4ED8"/>
          <w:sz w:val="26"/>
        </w:rPr>
        <w:t>7.4 Escalade automatique (Celery)</w:t>
      </w:r>
    </w:p>
    <w:p>
      <w:pPr>
        <w:spacing w:after="80" w:before="0"/>
      </w:pPr>
      <w:r>
        <w:rPr>
          <w:i w:val="0"/>
          <w:sz w:val="21"/>
        </w:rPr>
        <w:t>La tâche Celery check_convocation_deadlines s'exécute tous les jours à 07h00 et escalade automatiquement les séances dont l'employeur n'a pas accusé réception après 3 tentatives de relance sur une période de 96 heures (48h initiale + 3 × 24h).</w:t>
      </w:r>
    </w:p>
    <w:p>
      <w:pPr>
        <w:spacing w:before="240" w:after="80"/>
      </w:pPr>
      <w:r>
        <w:rPr>
          <w:b/>
          <w:color w:val="1D4ED8"/>
          <w:sz w:val="26"/>
        </w:rPr>
        <w:t>7.5 Tableau de bord des non-comparutions</w:t>
      </w:r>
    </w:p>
    <w:p>
      <w:pPr>
        <w:spacing w:after="80" w:before="0"/>
      </w:pPr>
      <w:r>
        <w:rPr>
          <w:i w:val="0"/>
          <w:sz w:val="21"/>
        </w:rPr>
        <w:t>L'interface d'administration affiche :</w:t>
      </w:r>
    </w:p>
    <w:p>
      <w:pPr>
        <w:pStyle w:val="ListBullet"/>
        <w:spacing w:after="40" w:before="0"/>
      </w:pPr>
      <w:r>
        <w:rPr>
          <w:sz w:val="21"/>
        </w:rPr>
        <w:t>• KPI "Non-comparutions" (rouge) — cliquable pour filtrer les séances concernées</w:t>
      </w:r>
    </w:p>
    <w:p>
      <w:pPr>
        <w:pStyle w:val="ListBullet"/>
        <w:spacing w:after="40" w:before="0"/>
      </w:pPr>
      <w:r>
        <w:rPr>
          <w:sz w:val="21"/>
        </w:rPr>
        <w:t>• KPI "Sans accusé de réception" (orange) — séances dont l'employeur n'a pas répondu</w:t>
      </w:r>
    </w:p>
    <w:p>
      <w:pPr>
        <w:pStyle w:val="ListBullet"/>
        <w:spacing w:after="40" w:before="0"/>
      </w:pPr>
      <w:r>
        <w:rPr>
          <w:sz w:val="21"/>
        </w:rPr>
        <w:t>• Fond rouge pâle sur les lignes de séance avec employer_no_show=True</w:t>
      </w:r>
    </w:p>
    <w:p>
      <w:pPr>
        <w:pStyle w:val="ListBullet"/>
        <w:spacing w:after="40" w:before="0"/>
      </w:pPr>
      <w:r>
        <w:rPr>
          <w:sz w:val="21"/>
        </w:rPr>
        <w:t>• Bouton "Non-comparution" (rouge) sur chaque séance éligible</w:t>
      </w:r>
    </w:p>
    <w:p>
      <w:r>
        <w:br w:type="page"/>
      </w:r>
    </w:p>
    <w:p>
      <w:pPr>
        <w:spacing w:before="360" w:after="120"/>
        <w:pBdr>
          <w:bottom w:val="single" w:sz="8" w:space="2" w:color="F47E1C"/>
        </w:pBdr>
      </w:pPr>
      <w:r>
        <w:rPr>
          <w:b/>
          <w:color w:val="F47E1C"/>
          <w:sz w:val="32"/>
        </w:rPr>
        <w:t>8. WORKFLOW DES ACCORDS</w:t>
      </w:r>
    </w:p>
    <w:p>
      <w:pPr>
        <w:spacing w:before="240" w:after="80"/>
      </w:pPr>
      <w:r>
        <w:rPr>
          <w:b/>
          <w:color w:val="1D4ED8"/>
          <w:sz w:val="26"/>
        </w:rPr>
        <w:t>8.1 Cycle de vie d'un accord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166534"/>
          </w:tcPr>
          <w:p>
            <w:pPr>
              <w:jc w:val="center"/>
            </w:pPr>
            <w:r>
              <w:rPr>
                <w:b/>
                <w:color w:val="FFFFFF"/>
                <w:sz w:val="18"/>
              </w:rPr>
              <w:t>DRAFT</w:t>
              <w:br/>
              <w:t>(Brouillon)</w:t>
            </w:r>
          </w:p>
        </w:tc>
        <w:tc>
          <w:tcPr>
            <w:tcW w:type="dxa" w:w="1938"/>
            <w:shd w:val="clear" w:color="auto" w:fill="166534"/>
          </w:tcPr>
          <w:p>
            <w:pPr>
              <w:jc w:val="center"/>
            </w:pPr>
            <w:r>
              <w:rPr>
                <w:b/>
                <w:color w:val="FFFFFF"/>
                <w:sz w:val="18"/>
              </w:rPr>
              <w:t>PENDING_SIGNATURE</w:t>
              <w:br/>
              <w:t>(En attente)</w:t>
            </w:r>
          </w:p>
        </w:tc>
        <w:tc>
          <w:tcPr>
            <w:tcW w:type="dxa" w:w="1938"/>
            <w:shd w:val="clear" w:color="auto" w:fill="166534"/>
          </w:tcPr>
          <w:p>
            <w:pPr>
              <w:jc w:val="center"/>
            </w:pPr>
            <w:r>
              <w:rPr>
                <w:b/>
                <w:color w:val="FFFFFF"/>
                <w:sz w:val="18"/>
              </w:rPr>
              <w:t>SIGNED</w:t>
              <w:br/>
              <w:t>(Signé)</w:t>
            </w:r>
          </w:p>
        </w:tc>
        <w:tc>
          <w:tcPr>
            <w:tcW w:type="dxa" w:w="1938"/>
            <w:shd w:val="clear" w:color="auto" w:fill="166534"/>
          </w:tcPr>
          <w:p>
            <w:pPr>
              <w:jc w:val="center"/>
            </w:pPr>
            <w:r>
              <w:rPr>
                <w:b/>
                <w:color w:val="FFFFFF"/>
                <w:sz w:val="18"/>
              </w:rPr>
              <w:t>EXECUTED</w:t>
              <w:br/>
              <w:t>(Exécuté)</w:t>
            </w:r>
          </w:p>
        </w:tc>
        <w:tc>
          <w:tcPr>
            <w:tcW w:type="dxa" w:w="1938"/>
            <w:shd w:val="clear" w:color="auto" w:fill="166534"/>
          </w:tcPr>
          <w:p>
            <w:pPr>
              <w:jc w:val="center"/>
            </w:pPr>
            <w:r>
              <w:rPr>
                <w:b/>
                <w:color w:val="FFFFFF"/>
                <w:sz w:val="18"/>
              </w:rPr>
              <w:t>BREACHED</w:t>
              <w:br/>
              <w:t>(Rompu)</w:t>
            </w:r>
          </w:p>
        </w:tc>
      </w:tr>
      <w:tr>
        <w:tc>
          <w:tcPr>
            <w:tcW w:type="dxa" w:w="1938"/>
            <w:shd w:val="clear" w:color="auto" w:fill="F0FDF4"/>
          </w:tcPr>
          <w:p>
            <w:pPr>
              <w:jc w:val="center"/>
            </w:pPr>
            <w:r>
              <w:rPr>
                <w:sz w:val="17"/>
              </w:rPr>
              <w:t>Accord rédigé</w:t>
              <w:br/>
              <w:t>par le médiateur</w:t>
            </w:r>
          </w:p>
        </w:tc>
        <w:tc>
          <w:tcPr>
            <w:tcW w:type="dxa" w:w="1938"/>
            <w:shd w:val="clear" w:color="auto" w:fill="F0FDF4"/>
          </w:tcPr>
          <w:p>
            <w:pPr>
              <w:jc w:val="center"/>
            </w:pPr>
            <w:r>
              <w:rPr>
                <w:sz w:val="17"/>
              </w:rPr>
              <w:t>Envoyé aux</w:t>
              <w:br/>
              <w:t>parties pour signature</w:t>
            </w:r>
          </w:p>
        </w:tc>
        <w:tc>
          <w:tcPr>
            <w:tcW w:type="dxa" w:w="1938"/>
            <w:shd w:val="clear" w:color="auto" w:fill="F0FDF4"/>
          </w:tcPr>
          <w:p>
            <w:pPr>
              <w:jc w:val="center"/>
            </w:pPr>
            <w:r>
              <w:rPr>
                <w:sz w:val="17"/>
              </w:rPr>
              <w:t>Toutes signatures</w:t>
              <w:br/>
              <w:t>recueillies</w:t>
            </w:r>
          </w:p>
        </w:tc>
        <w:tc>
          <w:tcPr>
            <w:tcW w:type="dxa" w:w="1938"/>
            <w:shd w:val="clear" w:color="auto" w:fill="F0FDF4"/>
          </w:tcPr>
          <w:p>
            <w:pPr>
              <w:jc w:val="center"/>
            </w:pPr>
            <w:r>
              <w:rPr>
                <w:sz w:val="17"/>
              </w:rPr>
              <w:t>Obligations</w:t>
              <w:br/>
              <w:t>respectées</w:t>
            </w:r>
          </w:p>
        </w:tc>
        <w:tc>
          <w:tcPr>
            <w:tcW w:type="dxa" w:w="1938"/>
            <w:shd w:val="clear" w:color="auto" w:fill="F0FDF4"/>
          </w:tcPr>
          <w:p>
            <w:pPr>
              <w:jc w:val="center"/>
            </w:pPr>
            <w:r>
              <w:rPr>
                <w:sz w:val="17"/>
              </w:rPr>
              <w:t>Non-respect</w:t>
              <w:br/>
              <w:t>d'une obligation</w:t>
            </w:r>
          </w:p>
        </w:tc>
      </w:tr>
    </w:tbl>
    <w:p/>
    <w:p>
      <w:pPr>
        <w:spacing w:before="240" w:after="80"/>
      </w:pPr>
      <w:r>
        <w:rPr>
          <w:b/>
          <w:color w:val="1D4ED8"/>
          <w:sz w:val="26"/>
        </w:rPr>
        <w:t>8.2 Création et signature de l'accord</w:t>
      </w:r>
    </w:p>
    <w:p>
      <w:pPr>
        <w:pStyle w:val="ListBullet"/>
        <w:spacing w:after="40" w:before="0"/>
      </w:pPr>
      <w:r>
        <w:rPr>
          <w:sz w:val="21"/>
        </w:rPr>
        <w:t>• 1. L'inspecteur rédige le texte de l'accord (termes, obligations des deux parties, délai d'exécution, montant indemnité si applicable).</w:t>
      </w:r>
    </w:p>
    <w:p>
      <w:pPr>
        <w:pStyle w:val="ListBullet"/>
        <w:spacing w:after="40" w:before="0"/>
      </w:pPr>
      <w:r>
        <w:rPr>
          <w:sz w:val="21"/>
        </w:rPr>
        <w:t>• 2. Via POST /mediations/agreements/, l'accord est créé en statut DRAFT.</w:t>
      </w:r>
    </w:p>
    <w:p>
      <w:pPr>
        <w:pStyle w:val="ListBullet"/>
        <w:spacing w:after="40" w:before="0"/>
      </w:pPr>
      <w:r>
        <w:rPr>
          <w:sz w:val="21"/>
        </w:rPr>
        <w:t>• 3. Il est passé en PENDING_SIGNATURE via l'action sign_agreement.</w:t>
      </w:r>
    </w:p>
    <w:p>
      <w:pPr>
        <w:pStyle w:val="ListBullet"/>
        <w:spacing w:after="40" w:before="0"/>
      </w:pPr>
      <w:r>
        <w:rPr>
          <w:sz w:val="21"/>
        </w:rPr>
        <w:t>• 4. Le travailleur signe via POST /mediations/agreements/{id}/sign/ (signer_role=employee + signature image).</w:t>
      </w:r>
    </w:p>
    <w:p>
      <w:pPr>
        <w:pStyle w:val="ListBullet"/>
        <w:spacing w:after="40" w:before="0"/>
      </w:pPr>
      <w:r>
        <w:rPr>
          <w:sz w:val="21"/>
        </w:rPr>
        <w:t>• 5. L'employeur signe de la même manière (signer_role=employer).</w:t>
      </w:r>
    </w:p>
    <w:p>
      <w:pPr>
        <w:pStyle w:val="ListBullet"/>
        <w:spacing w:after="40" w:before="0"/>
      </w:pPr>
      <w:r>
        <w:rPr>
          <w:sz w:val="21"/>
        </w:rPr>
        <w:t>• 6. Le médiateur signe en dernier (signer_role=mediator).</w:t>
      </w:r>
    </w:p>
    <w:p>
      <w:pPr>
        <w:pStyle w:val="ListBullet"/>
        <w:spacing w:after="40" w:before="0"/>
      </w:pPr>
      <w:r>
        <w:rPr>
          <w:sz w:val="21"/>
        </w:rPr>
        <w:t>• 7. Dès que les 3 signatures sont collectées (is_fully_signed=True) → statut SIGNED.</w:t>
      </w:r>
    </w:p>
    <w:p>
      <w:pPr>
        <w:pStyle w:val="ListBullet"/>
        <w:spacing w:after="40" w:before="0"/>
      </w:pPr>
      <w:r>
        <w:rPr>
          <w:sz w:val="21"/>
        </w:rPr>
        <w:t>• 8. Un PDF de l'accord signé est généré automatiquement et archivé.</w:t>
      </w:r>
    </w:p>
    <w:p>
      <w:pPr>
        <w:spacing w:before="240" w:after="80"/>
      </w:pPr>
      <w:r>
        <w:rPr>
          <w:b/>
          <w:color w:val="1D4ED8"/>
          <w:sz w:val="26"/>
        </w:rPr>
        <w:t>8.3 Suivi de l'exécution</w:t>
      </w:r>
    </w:p>
    <w:p>
      <w:pPr>
        <w:spacing w:after="80" w:before="0"/>
      </w:pPr>
      <w:r>
        <w:rPr>
          <w:i w:val="0"/>
          <w:sz w:val="21"/>
        </w:rPr>
        <w:t>La tâche Celery check_agreement_execution_deadlines s'exécute chaque jour à 08h00 et envoie des rappels au médiateur et au plaignant si le délai d'exécution approche ou est dépassé. En cas de non-respect constaté :</w:t>
      </w:r>
    </w:p>
    <w:p>
      <w:pPr>
        <w:pStyle w:val="ListBullet"/>
        <w:spacing w:after="40" w:before="0"/>
      </w:pPr>
      <w:r>
        <w:rPr>
          <w:sz w:val="21"/>
        </w:rPr>
        <w:t>• L'inspecteur marque l'accord comme rompu via POST /mediations/agreements/{id}/mark_breached/.</w:t>
      </w:r>
    </w:p>
    <w:p>
      <w:pPr>
        <w:pStyle w:val="ListBullet"/>
        <w:spacing w:after="40" w:before="0"/>
      </w:pPr>
      <w:r>
        <w:rPr>
          <w:sz w:val="21"/>
        </w:rPr>
        <w:t>• Le statut de l'accord passe à BREACHED.</w:t>
      </w:r>
    </w:p>
    <w:p>
      <w:pPr>
        <w:pStyle w:val="ListBullet"/>
        <w:spacing w:after="40" w:before="0"/>
      </w:pPr>
      <w:r>
        <w:rPr>
          <w:sz w:val="21"/>
        </w:rPr>
        <w:t>• Le statut de la plainte passe automatiquement à JUDICIAL.</w:t>
      </w:r>
    </w:p>
    <w:p>
      <w:pPr>
        <w:pStyle w:val="ListBullet"/>
        <w:spacing w:after="40" w:before="0"/>
      </w:pPr>
      <w:r>
        <w:rPr>
          <w:sz w:val="21"/>
        </w:rPr>
        <w:t>• Le médiateur et le Chef d'Inspection sont notifiés.</w:t>
      </w:r>
    </w:p>
    <w:p>
      <w:r>
        <w:br w:type="page"/>
      </w:r>
    </w:p>
    <w:p>
      <w:pPr>
        <w:spacing w:before="360" w:after="120"/>
        <w:pBdr>
          <w:bottom w:val="single" w:sz="8" w:space="2" w:color="F47E1C"/>
        </w:pBdr>
      </w:pPr>
      <w:r>
        <w:rPr>
          <w:b/>
          <w:color w:val="F47E1C"/>
          <w:sz w:val="32"/>
        </w:rPr>
        <w:t>9. PROCÉDURES JUDICIAIRES ET ESCALADE</w:t>
      </w:r>
    </w:p>
    <w:p>
      <w:pPr>
        <w:spacing w:before="240" w:after="80"/>
      </w:pPr>
      <w:r>
        <w:rPr>
          <w:b/>
          <w:color w:val="1D4ED8"/>
          <w:sz w:val="26"/>
        </w:rPr>
        <w:t>9.1 Cas de renvoi judiciaire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7C3AED"/>
          </w:tcPr>
          <w:p>
            <w:pPr>
              <w:jc w:val="center"/>
            </w:pPr>
            <w:r>
              <w:rPr>
                <w:b/>
                <w:color w:val="FFFFFF"/>
                <w:sz w:val="19"/>
              </w:rPr>
              <w:t>Déclencheur</w:t>
            </w:r>
          </w:p>
        </w:tc>
        <w:tc>
          <w:tcPr>
            <w:tcW w:type="dxa" w:w="3230"/>
            <w:shd w:val="clear" w:color="auto" w:fill="7C3AED"/>
          </w:tcPr>
          <w:p>
            <w:pPr>
              <w:jc w:val="center"/>
            </w:pPr>
            <w:r>
              <w:rPr>
                <w:b/>
                <w:color w:val="FFFFFF"/>
                <w:sz w:val="19"/>
              </w:rPr>
              <w:t>Statut plainte</w:t>
            </w:r>
          </w:p>
        </w:tc>
        <w:tc>
          <w:tcPr>
            <w:tcW w:type="dxa" w:w="3230"/>
            <w:shd w:val="clear" w:color="auto" w:fill="7C3AED"/>
          </w:tcPr>
          <w:p>
            <w:pPr>
              <w:jc w:val="center"/>
            </w:pPr>
            <w:r>
              <w:rPr>
                <w:b/>
                <w:color w:val="FFFFFF"/>
                <w:sz w:val="19"/>
              </w:rPr>
              <w:t>Action requise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Médiation sans accord</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JUDICIAL</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Dossier transmis au Tribunal du Travail d'Abidjan ou tribunal régional compétent</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Accord rompu par l'employeur</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JUDICIAL</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Engagement de poursuites judiciaires + transmission au parquet du travail</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Non-comparution × 3 après escalade</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ESCALATED</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Chef d'Inspection peut décider du renvoi judiciaire</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Infraction grave constatée en médiation</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JUDICIAL</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Ouverture d'un PV d'infraction séparé</w:t>
            </w:r>
          </w:p>
        </w:tc>
      </w:tr>
    </w:tbl>
    <w:p/>
    <w:p>
      <w:pPr>
        <w:spacing w:before="240" w:after="80"/>
      </w:pPr>
      <w:r>
        <w:rPr>
          <w:b/>
          <w:color w:val="1D4ED8"/>
          <w:sz w:val="26"/>
        </w:rPr>
        <w:t>9.2 Procédure d'escalade hiérarchique</w:t>
      </w:r>
    </w:p>
    <w:p>
      <w:pPr>
        <w:pStyle w:val="ListBullet"/>
        <w:spacing w:after="40" w:before="0"/>
      </w:pPr>
      <w:r>
        <w:rPr>
          <w:sz w:val="21"/>
        </w:rPr>
        <w:t>• 1. L'inspecteur ou le système (Celery) déclenche l'escalade.</w:t>
      </w:r>
    </w:p>
    <w:p>
      <w:pPr>
        <w:pStyle w:val="ListBullet"/>
        <w:spacing w:after="40" w:before="0"/>
      </w:pPr>
      <w:r>
        <w:rPr>
          <w:sz w:val="21"/>
        </w:rPr>
        <w:t>• 2. Une notification ComplaintNotification est créée pour le Chef d'Inspection.</w:t>
      </w:r>
    </w:p>
    <w:p>
      <w:pPr>
        <w:pStyle w:val="ListBullet"/>
        <w:spacing w:after="40" w:before="0"/>
      </w:pPr>
      <w:r>
        <w:rPr>
          <w:sz w:val="21"/>
        </w:rPr>
        <w:t>• 3. Le Chef d'Inspection reçoit un email et une notification in-app avec résumé du dossier.</w:t>
      </w:r>
    </w:p>
    <w:p>
      <w:pPr>
        <w:pStyle w:val="ListBullet"/>
        <w:spacing w:after="40" w:before="0"/>
      </w:pPr>
      <w:r>
        <w:rPr>
          <w:sz w:val="21"/>
        </w:rPr>
        <w:t>• 4. Si le Chef d'Inspection ne traite pas sous 48h, l'escalade monte au Directeur Régional.</w:t>
      </w:r>
    </w:p>
    <w:p>
      <w:pPr>
        <w:pStyle w:val="ListBullet"/>
        <w:spacing w:after="40" w:before="0"/>
      </w:pPr>
      <w:r>
        <w:rPr>
          <w:sz w:val="21"/>
        </w:rPr>
        <w:t>• 5. En cas d'urgence, le Directeur Général est informé directement.</w:t>
      </w:r>
    </w:p>
    <w:p>
      <w:pPr>
        <w:spacing w:before="240" w:after="80"/>
      </w:pPr>
      <w:r>
        <w:rPr>
          <w:b/>
          <w:color w:val="1D4ED8"/>
          <w:sz w:val="26"/>
        </w:rPr>
        <w:t>9.3 Score de conformité des entreprises</w:t>
      </w:r>
    </w:p>
    <w:p>
      <w:pPr>
        <w:spacing w:after="80" w:before="0"/>
      </w:pPr>
      <w:r>
        <w:rPr>
          <w:i w:val="0"/>
          <w:sz w:val="21"/>
        </w:rPr>
        <w:t>Le système maintient un score de conformité (compliance_score) pour chaque entreprise. Ce score est décrémenté automatiquement lors des infractions :</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DC2626"/>
          </w:tcPr>
          <w:p>
            <w:pPr>
              <w:jc w:val="center"/>
            </w:pPr>
            <w:r>
              <w:rPr>
                <w:b/>
                <w:color w:val="FFFFFF"/>
                <w:sz w:val="19"/>
              </w:rPr>
              <w:t>Infraction</w:t>
            </w:r>
          </w:p>
        </w:tc>
        <w:tc>
          <w:tcPr>
            <w:tcW w:type="dxa" w:w="3230"/>
            <w:shd w:val="clear" w:color="auto" w:fill="DC2626"/>
          </w:tcPr>
          <w:p>
            <w:pPr>
              <w:jc w:val="center"/>
            </w:pPr>
            <w:r>
              <w:rPr>
                <w:b/>
                <w:color w:val="FFFFFF"/>
                <w:sz w:val="19"/>
              </w:rPr>
              <w:t>Impact score</w:t>
            </w:r>
          </w:p>
        </w:tc>
        <w:tc>
          <w:tcPr>
            <w:tcW w:type="dxa" w:w="3230"/>
            <w:shd w:val="clear" w:color="auto" w:fill="DC2626"/>
          </w:tcPr>
          <w:p>
            <w:pPr>
              <w:jc w:val="center"/>
            </w:pPr>
            <w:r>
              <w:rPr>
                <w:b/>
                <w:color w:val="FFFFFF"/>
                <w:sz w:val="19"/>
              </w:rPr>
              <w:t>Seuil d'alerte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Non-comparution à une séance de médiation</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−15 points</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Score &lt; 50 → signalement automatique DGT</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Accord de médiation rompu</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−20 points</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Score &lt; 30 → mise sous surveillance renforcée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Récidive sur même type d'infraction</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−10 points additionnels</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r>
          </w:p>
        </w:tc>
      </w:tr>
    </w:tbl>
    <w:p/>
    <w:p>
      <w:r>
        <w:br w:type="page"/>
      </w:r>
    </w:p>
    <w:p>
      <w:pPr>
        <w:spacing w:before="360" w:after="120"/>
        <w:pBdr>
          <w:bottom w:val="single" w:sz="8" w:space="2" w:color="F47E1C"/>
        </w:pBdr>
      </w:pPr>
      <w:r>
        <w:rPr>
          <w:b/>
          <w:color w:val="F47E1C"/>
          <w:sz w:val="32"/>
        </w:rPr>
        <w:t>10. TÂCHES CELERY AUTOMATIQUES</w:t>
      </w:r>
    </w:p>
    <w:p>
      <w:pPr>
        <w:spacing w:before="240" w:after="80"/>
      </w:pPr>
      <w:r>
        <w:rPr>
          <w:b/>
          <w:color w:val="1D4ED8"/>
          <w:sz w:val="26"/>
        </w:rPr>
        <w:t>10.1 Planification des tâches (CELERYBEAT_SCHEDULE)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F47E1C"/>
          </w:tcPr>
          <w:p>
            <w:pPr>
              <w:jc w:val="center"/>
            </w:pPr>
            <w:r>
              <w:rPr>
                <w:b/>
                <w:color w:val="FFFFFF"/>
                <w:sz w:val="19"/>
              </w:rPr>
              <w:t>Tâche</w:t>
            </w:r>
          </w:p>
        </w:tc>
        <w:tc>
          <w:tcPr>
            <w:tcW w:type="dxa" w:w="2422"/>
            <w:shd w:val="clear" w:color="auto" w:fill="F47E1C"/>
          </w:tcPr>
          <w:p>
            <w:pPr>
              <w:jc w:val="center"/>
            </w:pPr>
            <w:r>
              <w:rPr>
                <w:b/>
                <w:color w:val="FFFFFF"/>
                <w:sz w:val="19"/>
              </w:rPr>
              <w:t>Heure (UTC = Abidjan)</w:t>
            </w:r>
          </w:p>
        </w:tc>
        <w:tc>
          <w:tcPr>
            <w:tcW w:type="dxa" w:w="2422"/>
            <w:shd w:val="clear" w:color="auto" w:fill="F47E1C"/>
          </w:tcPr>
          <w:p>
            <w:pPr>
              <w:jc w:val="center"/>
            </w:pPr>
            <w:r>
              <w:rPr>
                <w:b/>
                <w:color w:val="FFFFFF"/>
                <w:sz w:val="19"/>
              </w:rPr>
              <w:t>Fréquence</w:t>
            </w:r>
          </w:p>
        </w:tc>
        <w:tc>
          <w:tcPr>
            <w:tcW w:type="dxa" w:w="2422"/>
            <w:shd w:val="clear" w:color="auto" w:fill="F47E1C"/>
          </w:tcPr>
          <w:p>
            <w:pPr>
              <w:jc w:val="center"/>
            </w:pPr>
            <w:r>
              <w:rPr>
                <w:b/>
                <w:color w:val="FFFFFF"/>
                <w:sz w:val="19"/>
              </w:rPr>
              <w:t>Description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check_convocation_deadlines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07h00</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Quotidienne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Relance auto ou escalade des convocations sans réponse après délai</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send_session_reminders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06h30</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Quotidienne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Rappel 24h avant la séance aux participants ayant accusé réception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check_agreement_execution_deadlines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08h00</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Quotidienne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Alerte sur accords dont le délai d'exécution approche ou est dépassé</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auto_escalate_long_pending_mediations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10h00</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Quotidienne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Escalade des médiations bloquées depuis 30+ jours sans avancement</w:t>
            </w:r>
          </w:p>
        </w:tc>
      </w:tr>
    </w:tbl>
    <w:p/>
    <w:p>
      <w:pPr>
        <w:spacing w:before="240" w:after="80"/>
      </w:pPr>
      <w:r>
        <w:rPr>
          <w:b/>
          <w:color w:val="1D4ED8"/>
          <w:sz w:val="26"/>
        </w:rPr>
        <w:t>10.2 Logique de check_convocation_deadlines</w:t>
      </w:r>
    </w:p>
    <w:p>
      <w:pPr>
        <w:spacing w:after="80" w:before="0"/>
      </w:pPr>
      <w:r>
        <w:rPr>
          <w:i w:val="0"/>
          <w:sz w:val="21"/>
        </w:rPr>
        <w:t>Cette tâche traite les séances en statut SCHEDULED avec des participants dont acknowledged_at IS NULL :</w:t>
      </w:r>
    </w:p>
    <w:p>
      <w:pPr>
        <w:pStyle w:val="ListBullet"/>
        <w:spacing w:after="40" w:before="0"/>
      </w:pPr>
      <w:r>
        <w:rPr>
          <w:sz w:val="21"/>
        </w:rPr>
        <w:t>• 1. Si la 1ère convocation date de + 48h et aucune relance → envoyer relance n°1 (EMAIL).</w:t>
      </w:r>
    </w:p>
    <w:p>
      <w:pPr>
        <w:pStyle w:val="ListBullet"/>
        <w:spacing w:after="40" w:before="0"/>
      </w:pPr>
      <w:r>
        <w:rPr>
          <w:sz w:val="21"/>
        </w:rPr>
        <w:t>• 2. Si dernière relance date de + 24h et relances &lt; 3 → envoyer relance suivante (rotation canaux).</w:t>
      </w:r>
    </w:p>
    <w:p>
      <w:pPr>
        <w:pStyle w:val="ListBullet"/>
        <w:spacing w:after="40" w:before="0"/>
      </w:pPr>
      <w:r>
        <w:rPr>
          <w:sz w:val="21"/>
        </w:rPr>
        <w:t>• 3. Si 3 relances envoyées sans réponse → déclencher escalade hiérarchique.</w:t>
      </w:r>
    </w:p>
    <w:p>
      <w:pPr>
        <w:pStyle w:val="ListBullet"/>
        <w:spacing w:after="40" w:before="0"/>
      </w:pPr>
      <w:r>
        <w:rPr>
          <w:sz w:val="21"/>
        </w:rPr>
        <w:t>• 4. Escalade : ComplaintNotification au Chef d'Inspection, statut plainte → ESCALATED.</w:t>
      </w:r>
    </w:p>
    <w:p>
      <w:pPr>
        <w:spacing w:before="240" w:after="80"/>
      </w:pPr>
      <w:r>
        <w:rPr>
          <w:b/>
          <w:color w:val="1D4ED8"/>
          <w:sz w:val="26"/>
        </w:rPr>
        <w:t>10.3 Logique de send_session_reminders</w:t>
      </w:r>
    </w:p>
    <w:p>
      <w:pPr>
        <w:spacing w:after="80" w:before="0"/>
      </w:pPr>
      <w:r>
        <w:rPr>
          <w:i w:val="0"/>
          <w:sz w:val="21"/>
        </w:rPr>
        <w:t>Envoie un rappel EMAIL + SMS aux participants (acknowledged_at IS NOT NULL) dont la séance a lieu dans les prochaines 24 heures. Le rappel inclut : date, heure, lieu (ou lien visio), nom du médiateur, numéro de dossier.</w:t>
      </w:r>
    </w:p>
    <w:p>
      <w:pPr>
        <w:spacing w:before="240" w:after="80"/>
      </w:pPr>
      <w:r>
        <w:rPr>
          <w:b/>
          <w:color w:val="1D4ED8"/>
          <w:sz w:val="26"/>
        </w:rPr>
        <w:t>10.4 Logique de auto_escalate_long_pending_mediations</w:t>
      </w:r>
    </w:p>
    <w:p>
      <w:pPr>
        <w:spacing w:after="80" w:before="0"/>
      </w:pPr>
      <w:r>
        <w:rPr>
          <w:i w:val="0"/>
          <w:sz w:val="21"/>
        </w:rPr>
        <w:t>Identifie les séances en statut SCHEDULED dont la date de création dépasse 30 jours sans changement de statut et sans accusé de réception de l'employeur. Déclenche automatiquement une escalade au Directeur Régional avec rapport de synthèse.</w:t>
      </w:r>
    </w:p>
    <w:p>
      <w:r>
        <w:br w:type="page"/>
      </w:r>
    </w:p>
    <w:p>
      <w:pPr>
        <w:spacing w:before="360" w:after="120"/>
        <w:pBdr>
          <w:bottom w:val="single" w:sz="8" w:space="2" w:color="F47E1C"/>
        </w:pBdr>
      </w:pPr>
      <w:r>
        <w:rPr>
          <w:b/>
          <w:color w:val="F47E1C"/>
          <w:sz w:val="32"/>
        </w:rPr>
        <w:t>11. RÉFÉRENTIEL DES ENDPOINTS API</w:t>
      </w:r>
    </w:p>
    <w:p>
      <w:pPr>
        <w:spacing w:before="240" w:after="80"/>
      </w:pPr>
      <w:r>
        <w:rPr>
          <w:b/>
          <w:color w:val="1D4ED8"/>
          <w:sz w:val="26"/>
        </w:rPr>
        <w:t>11.1 Médiations — Sessions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D4ED8"/>
          </w:tcPr>
          <w:p>
            <w:pPr>
              <w:jc w:val="center"/>
            </w:pPr>
            <w:r>
              <w:rPr>
                <w:b/>
                <w:color w:val="FFFFFF"/>
                <w:sz w:val="19"/>
              </w:rPr>
              <w:t>Méthode</w:t>
            </w:r>
          </w:p>
        </w:tc>
        <w:tc>
          <w:tcPr>
            <w:tcW w:type="dxa" w:w="2422"/>
            <w:shd w:val="clear" w:color="auto" w:fill="1D4ED8"/>
          </w:tcPr>
          <w:p>
            <w:pPr>
              <w:jc w:val="center"/>
            </w:pPr>
            <w:r>
              <w:rPr>
                <w:b/>
                <w:color w:val="FFFFFF"/>
                <w:sz w:val="19"/>
              </w:rPr>
              <w:t>Endpoint</w:t>
            </w:r>
          </w:p>
        </w:tc>
        <w:tc>
          <w:tcPr>
            <w:tcW w:type="dxa" w:w="2422"/>
            <w:shd w:val="clear" w:color="auto" w:fill="1D4ED8"/>
          </w:tcPr>
          <w:p>
            <w:pPr>
              <w:jc w:val="center"/>
            </w:pPr>
            <w:r>
              <w:rPr>
                <w:b/>
                <w:color w:val="FFFFFF"/>
                <w:sz w:val="19"/>
              </w:rPr>
              <w:t>Description</w:t>
            </w:r>
          </w:p>
        </w:tc>
        <w:tc>
          <w:tcPr>
            <w:tcW w:type="dxa" w:w="2422"/>
            <w:shd w:val="clear" w:color="auto" w:fill="1D4ED8"/>
          </w:tcPr>
          <w:p>
            <w:pPr>
              <w:jc w:val="center"/>
            </w:pPr>
            <w:r>
              <w:rPr>
                <w:b/>
                <w:color w:val="FFFFFF"/>
                <w:sz w:val="19"/>
              </w:rPr>
              <w:t>Permission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Liste des séances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Créer une séance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Détail d'une séance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PUT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Modifier une séance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DELETE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Supprimer une séance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ADMIN</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/mediations/sessions/{id}/convoke/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Envoyer les convocations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/mediations/sessions/acknowledge/{token}/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Accuser réception (lien email/SMS)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Public</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/mediations/sessions/{id}/manual_acknowledge/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Confirmer réception manuellement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/mediations/sessions/{id}/relance/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Relancer les non-accusés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/mediations/sessions/{id}/report_no_show/</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Constater non-comparution employeur</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/mediations/sessions/{id}/postpone/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Reporter la séance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/mediations/sessions/{id}/start/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Démarrer la séance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/mediations/sessions/{id}/complete/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Clôturer la séance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/mediations/sessions/{id}/generate_minutes/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Générer le PV de séance</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/mediations/sessions/no_shows/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Séances avec non-comparution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/mediations/sessions/pending_acknowledgment/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Séances sans accusé réception</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bl>
    <w:p/>
    <w:p>
      <w:pPr>
        <w:spacing w:before="240" w:after="80"/>
      </w:pPr>
      <w:r>
        <w:rPr>
          <w:b/>
          <w:color w:val="1D4ED8"/>
          <w:sz w:val="26"/>
        </w:rPr>
        <w:t>11.2 Participants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0F766E"/>
          </w:tcPr>
          <w:p>
            <w:pPr>
              <w:jc w:val="center"/>
            </w:pPr>
            <w:r>
              <w:rPr>
                <w:b/>
                <w:color w:val="FFFFFF"/>
                <w:sz w:val="19"/>
              </w:rPr>
              <w:t>Méthode</w:t>
            </w:r>
          </w:p>
        </w:tc>
        <w:tc>
          <w:tcPr>
            <w:tcW w:type="dxa" w:w="2422"/>
            <w:shd w:val="clear" w:color="auto" w:fill="0F766E"/>
          </w:tcPr>
          <w:p>
            <w:pPr>
              <w:jc w:val="center"/>
            </w:pPr>
            <w:r>
              <w:rPr>
                <w:b/>
                <w:color w:val="FFFFFF"/>
                <w:sz w:val="19"/>
              </w:rPr>
              <w:t>Endpoint</w:t>
            </w:r>
          </w:p>
        </w:tc>
        <w:tc>
          <w:tcPr>
            <w:tcW w:type="dxa" w:w="2422"/>
            <w:shd w:val="clear" w:color="auto" w:fill="0F766E"/>
          </w:tcPr>
          <w:p>
            <w:pPr>
              <w:jc w:val="center"/>
            </w:pPr>
            <w:r>
              <w:rPr>
                <w:b/>
                <w:color w:val="FFFFFF"/>
                <w:sz w:val="19"/>
              </w:rPr>
              <w:t>Description</w:t>
            </w:r>
          </w:p>
        </w:tc>
        <w:tc>
          <w:tcPr>
            <w:tcW w:type="dxa" w:w="2422"/>
            <w:shd w:val="clear" w:color="auto" w:fill="0F766E"/>
          </w:tcPr>
          <w:p>
            <w:pPr>
              <w:jc w:val="center"/>
            </w:pPr>
            <w:r>
              <w:rPr>
                <w:b/>
                <w:color w:val="FFFFFF"/>
                <w:sz w:val="19"/>
              </w:rPr>
              <w:t>Permission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/mediations/participants/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Liste des participants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/mediations/participants/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Ajouter un participant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/mediations/participants/{id}/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Détail d'un participant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PUT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/mediations/participants/{id}/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Modifier un participant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DELETE</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/mediations/participants/{id}/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Supprimer un participant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bl>
    <w:p/>
    <w:p>
      <w:pPr>
        <w:spacing w:before="240" w:after="80"/>
      </w:pPr>
      <w:r>
        <w:rPr>
          <w:b/>
          <w:color w:val="1D4ED8"/>
          <w:sz w:val="26"/>
        </w:rPr>
        <w:t>11.3 Accords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7C3AED"/>
          </w:tcPr>
          <w:p>
            <w:pPr>
              <w:jc w:val="center"/>
            </w:pPr>
            <w:r>
              <w:rPr>
                <w:b/>
                <w:color w:val="FFFFFF"/>
                <w:sz w:val="19"/>
              </w:rPr>
              <w:t>Méthode</w:t>
            </w:r>
          </w:p>
        </w:tc>
        <w:tc>
          <w:tcPr>
            <w:tcW w:type="dxa" w:w="2422"/>
            <w:shd w:val="clear" w:color="auto" w:fill="7C3AED"/>
          </w:tcPr>
          <w:p>
            <w:pPr>
              <w:jc w:val="center"/>
            </w:pPr>
            <w:r>
              <w:rPr>
                <w:b/>
                <w:color w:val="FFFFFF"/>
                <w:sz w:val="19"/>
              </w:rPr>
              <w:t>Endpoint</w:t>
            </w:r>
          </w:p>
        </w:tc>
        <w:tc>
          <w:tcPr>
            <w:tcW w:type="dxa" w:w="2422"/>
            <w:shd w:val="clear" w:color="auto" w:fill="7C3AED"/>
          </w:tcPr>
          <w:p>
            <w:pPr>
              <w:jc w:val="center"/>
            </w:pPr>
            <w:r>
              <w:rPr>
                <w:b/>
                <w:color w:val="FFFFFF"/>
                <w:sz w:val="19"/>
              </w:rPr>
              <w:t>Description</w:t>
            </w:r>
          </w:p>
        </w:tc>
        <w:tc>
          <w:tcPr>
            <w:tcW w:type="dxa" w:w="2422"/>
            <w:shd w:val="clear" w:color="auto" w:fill="7C3AED"/>
          </w:tcPr>
          <w:p>
            <w:pPr>
              <w:jc w:val="center"/>
            </w:pPr>
            <w:r>
              <w:rPr>
                <w:b/>
                <w:color w:val="FFFFFF"/>
                <w:sz w:val="19"/>
              </w:rPr>
              <w:t>Permission</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/mediations/agreements/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Liste des accords</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/mediations/agreements/</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Créer un accord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/mediations/agreements/{id}/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Détail d'un accord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PUT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/mediations/agreements/{id}/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Modifier un accord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/mediations/agreements/{id}/sign/</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Signer l'accord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INSPECTEUR/EMPLOYE/EMPLOYEUR</w:t>
            </w:r>
          </w:p>
        </w:tc>
      </w:tr>
      <w:tr>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POST</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/mediations/agreements/{id}/mark_breached/</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Marquer accord rompu</w:t>
            </w:r>
          </w:p>
        </w:tc>
        <w:tc>
          <w:tcPr>
            <w:tcW w:type="dxa" w:w="2422"/>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w:t>
            </w:r>
          </w:p>
        </w:tc>
      </w:tr>
      <w:tr>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GET</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/mediations/agreements/{id}/generate_pdf/</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Générer PDF accord</w:t>
            </w:r>
          </w:p>
        </w:tc>
        <w:tc>
          <w:tcPr>
            <w:tcW w:type="dxa" w:w="2422"/>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w:t>
            </w:r>
          </w:p>
        </w:tc>
      </w:tr>
    </w:tbl>
    <w:p/>
    <w:p>
      <w:r>
        <w:br w:type="page"/>
      </w:r>
    </w:p>
    <w:p>
      <w:pPr>
        <w:spacing w:before="360" w:after="120"/>
        <w:pBdr>
          <w:bottom w:val="single" w:sz="8" w:space="2" w:color="F47E1C"/>
        </w:pBdr>
      </w:pPr>
      <w:r>
        <w:rPr>
          <w:b/>
          <w:color w:val="F47E1C"/>
          <w:sz w:val="32"/>
        </w:rPr>
        <w:t>12. NOTIFICATIONS MULTI-CANAL</w:t>
      </w:r>
    </w:p>
    <w:p>
      <w:pPr>
        <w:spacing w:before="240" w:after="80"/>
      </w:pPr>
      <w:r>
        <w:rPr>
          <w:b/>
          <w:color w:val="1D4ED8"/>
          <w:sz w:val="26"/>
        </w:rPr>
        <w:t>12.1 Architecture des notifications</w:t>
      </w:r>
    </w:p>
    <w:p>
      <w:pPr>
        <w:spacing w:after="80" w:before="0"/>
      </w:pPr>
      <w:r>
        <w:rPr>
          <w:i w:val="0"/>
          <w:sz w:val="21"/>
        </w:rPr>
        <w:t>Le module notifications.py (mediations/notifications.py) centralise tous les envois. Chaque tentative est journalisée dans le modèle ConvocationAttempt avec : canal, statut (SENT/DELIVERED/FAILED/BOUNCED), timestamp, ID de message fournisseur, détail erreur.</w:t>
      </w:r>
    </w:p>
    <w:p>
      <w:pPr>
        <w:spacing w:before="240" w:after="80"/>
      </w:pPr>
      <w:r>
        <w:rPr>
          <w:b/>
          <w:color w:val="1D4ED8"/>
          <w:sz w:val="26"/>
        </w:rPr>
        <w:t>12.2 Configuration des fournisseurs SMS</w:t>
      </w:r>
    </w:p>
    <w:p>
      <w:pPr>
        <w:spacing w:after="80" w:before="0"/>
      </w:pPr>
      <w:r>
        <w:rPr>
          <w:i w:val="0"/>
          <w:sz w:val="21"/>
        </w:rPr>
        <w:t>Les fournisseurs SMS sont configurables dans settings.py :</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F47E1C"/>
          </w:tcPr>
          <w:p>
            <w:pPr>
              <w:jc w:val="center"/>
            </w:pPr>
            <w:r>
              <w:rPr>
                <w:b/>
                <w:color w:val="FFFFFF"/>
                <w:sz w:val="19"/>
              </w:rPr>
              <w:t>Paramètre</w:t>
            </w:r>
          </w:p>
        </w:tc>
        <w:tc>
          <w:tcPr>
            <w:tcW w:type="dxa" w:w="3230"/>
            <w:shd w:val="clear" w:color="auto" w:fill="F47E1C"/>
          </w:tcPr>
          <w:p>
            <w:pPr>
              <w:jc w:val="center"/>
            </w:pPr>
            <w:r>
              <w:rPr>
                <w:b/>
                <w:color w:val="FFFFFF"/>
                <w:sz w:val="19"/>
              </w:rPr>
              <w:t>Valeur par défaut</w:t>
            </w:r>
          </w:p>
        </w:tc>
        <w:tc>
          <w:tcPr>
            <w:tcW w:type="dxa" w:w="3230"/>
            <w:shd w:val="clear" w:color="auto" w:fill="F47E1C"/>
          </w:tcPr>
          <w:p>
            <w:pPr>
              <w:jc w:val="center"/>
            </w:pPr>
            <w:r>
              <w:rPr>
                <w:b/>
                <w:color w:val="FFFFFF"/>
                <w:sz w:val="19"/>
              </w:rPr>
              <w:t>Description</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SMS_GATEWAY_URL</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Simulation (log)</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URL de l'API du fournisseur SMS</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SMS_GATEWAY_KEY</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Non configuré</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Clé API du fournisseur</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SMS_SENDER_ID</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EINSPECTION</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Identifiant affiché sur le téléphone du destinataire</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FRONTEND_URL</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https://e-inspection.ci</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URL de base pour les liens dans les SMS et emails</w:t>
            </w:r>
          </w:p>
        </w:tc>
      </w:tr>
    </w:tbl>
    <w:p/>
    <w:p>
      <w:pPr>
        <w:spacing w:before="240" w:after="80"/>
      </w:pPr>
      <w:r>
        <w:rPr>
          <w:b/>
          <w:color w:val="1D4ED8"/>
          <w:sz w:val="26"/>
        </w:rPr>
        <w:t>12.3 Contenu des convocations</w:t>
      </w:r>
    </w:p>
    <w:p>
      <w:pPr>
        <w:spacing w:after="80" w:before="0"/>
      </w:pPr>
      <w:r>
        <w:rPr>
          <w:i w:val="0"/>
          <w:sz w:val="21"/>
        </w:rPr>
        <w:t>Email de convocation — Informations incluses :</w:t>
      </w:r>
    </w:p>
    <w:p>
      <w:pPr>
        <w:pStyle w:val="ListBullet"/>
        <w:spacing w:after="40" w:before="0"/>
      </w:pPr>
      <w:r>
        <w:rPr>
          <w:sz w:val="21"/>
        </w:rPr>
        <w:t>• Numéro de plainte</w:t>
      </w:r>
    </w:p>
    <w:p>
      <w:pPr>
        <w:pStyle w:val="ListBullet"/>
        <w:spacing w:after="40" w:before="0"/>
      </w:pPr>
      <w:r>
        <w:rPr>
          <w:sz w:val="21"/>
        </w:rPr>
        <w:t>• Date et heure de la séance</w:t>
      </w:r>
    </w:p>
    <w:p>
      <w:pPr>
        <w:pStyle w:val="ListBullet"/>
        <w:spacing w:after="40" w:before="0"/>
      </w:pPr>
      <w:r>
        <w:rPr>
          <w:sz w:val="21"/>
        </w:rPr>
        <w:t>• Lieu (adresse complète ou lien visio)</w:t>
      </w:r>
    </w:p>
    <w:p>
      <w:pPr>
        <w:pStyle w:val="ListBullet"/>
        <w:spacing w:after="40" w:before="0"/>
      </w:pPr>
      <w:r>
        <w:rPr>
          <w:sz w:val="21"/>
        </w:rPr>
        <w:t>• Nom et coordonnées du médiateur</w:t>
      </w:r>
    </w:p>
    <w:p>
      <w:pPr>
        <w:pStyle w:val="ListBullet"/>
        <w:spacing w:after="40" w:before="0"/>
      </w:pPr>
      <w:r>
        <w:rPr>
          <w:sz w:val="21"/>
        </w:rPr>
        <w:t>• Lien d'accusé de réception (UUID unique)</w:t>
      </w:r>
    </w:p>
    <w:p>
      <w:pPr>
        <w:pStyle w:val="ListBullet"/>
        <w:spacing w:after="40" w:before="0"/>
      </w:pPr>
      <w:r>
        <w:rPr>
          <w:sz w:val="21"/>
        </w:rPr>
        <w:t>• Avertissement légal (Code du Travail art. 81)</w:t>
      </w:r>
    </w:p>
    <w:p>
      <w:pPr>
        <w:pStyle w:val="ListBullet"/>
        <w:spacing w:after="40" w:before="0"/>
      </w:pPr>
      <w:r>
        <w:rPr>
          <w:sz w:val="21"/>
        </w:rPr>
        <w:t>• Coordonnées de l'Inspection du Travail</w:t>
      </w:r>
    </w:p>
    <w:p>
      <w:pPr>
        <w:spacing w:before="240" w:after="80"/>
      </w:pPr>
      <w:r>
        <w:rPr>
          <w:b/>
          <w:color w:val="1D4ED8"/>
          <w:sz w:val="26"/>
        </w:rPr>
        <w:t>12.4 Hiérarchie des notifications in-app</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D4ED8"/>
          </w:tcPr>
          <w:p>
            <w:pPr>
              <w:jc w:val="center"/>
            </w:pPr>
            <w:r>
              <w:rPr>
                <w:b/>
                <w:color w:val="FFFFFF"/>
                <w:sz w:val="19"/>
              </w:rPr>
              <w:t>Événement</w:t>
            </w:r>
          </w:p>
        </w:tc>
        <w:tc>
          <w:tcPr>
            <w:tcW w:type="dxa" w:w="3230"/>
            <w:shd w:val="clear" w:color="auto" w:fill="1D4ED8"/>
          </w:tcPr>
          <w:p>
            <w:pPr>
              <w:jc w:val="center"/>
            </w:pPr>
            <w:r>
              <w:rPr>
                <w:b/>
                <w:color w:val="FFFFFF"/>
                <w:sz w:val="19"/>
              </w:rPr>
              <w:t>Destinataire(s)</w:t>
            </w:r>
          </w:p>
        </w:tc>
        <w:tc>
          <w:tcPr>
            <w:tcW w:type="dxa" w:w="3230"/>
            <w:shd w:val="clear" w:color="auto" w:fill="1D4ED8"/>
          </w:tcPr>
          <w:p>
            <w:pPr>
              <w:jc w:val="center"/>
            </w:pPr>
            <w:r>
              <w:rPr>
                <w:b/>
                <w:color w:val="FFFFFF"/>
                <w:sz w:val="19"/>
              </w:rPr>
              <w:t>Type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Plainte déposée</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Inspecteur du district</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INFO</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Plainte assignée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Inspecteur + Plaignant</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INFO</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Convocation envoyée</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Toutes les parties</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INFO</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Accusé de réception reçu</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Médiateur</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SUCCESS</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3 relances sans réponse</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Chef d'Inspection + Médiateur</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WARNING</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Non-comparution constatée</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Chef d'Inspection + Dir. Rég.</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CRITICAL</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Accord signé</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Toutes les parties + DGT</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SUCCESS</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Accord rompu</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Médiateur + Chef d'Inspection</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CRITICAL</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Délai accord dépassé</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Médiateur + Plaignant</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WARNING</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Séance dans 24h</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Parties ayant accusé réception</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REMINDER</w:t>
            </w:r>
          </w:p>
        </w:tc>
      </w:tr>
    </w:tbl>
    <w:p/>
    <w:p>
      <w:r>
        <w:br w:type="page"/>
      </w:r>
    </w:p>
    <w:p>
      <w:pPr>
        <w:spacing w:before="360" w:after="120"/>
        <w:pBdr>
          <w:bottom w:val="single" w:sz="8" w:space="2" w:color="F47E1C"/>
        </w:pBdr>
      </w:pPr>
      <w:r>
        <w:rPr>
          <w:b/>
          <w:color w:val="F47E1C"/>
          <w:sz w:val="32"/>
        </w:rPr>
        <w:t>13. SÉCURITÉ ET CONFORMITÉ</w:t>
      </w:r>
    </w:p>
    <w:p>
      <w:pPr>
        <w:spacing w:before="240" w:after="80"/>
      </w:pPr>
      <w:r>
        <w:rPr>
          <w:b/>
          <w:color w:val="1D4ED8"/>
          <w:sz w:val="26"/>
        </w:rPr>
        <w:t>13.1 Authentification et autorisation</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DC2626"/>
          </w:tcPr>
          <w:p>
            <w:pPr>
              <w:jc w:val="center"/>
            </w:pPr>
            <w:r>
              <w:rPr>
                <w:b/>
                <w:color w:val="FFFFFF"/>
                <w:sz w:val="19"/>
              </w:rPr>
              <w:t>Mécanisme</w:t>
            </w:r>
          </w:p>
        </w:tc>
        <w:tc>
          <w:tcPr>
            <w:tcW w:type="dxa" w:w="4844"/>
            <w:shd w:val="clear" w:color="auto" w:fill="DC2626"/>
          </w:tcPr>
          <w:p>
            <w:pPr>
              <w:jc w:val="center"/>
            </w:pPr>
            <w:r>
              <w:rPr>
                <w:b/>
                <w:color w:val="FFFFFF"/>
                <w:sz w:val="19"/>
              </w:rPr>
              <w:t>Détail</w:t>
            </w:r>
          </w:p>
        </w:tc>
      </w:tr>
      <w:tr>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JWT Access Token</w:t>
            </w:r>
          </w:p>
        </w:tc>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Durée : 60 minutes — inclus dans l'en-tête Authorization: Bearer</w:t>
            </w:r>
          </w:p>
        </w:tc>
      </w:tr>
      <w:tr>
        <w:tc>
          <w:tcPr>
            <w:tcW w:type="dxa" w:w="4844"/>
            <w:shd w:val="clear" w:color="auto" w:fill="FFFFFF"/>
            <w:tcBorders>
              <w:top w:val="single" w:sz="4" w:space="0" w:color="E5E7EB"/>
              <w:left w:val="single" w:sz="4" w:space="0" w:color="E5E7EB"/>
              <w:bottom w:val="single" w:sz="4" w:space="0" w:color="E5E7EB"/>
              <w:right w:val="single" w:sz="4" w:space="0" w:color="E5E7EB"/>
            </w:tcBorders>
          </w:tcPr>
          <w:p>
            <w:r>
              <w:rPr>
                <w:sz w:val="19"/>
              </w:rPr>
              <w:t>JWT Refresh Token</w:t>
            </w:r>
          </w:p>
        </w:tc>
        <w:tc>
          <w:tcPr>
            <w:tcW w:type="dxa" w:w="4844"/>
            <w:shd w:val="clear" w:color="auto" w:fill="FFFFFF"/>
            <w:tcBorders>
              <w:top w:val="single" w:sz="4" w:space="0" w:color="E5E7EB"/>
              <w:left w:val="single" w:sz="4" w:space="0" w:color="E5E7EB"/>
              <w:bottom w:val="single" w:sz="4" w:space="0" w:color="E5E7EB"/>
              <w:right w:val="single" w:sz="4" w:space="0" w:color="E5E7EB"/>
            </w:tcBorders>
          </w:tcPr>
          <w:p>
            <w:r>
              <w:rPr>
                <w:sz w:val="19"/>
              </w:rPr>
              <w:t>Durée : 7 jours — rotation automatique à chaque rafraîchissement</w:t>
            </w:r>
          </w:p>
        </w:tc>
      </w:tr>
      <w:tr>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OTP 2FA</w:t>
            </w:r>
          </w:p>
        </w:tc>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Code à 6 chiffres (TOTP) requis pour les rôles INSPECTEUR et supérieurs</w:t>
            </w:r>
          </w:p>
        </w:tc>
      </w:tr>
      <w:tr>
        <w:tc>
          <w:tcPr>
            <w:tcW w:type="dxa" w:w="4844"/>
            <w:shd w:val="clear" w:color="auto" w:fill="FFFFFF"/>
            <w:tcBorders>
              <w:top w:val="single" w:sz="4" w:space="0" w:color="E5E7EB"/>
              <w:left w:val="single" w:sz="4" w:space="0" w:color="E5E7EB"/>
              <w:bottom w:val="single" w:sz="4" w:space="0" w:color="E5E7EB"/>
              <w:right w:val="single" w:sz="4" w:space="0" w:color="E5E7EB"/>
            </w:tcBorders>
          </w:tcPr>
          <w:p>
            <w:r>
              <w:rPr>
                <w:sz w:val="19"/>
              </w:rPr>
              <w:t>Tokens publics UUID</w:t>
            </w:r>
          </w:p>
        </w:tc>
        <w:tc>
          <w:tcPr>
            <w:tcW w:type="dxa" w:w="4844"/>
            <w:shd w:val="clear" w:color="auto" w:fill="FFFFFF"/>
            <w:tcBorders>
              <w:top w:val="single" w:sz="4" w:space="0" w:color="E5E7EB"/>
              <w:left w:val="single" w:sz="4" w:space="0" w:color="E5E7EB"/>
              <w:bottom w:val="single" w:sz="4" w:space="0" w:color="E5E7EB"/>
              <w:right w:val="single" w:sz="4" w:space="0" w:color="E5E7EB"/>
            </w:tcBorders>
          </w:tcPr>
          <w:p>
            <w:r>
              <w:rPr>
                <w:sz w:val="19"/>
              </w:rPr>
              <w:t>Jetons d'accusé de réception sans auth, valables 30 jours, usage unique</w:t>
            </w:r>
          </w:p>
        </w:tc>
      </w:tr>
      <w:tr>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RBAC</w:t>
            </w:r>
          </w:p>
        </w:tc>
        <w:tc>
          <w:tcPr>
            <w:tcW w:type="dxa" w:w="4844"/>
            <w:shd w:val="clear" w:color="auto" w:fill="F9FAFB"/>
            <w:tcBorders>
              <w:top w:val="single" w:sz="4" w:space="0" w:color="E5E7EB"/>
              <w:left w:val="single" w:sz="4" w:space="0" w:color="E5E7EB"/>
              <w:bottom w:val="single" w:sz="4" w:space="0" w:color="E5E7EB"/>
              <w:right w:val="single" w:sz="4" w:space="0" w:color="E5E7EB"/>
            </w:tcBorders>
          </w:tcPr>
          <w:p>
            <w:r>
              <w:rPr>
                <w:sz w:val="19"/>
              </w:rPr>
              <w:t>8 rôles, contrôle au niveau de chaque action DRF via IsAuthenticated + permission custom</w:t>
            </w:r>
          </w:p>
        </w:tc>
      </w:tr>
    </w:tbl>
    <w:p/>
    <w:p>
      <w:pPr>
        <w:spacing w:before="240" w:after="80"/>
      </w:pPr>
      <w:r>
        <w:rPr>
          <w:b/>
          <w:color w:val="1D4ED8"/>
          <w:sz w:val="26"/>
        </w:rPr>
        <w:t>13.2 Protection des données (RGPD / Loi ivoirienne n° 2013-450)</w:t>
      </w:r>
    </w:p>
    <w:p>
      <w:pPr>
        <w:pStyle w:val="ListBullet"/>
        <w:spacing w:after="40" w:before="0"/>
      </w:pPr>
      <w:r>
        <w:rPr>
          <w:sz w:val="21"/>
        </w:rPr>
        <w:t>• Données des plaintes et des parties : accès restreint aux agents habilités</w:t>
      </w:r>
    </w:p>
    <w:p>
      <w:pPr>
        <w:pStyle w:val="ListBullet"/>
        <w:spacing w:after="40" w:before="0"/>
      </w:pPr>
      <w:r>
        <w:rPr>
          <w:sz w:val="21"/>
        </w:rPr>
        <w:t>• Numéros de téléphone et emails chiffrés at-rest (AES-256)</w:t>
      </w:r>
    </w:p>
    <w:p>
      <w:pPr>
        <w:pStyle w:val="ListBullet"/>
        <w:spacing w:after="40" w:before="0"/>
      </w:pPr>
      <w:r>
        <w:rPr>
          <w:sz w:val="21"/>
        </w:rPr>
        <w:t>• Logs d'accès conservés 5 ans</w:t>
      </w:r>
    </w:p>
    <w:p>
      <w:pPr>
        <w:pStyle w:val="ListBullet"/>
        <w:spacing w:after="40" w:before="0"/>
      </w:pPr>
      <w:r>
        <w:rPr>
          <w:sz w:val="21"/>
        </w:rPr>
        <w:t>• Droit à l'oubli : procédure d'anonymisation disponible pour le DGT</w:t>
      </w:r>
    </w:p>
    <w:p>
      <w:pPr>
        <w:pStyle w:val="ListBullet"/>
        <w:spacing w:after="40" w:before="0"/>
      </w:pPr>
      <w:r>
        <w:rPr>
          <w:sz w:val="21"/>
        </w:rPr>
        <w:t>• Transferts de données : chiffrement TLS 1.3 obligatoire (HTTPS)</w:t>
      </w:r>
    </w:p>
    <w:p>
      <w:pPr>
        <w:spacing w:before="240" w:after="80"/>
      </w:pPr>
      <w:r>
        <w:rPr>
          <w:b/>
          <w:color w:val="1D4ED8"/>
          <w:sz w:val="26"/>
        </w:rPr>
        <w:t>13.3 Traçabilité et audit</w:t>
      </w:r>
    </w:p>
    <w:p>
      <w:pPr>
        <w:pStyle w:val="ListBullet"/>
        <w:spacing w:after="40" w:before="0"/>
      </w:pPr>
      <w:r>
        <w:rPr>
          <w:sz w:val="21"/>
        </w:rPr>
        <w:t>• Chaque action de l'API est journalisée (who, what, when, IP)</w:t>
      </w:r>
    </w:p>
    <w:p>
      <w:pPr>
        <w:pStyle w:val="ListBullet"/>
        <w:spacing w:after="40" w:before="0"/>
      </w:pPr>
      <w:r>
        <w:rPr>
          <w:sz w:val="21"/>
        </w:rPr>
        <w:t>• Chaque envoi de convocation est enregistré dans ConvocationAttempt</w:t>
      </w:r>
    </w:p>
    <w:p>
      <w:pPr>
        <w:pStyle w:val="ListBullet"/>
        <w:spacing w:after="40" w:before="0"/>
      </w:pPr>
      <w:r>
        <w:rPr>
          <w:sz w:val="21"/>
        </w:rPr>
        <w:t>• Chaque changement de statut de plainte est horodaté</w:t>
      </w:r>
    </w:p>
    <w:p>
      <w:pPr>
        <w:pStyle w:val="ListBullet"/>
        <w:spacing w:after="40" w:before="0"/>
      </w:pPr>
      <w:r>
        <w:rPr>
          <w:sz w:val="21"/>
        </w:rPr>
        <w:t>• Les signatures électroniques d'accords incluent le timestamp et l'identité du signataire</w:t>
      </w:r>
    </w:p>
    <w:p>
      <w:pPr>
        <w:pStyle w:val="ListBullet"/>
        <w:spacing w:after="40" w:before="0"/>
      </w:pPr>
      <w:r>
        <w:rPr>
          <w:sz w:val="21"/>
        </w:rPr>
        <w:t>• Les PV de carence générés sont archivés et non modifiables</w:t>
      </w:r>
    </w:p>
    <w:p>
      <w:pPr>
        <w:spacing w:before="240" w:after="80"/>
      </w:pPr>
      <w:r>
        <w:rPr>
          <w:b/>
          <w:color w:val="1D4ED8"/>
          <w:sz w:val="26"/>
        </w:rPr>
        <w:t>13.4 Disponibilité et continuité de service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009A44"/>
          </w:tcPr>
          <w:p>
            <w:pPr>
              <w:jc w:val="center"/>
            </w:pPr>
            <w:r>
              <w:rPr>
                <w:b/>
                <w:color w:val="FFFFFF"/>
                <w:sz w:val="19"/>
              </w:rPr>
              <w:t>Composant</w:t>
            </w:r>
          </w:p>
        </w:tc>
        <w:tc>
          <w:tcPr>
            <w:tcW w:type="dxa" w:w="3230"/>
            <w:shd w:val="clear" w:color="auto" w:fill="009A44"/>
          </w:tcPr>
          <w:p>
            <w:pPr>
              <w:jc w:val="center"/>
            </w:pPr>
            <w:r>
              <w:rPr>
                <w:b/>
                <w:color w:val="FFFFFF"/>
                <w:sz w:val="19"/>
              </w:rPr>
              <w:t>SLA cible</w:t>
            </w:r>
          </w:p>
        </w:tc>
        <w:tc>
          <w:tcPr>
            <w:tcW w:type="dxa" w:w="3230"/>
            <w:shd w:val="clear" w:color="auto" w:fill="009A44"/>
          </w:tcPr>
          <w:p>
            <w:pPr>
              <w:jc w:val="center"/>
            </w:pPr>
            <w:r>
              <w:rPr>
                <w:b/>
                <w:color w:val="FFFFFF"/>
                <w:sz w:val="19"/>
              </w:rPr>
              <w:t>Fallback</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API backend</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99.5% disponibilité</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Load balancer + 2 instances</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Base de données</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99.9%</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Réplication MySQL + sauvegarde quotidienne</w:t>
            </w:r>
          </w:p>
        </w:tc>
      </w:tr>
      <w:tr>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File Celery (Redis)</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99%</w:t>
            </w:r>
          </w:p>
        </w:tc>
        <w:tc>
          <w:tcPr>
            <w:tcW w:type="dxa" w:w="3230"/>
            <w:shd w:val="clear" w:color="auto" w:fill="F9FAFB"/>
            <w:tcBorders>
              <w:top w:val="single" w:sz="4" w:space="0" w:color="E5E7EB"/>
              <w:left w:val="single" w:sz="4" w:space="0" w:color="E5E7EB"/>
              <w:bottom w:val="single" w:sz="4" w:space="0" w:color="E5E7EB"/>
              <w:right w:val="single" w:sz="4" w:space="0" w:color="E5E7EB"/>
            </w:tcBorders>
          </w:tcPr>
          <w:p>
            <w:r>
              <w:rPr>
                <w:sz w:val="19"/>
              </w:rPr>
              <w:t>Persistance Redis AOF</w:t>
            </w:r>
          </w:p>
        </w:tc>
      </w:tr>
      <w:tr>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Gateway SMS</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Best-effort</w:t>
            </w:r>
          </w:p>
        </w:tc>
        <w:tc>
          <w:tcPr>
            <w:tcW w:type="dxa" w:w="3230"/>
            <w:shd w:val="clear" w:color="auto" w:fill="FFFFFF"/>
            <w:tcBorders>
              <w:top w:val="single" w:sz="4" w:space="0" w:color="E5E7EB"/>
              <w:left w:val="single" w:sz="4" w:space="0" w:color="E5E7EB"/>
              <w:bottom w:val="single" w:sz="4" w:space="0" w:color="E5E7EB"/>
              <w:right w:val="single" w:sz="4" w:space="0" w:color="E5E7EB"/>
            </w:tcBorders>
          </w:tcPr>
          <w:p>
            <w:r>
              <w:rPr>
                <w:sz w:val="19"/>
              </w:rPr>
              <w:t>Rotation fournisseurs (Orange CI → MTN CI → Moov)</w:t>
            </w:r>
          </w:p>
        </w:tc>
      </w:tr>
    </w:tbl>
    <w:p/>
    <w:p>
      <w:r>
        <w:br w:type="page"/>
      </w:r>
    </w:p>
    <w:p>
      <w:pPr>
        <w:jc w:val="center"/>
      </w:pPr>
      <w:r>
        <w:rPr>
          <w:i/>
          <w:color w:val="6B7280"/>
          <w:sz w:val="16"/>
        </w:rPr>
        <w:t>Document généré le 15/06/2026 — Plateforme e-Inspection du Travail CI — Confidentiel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