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4E63A5E" w14:textId="34DEE1C6" w:rsidR="00D7522C" w:rsidRPr="00D509FA" w:rsidRDefault="00ED1738" w:rsidP="00D509FA">
      <w:pPr>
        <w:pStyle w:val="papertitle"/>
        <w:spacing w:before="5pt" w:beforeAutospacing="1" w:after="5pt" w:afterAutospacing="1"/>
        <w:sectPr w:rsidR="00D7522C" w:rsidRPr="00D509FA" w:rsidSect="001A3B3D">
          <w:footerReference w:type="first" r:id="rId8"/>
          <w:pgSz w:w="612pt" w:h="792pt" w:code="1"/>
          <w:pgMar w:top="54pt" w:right="44.65pt" w:bottom="72pt" w:left="44.65pt" w:header="36pt" w:footer="36pt" w:gutter="0pt"/>
          <w:cols w:space="36pt"/>
          <w:titlePg/>
          <w:docGrid w:linePitch="360"/>
        </w:sectPr>
      </w:pPr>
      <w:r>
        <w:t>Las</w:t>
      </w:r>
      <w:r w:rsidR="00502429">
        <w:t xml:space="preserve"> seguridad </w:t>
      </w:r>
      <w:r w:rsidR="00C65FB4">
        <w:t xml:space="preserve">de los criptoactivos </w:t>
      </w:r>
      <w:r w:rsidR="00D509FA">
        <w:t>en la tipificación de las</w:t>
      </w:r>
      <w:r w:rsidR="00C65FB4">
        <w:t xml:space="preserve"> wallets</w:t>
      </w:r>
      <w:r w:rsidR="00D509FA">
        <w:t xml:space="preserve"> </w:t>
      </w:r>
    </w:p>
    <w:p w14:paraId="15FD6F27" w14:textId="124CADEC" w:rsidR="00CA4392" w:rsidRPr="00472840" w:rsidRDefault="00472840" w:rsidP="00472840">
      <w:pPr>
        <w:pStyle w:val="Author"/>
        <w:spacing w:before="5pt" w:beforeAutospacing="1"/>
        <w:rPr>
          <w:sz w:val="18"/>
          <w:szCs w:val="18"/>
        </w:rPr>
        <w:sectPr w:rsidR="00CA4392" w:rsidRPr="00472840" w:rsidSect="00472840">
          <w:type w:val="continuous"/>
          <w:pgSz w:w="612pt" w:h="792pt" w:code="1"/>
          <w:pgMar w:top="54pt" w:right="44.65pt" w:bottom="72pt" w:left="44.65pt" w:header="36pt" w:footer="36pt" w:gutter="0pt"/>
          <w:cols w:space="10.80pt"/>
          <w:docGrid w:linePitch="360"/>
        </w:sectPr>
      </w:pPr>
      <w:r w:rsidRPr="00472840">
        <w:rPr>
          <w:sz w:val="18"/>
          <w:szCs w:val="18"/>
        </w:rPr>
        <w:t>J</w:t>
      </w:r>
      <w:r>
        <w:rPr>
          <w:sz w:val="18"/>
          <w:szCs w:val="18"/>
        </w:rPr>
        <w:t>ose</w:t>
      </w:r>
      <w:r w:rsidRPr="00472840">
        <w:rPr>
          <w:sz w:val="18"/>
          <w:szCs w:val="18"/>
        </w:rPr>
        <w:t xml:space="preserve"> Franco Arroyave Cardona</w:t>
      </w:r>
      <w:r w:rsidR="001A3B3D" w:rsidRPr="00F847A6">
        <w:rPr>
          <w:sz w:val="18"/>
          <w:szCs w:val="18"/>
        </w:rPr>
        <w:br/>
      </w:r>
      <w:r w:rsidRPr="00472840">
        <w:rPr>
          <w:i/>
          <w:sz w:val="18"/>
          <w:szCs w:val="18"/>
        </w:rPr>
        <w:t>Departamento de Ingeniería UdeA</w:t>
      </w:r>
      <w:r w:rsidR="001A3B3D" w:rsidRPr="00F847A6">
        <w:rPr>
          <w:i/>
          <w:sz w:val="18"/>
          <w:szCs w:val="18"/>
        </w:rPr>
        <w:br/>
      </w:r>
      <w:r w:rsidRPr="00472840">
        <w:rPr>
          <w:sz w:val="18"/>
          <w:szCs w:val="18"/>
        </w:rPr>
        <w:t>Medellín, Colombia</w:t>
      </w:r>
      <w:r w:rsidR="001A3B3D" w:rsidRPr="00F847A6">
        <w:rPr>
          <w:sz w:val="18"/>
          <w:szCs w:val="18"/>
        </w:rPr>
        <w:br/>
      </w:r>
      <w:r w:rsidRPr="00472840">
        <w:rPr>
          <w:sz w:val="18"/>
          <w:szCs w:val="18"/>
        </w:rPr>
        <w:t>Franco.arroyave@udea.edu.co</w:t>
      </w:r>
    </w:p>
    <w:p w14:paraId="369DD5A7" w14:textId="77777777" w:rsidR="006347CF" w:rsidRDefault="006347CF" w:rsidP="00CA4392">
      <w:pPr>
        <w:pStyle w:val="Author"/>
        <w:spacing w:before="5pt" w:beforeAutospacing="1"/>
        <w:jc w:val="both"/>
        <w:rPr>
          <w:sz w:val="16"/>
          <w:szCs w:val="16"/>
        </w:rPr>
      </w:pPr>
    </w:p>
    <w:p w14:paraId="601A4121"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2096E7D" w14:textId="50DCDC03" w:rsidR="00E90E16" w:rsidRDefault="00E90E16" w:rsidP="00E90E16">
      <w:pPr>
        <w:pStyle w:val="Abstract"/>
        <w:rPr>
          <w:i/>
          <w:iCs/>
        </w:rPr>
      </w:pPr>
      <w:proofErr w:type="spellStart"/>
      <w:r w:rsidRPr="002A1FBC">
        <w:rPr>
          <w:i/>
          <w:iCs/>
        </w:rPr>
        <w:t>Resumen</w:t>
      </w:r>
      <w:proofErr w:type="spellEnd"/>
      <w:r w:rsidRPr="002A1FBC">
        <w:t xml:space="preserve">—This electronic document is a “live” template and already defines the components of your paper [title, text, heads, etc.] in its style sheet.  </w:t>
      </w:r>
      <w:r w:rsidRPr="002A1FBC">
        <w:rPr>
          <w:i/>
        </w:rPr>
        <w:t>*CRITICAL:  Do</w:t>
      </w:r>
      <w:r w:rsidRPr="002A1FBC">
        <w:rPr>
          <w:rFonts w:eastAsia="Times New Roman"/>
          <w:i/>
        </w:rPr>
        <w:t xml:space="preserve"> </w:t>
      </w:r>
      <w:r w:rsidRPr="002A1FBC">
        <w:rPr>
          <w:i/>
        </w:rPr>
        <w:t>Not</w:t>
      </w:r>
      <w:r w:rsidRPr="002A1FBC">
        <w:rPr>
          <w:rFonts w:eastAsia="Times New Roman"/>
          <w:i/>
        </w:rPr>
        <w:t xml:space="preserve"> </w:t>
      </w:r>
      <w:r w:rsidRPr="002A1FBC">
        <w:rPr>
          <w:i/>
        </w:rPr>
        <w:t>Use</w:t>
      </w:r>
      <w:r w:rsidRPr="002A1FBC">
        <w:rPr>
          <w:rFonts w:eastAsia="Times New Roman"/>
          <w:i/>
        </w:rPr>
        <w:t xml:space="preserve"> </w:t>
      </w:r>
      <w:r w:rsidRPr="002A1FBC">
        <w:rPr>
          <w:i/>
        </w:rPr>
        <w:t>Symbols,</w:t>
      </w:r>
      <w:r w:rsidRPr="002A1FBC">
        <w:rPr>
          <w:rFonts w:eastAsia="Times New Roman"/>
          <w:i/>
        </w:rPr>
        <w:t xml:space="preserve"> </w:t>
      </w:r>
      <w:r w:rsidRPr="002A1FBC">
        <w:rPr>
          <w:i/>
        </w:rPr>
        <w:t>Special</w:t>
      </w:r>
      <w:r w:rsidRPr="002A1FBC">
        <w:rPr>
          <w:rFonts w:eastAsia="Times New Roman"/>
          <w:i/>
        </w:rPr>
        <w:t xml:space="preserve"> </w:t>
      </w:r>
      <w:r w:rsidRPr="002A1FBC">
        <w:rPr>
          <w:i/>
        </w:rPr>
        <w:t>Characters,</w:t>
      </w:r>
      <w:r w:rsidRPr="002A1FBC">
        <w:rPr>
          <w:rFonts w:eastAsia="Times New Roman"/>
          <w:i/>
        </w:rPr>
        <w:t xml:space="preserve"> Footnotes, </w:t>
      </w:r>
      <w:r w:rsidRPr="002A1FBC">
        <w:rPr>
          <w:i/>
        </w:rPr>
        <w:t>or</w:t>
      </w:r>
      <w:r w:rsidRPr="002A1FBC">
        <w:rPr>
          <w:rFonts w:eastAsia="Times New Roman"/>
          <w:i/>
        </w:rPr>
        <w:t xml:space="preserve"> </w:t>
      </w:r>
      <w:r w:rsidRPr="002A1FBC">
        <w:rPr>
          <w:i/>
        </w:rPr>
        <w:t>Math</w:t>
      </w:r>
      <w:r w:rsidRPr="002A1FBC">
        <w:rPr>
          <w:rFonts w:eastAsia="Times New Roman"/>
          <w:i/>
        </w:rPr>
        <w:t xml:space="preserve"> </w:t>
      </w:r>
      <w:r w:rsidRPr="002A1FBC">
        <w:rPr>
          <w:i/>
        </w:rPr>
        <w:t>in</w:t>
      </w:r>
      <w:r w:rsidRPr="002A1FBC">
        <w:rPr>
          <w:rFonts w:eastAsia="Times New Roman"/>
          <w:i/>
        </w:rPr>
        <w:t xml:space="preserve"> Paper </w:t>
      </w:r>
      <w:r w:rsidRPr="002A1FBC">
        <w:rPr>
          <w:i/>
        </w:rPr>
        <w:t>Title</w:t>
      </w:r>
      <w:r w:rsidRPr="002A1FBC">
        <w:rPr>
          <w:rFonts w:eastAsia="Times New Roman"/>
          <w:i/>
        </w:rPr>
        <w:t xml:space="preserve"> o</w:t>
      </w:r>
      <w:r w:rsidRPr="002A1FBC">
        <w:rPr>
          <w:i/>
        </w:rPr>
        <w:t>r</w:t>
      </w:r>
      <w:r w:rsidRPr="002A1FBC">
        <w:rPr>
          <w:rFonts w:eastAsia="Times New Roman"/>
          <w:i/>
        </w:rPr>
        <w:t xml:space="preserve"> </w:t>
      </w:r>
      <w:r w:rsidRPr="002A1FBC">
        <w:rPr>
          <w:i/>
        </w:rPr>
        <w:t>Abstract</w:t>
      </w:r>
      <w:r w:rsidRPr="002A1FBC">
        <w:t xml:space="preserve">. </w:t>
      </w:r>
      <w:r w:rsidRPr="002A1FBC">
        <w:rPr>
          <w:iCs/>
        </w:rPr>
        <w:t>(</w:t>
      </w:r>
      <w:r w:rsidRPr="002A1FBC">
        <w:rPr>
          <w:b w:val="0"/>
          <w:i/>
          <w:iCs/>
        </w:rPr>
        <w:t>Abstract</w:t>
      </w:r>
      <w:r w:rsidRPr="002A1FBC">
        <w:rPr>
          <w:iCs/>
        </w:rPr>
        <w:t>)</w:t>
      </w:r>
      <w:r>
        <w:rPr>
          <w:iCs/>
        </w:rPr>
        <w:t xml:space="preserve"> </w:t>
      </w:r>
    </w:p>
    <w:p w14:paraId="76353399" w14:textId="25FE21A4" w:rsidR="00E90E16" w:rsidRDefault="00E90E16" w:rsidP="00E90E16">
      <w:pPr>
        <w:pStyle w:val="Abstract"/>
        <w:rPr>
          <w:i/>
          <w:iCs/>
        </w:rPr>
      </w:pPr>
      <w:r>
        <w:t>Palabras clave</w:t>
      </w:r>
      <w:r w:rsidRPr="004D72B5">
        <w:t>—</w:t>
      </w:r>
      <w:r>
        <w:t xml:space="preserve">wallets, </w:t>
      </w:r>
      <w:proofErr w:type="spellStart"/>
      <w:r>
        <w:t>criptoactivo</w:t>
      </w:r>
      <w:proofErr w:type="spellEnd"/>
      <w:r>
        <w:t xml:space="preserve">, </w:t>
      </w:r>
      <w:proofErr w:type="spellStart"/>
      <w:r>
        <w:t>seguridad</w:t>
      </w:r>
      <w:proofErr w:type="spellEnd"/>
    </w:p>
    <w:p w14:paraId="6A418A8B" w14:textId="7C6CD506" w:rsidR="004D72B5" w:rsidRDefault="009303D9" w:rsidP="00972203">
      <w:pPr>
        <w:pStyle w:val="Abstract"/>
        <w:rPr>
          <w:i/>
          <w:iCs/>
        </w:rPr>
      </w:pPr>
      <w:r w:rsidRPr="002A1FBC">
        <w:rPr>
          <w:i/>
          <w:iCs/>
        </w:rPr>
        <w:t>Abstract</w:t>
      </w:r>
      <w:r w:rsidRPr="002A1FBC">
        <w:t>—</w:t>
      </w:r>
      <w:r w:rsidR="005B0344" w:rsidRPr="002A1FBC">
        <w:t xml:space="preserve">This electronic document is a “live” template and already defines the components of your paper [title, text, heads, etc.] in its style sheet.  </w:t>
      </w:r>
      <w:r w:rsidR="00E7596C" w:rsidRPr="002A1FBC">
        <w:rPr>
          <w:i/>
        </w:rPr>
        <w:t>*</w:t>
      </w:r>
      <w:r w:rsidR="005B0344" w:rsidRPr="002A1FBC">
        <w:rPr>
          <w:i/>
        </w:rPr>
        <w:t>CRITICAL:  Do</w:t>
      </w:r>
      <w:r w:rsidR="005B0344" w:rsidRPr="002A1FBC">
        <w:rPr>
          <w:rFonts w:eastAsia="Times New Roman"/>
          <w:i/>
        </w:rPr>
        <w:t xml:space="preserve"> </w:t>
      </w:r>
      <w:r w:rsidR="005B0344" w:rsidRPr="002A1FBC">
        <w:rPr>
          <w:i/>
        </w:rPr>
        <w:t>Not</w:t>
      </w:r>
      <w:r w:rsidR="005B0344" w:rsidRPr="002A1FBC">
        <w:rPr>
          <w:rFonts w:eastAsia="Times New Roman"/>
          <w:i/>
        </w:rPr>
        <w:t xml:space="preserve"> </w:t>
      </w:r>
      <w:r w:rsidR="005B0344" w:rsidRPr="002A1FBC">
        <w:rPr>
          <w:i/>
        </w:rPr>
        <w:t>Use</w:t>
      </w:r>
      <w:r w:rsidR="005B0344" w:rsidRPr="002A1FBC">
        <w:rPr>
          <w:rFonts w:eastAsia="Times New Roman"/>
          <w:i/>
        </w:rPr>
        <w:t xml:space="preserve"> </w:t>
      </w:r>
      <w:r w:rsidR="005B0344" w:rsidRPr="002A1FBC">
        <w:rPr>
          <w:i/>
        </w:rPr>
        <w:t>Symbols,</w:t>
      </w:r>
      <w:r w:rsidR="005B0344" w:rsidRPr="002A1FBC">
        <w:rPr>
          <w:rFonts w:eastAsia="Times New Roman"/>
          <w:i/>
        </w:rPr>
        <w:t xml:space="preserve"> </w:t>
      </w:r>
      <w:r w:rsidR="005B0344" w:rsidRPr="002A1FBC">
        <w:rPr>
          <w:i/>
        </w:rPr>
        <w:t>Special</w:t>
      </w:r>
      <w:r w:rsidR="005B0344" w:rsidRPr="002A1FBC">
        <w:rPr>
          <w:rFonts w:eastAsia="Times New Roman"/>
          <w:i/>
        </w:rPr>
        <w:t xml:space="preserve"> </w:t>
      </w:r>
      <w:r w:rsidR="005B0344" w:rsidRPr="002A1FBC">
        <w:rPr>
          <w:i/>
        </w:rPr>
        <w:t>Characters,</w:t>
      </w:r>
      <w:r w:rsidR="005B0344" w:rsidRPr="002A1FBC">
        <w:rPr>
          <w:rFonts w:eastAsia="Times New Roman"/>
          <w:i/>
        </w:rPr>
        <w:t xml:space="preserve"> </w:t>
      </w:r>
      <w:r w:rsidR="00D7522C" w:rsidRPr="002A1FBC">
        <w:rPr>
          <w:rFonts w:eastAsia="Times New Roman"/>
          <w:i/>
        </w:rPr>
        <w:t xml:space="preserve">Footnotes, </w:t>
      </w:r>
      <w:r w:rsidR="005B0344" w:rsidRPr="002A1FBC">
        <w:rPr>
          <w:i/>
        </w:rPr>
        <w:t>or</w:t>
      </w:r>
      <w:r w:rsidR="005B0344" w:rsidRPr="002A1FBC">
        <w:rPr>
          <w:rFonts w:eastAsia="Times New Roman"/>
          <w:i/>
        </w:rPr>
        <w:t xml:space="preserve"> </w:t>
      </w:r>
      <w:r w:rsidR="005B0344" w:rsidRPr="002A1FBC">
        <w:rPr>
          <w:i/>
        </w:rPr>
        <w:t>Math</w:t>
      </w:r>
      <w:r w:rsidR="005B0344" w:rsidRPr="002A1FBC">
        <w:rPr>
          <w:rFonts w:eastAsia="Times New Roman"/>
          <w:i/>
        </w:rPr>
        <w:t xml:space="preserve"> </w:t>
      </w:r>
      <w:r w:rsidR="005B0344" w:rsidRPr="002A1FBC">
        <w:rPr>
          <w:i/>
        </w:rPr>
        <w:t>in</w:t>
      </w:r>
      <w:r w:rsidR="005B0344" w:rsidRPr="002A1FBC">
        <w:rPr>
          <w:rFonts w:eastAsia="Times New Roman"/>
          <w:i/>
        </w:rPr>
        <w:t xml:space="preserve"> Paper </w:t>
      </w:r>
      <w:r w:rsidR="005B0344" w:rsidRPr="002A1FBC">
        <w:rPr>
          <w:i/>
        </w:rPr>
        <w:t>Title</w:t>
      </w:r>
      <w:r w:rsidR="005B0344" w:rsidRPr="002A1FBC">
        <w:rPr>
          <w:rFonts w:eastAsia="Times New Roman"/>
          <w:i/>
        </w:rPr>
        <w:t xml:space="preserve"> o</w:t>
      </w:r>
      <w:r w:rsidR="005B0344" w:rsidRPr="002A1FBC">
        <w:rPr>
          <w:i/>
        </w:rPr>
        <w:t>r</w:t>
      </w:r>
      <w:r w:rsidR="005B0344" w:rsidRPr="002A1FBC">
        <w:rPr>
          <w:rFonts w:eastAsia="Times New Roman"/>
          <w:i/>
        </w:rPr>
        <w:t xml:space="preserve"> </w:t>
      </w:r>
      <w:r w:rsidR="005B0344" w:rsidRPr="002A1FBC">
        <w:rPr>
          <w:i/>
        </w:rPr>
        <w:t>Abstract</w:t>
      </w:r>
      <w:r w:rsidRPr="002A1FBC">
        <w:t xml:space="preserve">. </w:t>
      </w:r>
      <w:r w:rsidRPr="002A1FBC">
        <w:rPr>
          <w:iCs/>
        </w:rPr>
        <w:t>(</w:t>
      </w:r>
      <w:r w:rsidRPr="002A1FBC">
        <w:rPr>
          <w:b w:val="0"/>
          <w:i/>
          <w:iCs/>
        </w:rPr>
        <w:t>Abstract</w:t>
      </w:r>
      <w:r w:rsidRPr="002A1FBC">
        <w:rPr>
          <w:iCs/>
        </w:rPr>
        <w:t>)</w:t>
      </w:r>
      <w:r w:rsidR="001A42EA">
        <w:rPr>
          <w:iCs/>
        </w:rPr>
        <w:t xml:space="preserve"> </w:t>
      </w:r>
    </w:p>
    <w:p w14:paraId="6F6CE47D" w14:textId="21AA18BB" w:rsidR="009303D9" w:rsidRPr="004D72B5" w:rsidRDefault="004D72B5" w:rsidP="00972203">
      <w:pPr>
        <w:pStyle w:val="Keywords"/>
      </w:pPr>
      <w:r w:rsidRPr="004D72B5">
        <w:t>Keywords—</w:t>
      </w:r>
      <w:r w:rsidR="00472840">
        <w:t xml:space="preserve">wallets, </w:t>
      </w:r>
      <w:proofErr w:type="spellStart"/>
      <w:r w:rsidR="00E90E16" w:rsidRPr="00E90E16">
        <w:t>cryptoasset</w:t>
      </w:r>
      <w:proofErr w:type="spellEnd"/>
      <w:r w:rsidR="00472840">
        <w:t>, s</w:t>
      </w:r>
      <w:r w:rsidR="00E90E16">
        <w:t>ecurity</w:t>
      </w:r>
    </w:p>
    <w:p w14:paraId="13B7A8FD" w14:textId="02975E1D" w:rsidR="00502429" w:rsidRPr="00502429" w:rsidRDefault="009303D9" w:rsidP="00502429">
      <w:pPr>
        <w:pStyle w:val="Ttulo1"/>
      </w:pPr>
      <w:r w:rsidRPr="00D632BE">
        <w:t>Introduc</w:t>
      </w:r>
      <w:r w:rsidR="00EB6D0D">
        <w:t>ción</w:t>
      </w:r>
    </w:p>
    <w:p w14:paraId="27AC1B8B" w14:textId="65882D7D" w:rsidR="00E90E16" w:rsidRDefault="00502429" w:rsidP="00D509FA">
      <w:pPr>
        <w:pStyle w:val="Textoindependiente"/>
        <w:rPr>
          <w:lang w:val="es-CO"/>
        </w:rPr>
      </w:pPr>
      <w:r>
        <w:rPr>
          <w:lang w:val="es-CO"/>
        </w:rPr>
        <w:t xml:space="preserve">En </w:t>
      </w:r>
      <w:r w:rsidR="006838A4">
        <w:rPr>
          <w:lang w:val="es-CO"/>
        </w:rPr>
        <w:t>el siguiente artículo se</w:t>
      </w:r>
      <w:r w:rsidR="00CE33AC">
        <w:rPr>
          <w:lang w:val="es-CO"/>
        </w:rPr>
        <w:t xml:space="preserve"> abordar</w:t>
      </w:r>
      <w:r w:rsidR="00FE213F">
        <w:rPr>
          <w:lang w:val="es-CO"/>
        </w:rPr>
        <w:t>á</w:t>
      </w:r>
      <w:r w:rsidR="006838A4">
        <w:rPr>
          <w:lang w:val="es-CO"/>
        </w:rPr>
        <w:t xml:space="preserve"> el concepto de</w:t>
      </w:r>
      <w:r w:rsidR="00FE213F">
        <w:rPr>
          <w:lang w:val="es-CO"/>
        </w:rPr>
        <w:t xml:space="preserve"> las</w:t>
      </w:r>
      <w:r w:rsidR="006838A4">
        <w:rPr>
          <w:lang w:val="es-CO"/>
        </w:rPr>
        <w:t xml:space="preserve"> </w:t>
      </w:r>
      <w:proofErr w:type="spellStart"/>
      <w:r w:rsidR="00E90E16">
        <w:rPr>
          <w:lang w:val="es-CO"/>
        </w:rPr>
        <w:t>w</w:t>
      </w:r>
      <w:r w:rsidR="006838A4">
        <w:rPr>
          <w:lang w:val="es-CO"/>
        </w:rPr>
        <w:t>allets</w:t>
      </w:r>
      <w:proofErr w:type="spellEnd"/>
      <w:r w:rsidR="00E90E16">
        <w:rPr>
          <w:lang w:val="es-CO"/>
        </w:rPr>
        <w:t xml:space="preserve"> como herramientas de administración </w:t>
      </w:r>
      <w:r w:rsidR="00E90E16">
        <w:rPr>
          <w:lang w:val="es-CO"/>
        </w:rPr>
        <w:t>de los criptoactivos</w:t>
      </w:r>
      <w:r w:rsidR="00CE33AC">
        <w:rPr>
          <w:lang w:val="es-CO"/>
        </w:rPr>
        <w:t xml:space="preserve">, </w:t>
      </w:r>
      <w:r w:rsidR="00E90E16">
        <w:rPr>
          <w:lang w:val="es-CO"/>
        </w:rPr>
        <w:t>a partir de</w:t>
      </w:r>
      <w:r w:rsidR="00CE33AC">
        <w:rPr>
          <w:lang w:val="es-CO"/>
        </w:rPr>
        <w:t xml:space="preserve"> una </w:t>
      </w:r>
      <w:r w:rsidR="00CE33AC" w:rsidRPr="002A1FBC">
        <w:rPr>
          <w:highlight w:val="yellow"/>
          <w:lang w:val="es-CO"/>
        </w:rPr>
        <w:t>discusión en torno a sus fundamentos</w:t>
      </w:r>
      <w:r w:rsidR="00FE213F" w:rsidRPr="002A1FBC">
        <w:rPr>
          <w:highlight w:val="yellow"/>
          <w:lang w:val="es-CO"/>
        </w:rPr>
        <w:t xml:space="preserve"> y su efectividad</w:t>
      </w:r>
      <w:r w:rsidR="00FE213F">
        <w:rPr>
          <w:lang w:val="es-CO"/>
        </w:rPr>
        <w:t xml:space="preserve"> en la asegurabilidad </w:t>
      </w:r>
      <w:r w:rsidR="00E90E16">
        <w:rPr>
          <w:lang w:val="es-CO"/>
        </w:rPr>
        <w:t xml:space="preserve">de las </w:t>
      </w:r>
      <w:r w:rsidR="00FE213F">
        <w:rPr>
          <w:lang w:val="es-CO"/>
        </w:rPr>
        <w:t>llaves criptográficas.</w:t>
      </w:r>
      <w:r w:rsidR="00EB6D0D">
        <w:rPr>
          <w:lang w:val="es-CO"/>
        </w:rPr>
        <w:t xml:space="preserve"> La </w:t>
      </w:r>
      <w:r w:rsidR="002A1FBC">
        <w:rPr>
          <w:lang w:val="es-CO"/>
        </w:rPr>
        <w:t>exploración de información</w:t>
      </w:r>
      <w:r w:rsidR="00EB6D0D">
        <w:rPr>
          <w:lang w:val="es-CO"/>
        </w:rPr>
        <w:t xml:space="preserve"> se</w:t>
      </w:r>
      <w:r w:rsidR="00C65FB4">
        <w:rPr>
          <w:lang w:val="es-CO"/>
        </w:rPr>
        <w:t xml:space="preserve"> </w:t>
      </w:r>
      <w:proofErr w:type="gramStart"/>
      <w:r w:rsidR="00C65FB4">
        <w:rPr>
          <w:lang w:val="es-CO"/>
        </w:rPr>
        <w:t>centrara</w:t>
      </w:r>
      <w:proofErr w:type="gramEnd"/>
      <w:r w:rsidR="00EB6D0D">
        <w:rPr>
          <w:lang w:val="es-CO"/>
        </w:rPr>
        <w:t xml:space="preserve"> en su mayoría en</w:t>
      </w:r>
      <w:r w:rsidR="002A1FBC">
        <w:rPr>
          <w:lang w:val="es-CO"/>
        </w:rPr>
        <w:t xml:space="preserve"> producciones</w:t>
      </w:r>
      <w:r w:rsidR="00EB6D0D">
        <w:rPr>
          <w:lang w:val="es-CO"/>
        </w:rPr>
        <w:t xml:space="preserve"> posterior al</w:t>
      </w:r>
      <w:r w:rsidR="00C65FB4">
        <w:rPr>
          <w:lang w:val="es-CO"/>
        </w:rPr>
        <w:t xml:space="preserve"> año</w:t>
      </w:r>
      <w:r w:rsidR="00EB6D0D">
        <w:rPr>
          <w:lang w:val="es-CO"/>
        </w:rPr>
        <w:t xml:space="preserve"> 2017</w:t>
      </w:r>
      <w:r w:rsidR="002A1FBC">
        <w:rPr>
          <w:lang w:val="es-CO"/>
        </w:rPr>
        <w:t xml:space="preserve">, momento en el cual se dio un crecimiento acelerado en el ámbito del Blockchain y las criptomonedas debito a la inversión por parte </w:t>
      </w:r>
      <w:r w:rsidR="00C65FB4">
        <w:rPr>
          <w:lang w:val="es-CO"/>
        </w:rPr>
        <w:t>de grandes empresas y el publico en generar que despertaban su interés en las nuevas tendencias del mundo digital.</w:t>
      </w:r>
    </w:p>
    <w:p w14:paraId="3C25A3B2" w14:textId="77777777" w:rsidR="009303D9" w:rsidRPr="006B6B66" w:rsidRDefault="009303D9" w:rsidP="006B6B66">
      <w:pPr>
        <w:pStyle w:val="Ttulo1"/>
      </w:pPr>
      <w:r w:rsidRPr="006B6B66">
        <w:t>Ease of Use</w:t>
      </w:r>
    </w:p>
    <w:p w14:paraId="0B05B710" w14:textId="77777777" w:rsidR="009303D9" w:rsidRDefault="009303D9" w:rsidP="00ED0149">
      <w:pPr>
        <w:pStyle w:val="Ttulo2"/>
      </w:pPr>
      <w:r>
        <w:t xml:space="preserve">Selecting a </w:t>
      </w:r>
      <w:r w:rsidRPr="00F271DE">
        <w:t>Template</w:t>
      </w:r>
      <w:r>
        <w:t xml:space="preserve"> (Heading 2)</w:t>
      </w:r>
    </w:p>
    <w:p w14:paraId="754C9AA7" w14:textId="77777777" w:rsidR="009303D9" w:rsidRDefault="009303D9" w:rsidP="00E7596C">
      <w:pPr>
        <w:pStyle w:val="Textoindependiente"/>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16D60191" w14:textId="77777777" w:rsidR="006347CF" w:rsidRPr="005B520E" w:rsidRDefault="006347CF" w:rsidP="00E7596C">
      <w:pPr>
        <w:pStyle w:val="Textoindependiente"/>
      </w:pPr>
    </w:p>
    <w:p w14:paraId="2B06C5C2" w14:textId="77777777" w:rsidR="009303D9" w:rsidRPr="005B520E" w:rsidRDefault="009303D9" w:rsidP="00ED0149">
      <w:pPr>
        <w:pStyle w:val="Ttulo2"/>
      </w:pPr>
      <w:r w:rsidRPr="005B520E">
        <w:t>Maintaining the Integrity of the Specifications</w:t>
      </w:r>
    </w:p>
    <w:p w14:paraId="3DDD7227"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7371115D" w14:textId="77777777" w:rsidR="009303D9" w:rsidRPr="005B520E" w:rsidRDefault="009303D9" w:rsidP="00E7596C">
      <w:pPr>
        <w:pStyle w:val="Textoindependiente"/>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B41CC3" w14:textId="77777777" w:rsidR="009303D9" w:rsidRDefault="009303D9" w:rsidP="006B6B66">
      <w:pPr>
        <w:pStyle w:val="Ttulo1"/>
      </w:pPr>
      <w:r>
        <w:t xml:space="preserve">Prepare Your Paper </w:t>
      </w:r>
      <w:r w:rsidRPr="005B520E">
        <w:t>Before</w:t>
      </w:r>
      <w:r>
        <w:t xml:space="preserve"> Styling</w:t>
      </w:r>
    </w:p>
    <w:p w14:paraId="3FC047F8" w14:textId="77777777" w:rsidR="00D7522C" w:rsidRPr="00D7522C" w:rsidRDefault="009303D9" w:rsidP="00E7596C">
      <w:pPr>
        <w:pStyle w:val="Textoindependiente"/>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4E95DAD9" w14:textId="77777777" w:rsidR="009303D9" w:rsidRPr="005B520E" w:rsidRDefault="009303D9" w:rsidP="00E7596C">
      <w:pPr>
        <w:pStyle w:val="Textoindependiente"/>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5F983EE" w14:textId="77777777" w:rsidR="009303D9" w:rsidRDefault="009303D9" w:rsidP="00ED0149">
      <w:pPr>
        <w:pStyle w:val="Ttulo2"/>
      </w:pPr>
      <w:r w:rsidRPr="00ED0149">
        <w:t>Abbreviations</w:t>
      </w:r>
      <w:r>
        <w:t xml:space="preserve"> and Acronyms</w:t>
      </w:r>
    </w:p>
    <w:p w14:paraId="30473E25" w14:textId="77777777" w:rsidR="009303D9" w:rsidRPr="005B520E" w:rsidRDefault="009303D9" w:rsidP="00E7596C">
      <w:pPr>
        <w:pStyle w:val="Textoindependiente"/>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w:t>
      </w:r>
      <w:proofErr w:type="spellStart"/>
      <w:r w:rsidRPr="005B520E">
        <w:t>dc</w:t>
      </w:r>
      <w:proofErr w:type="spellEnd"/>
      <w:r w:rsidRPr="005B520E">
        <w:t xml:space="preserve">, and </w:t>
      </w:r>
      <w:proofErr w:type="spellStart"/>
      <w:r w:rsidRPr="005B520E">
        <w:t>rms</w:t>
      </w:r>
      <w:proofErr w:type="spellEnd"/>
      <w:r w:rsidRPr="005B520E">
        <w:t xml:space="preserve"> do not have to be defined. Do not use abbreviations in the title or heads unless they are unavoidable.</w:t>
      </w:r>
    </w:p>
    <w:p w14:paraId="3827CE82" w14:textId="77777777" w:rsidR="009303D9" w:rsidRDefault="009303D9" w:rsidP="00ED0149">
      <w:pPr>
        <w:pStyle w:val="Ttulo2"/>
      </w:pPr>
      <w:r>
        <w:t>Units</w:t>
      </w:r>
    </w:p>
    <w:p w14:paraId="6A2A2C7D"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EF99A63" w14:textId="77777777" w:rsidR="009303D9" w:rsidRPr="005B520E" w:rsidRDefault="009303D9" w:rsidP="00E7596C">
      <w:pPr>
        <w:pStyle w:val="bulletlist"/>
      </w:pPr>
      <w:r w:rsidRPr="005B520E">
        <w:t xml:space="preserve">Avoid combining SI and CGS units, such as current in amperes and </w:t>
      </w:r>
      <w:proofErr w:type="spellStart"/>
      <w:r w:rsidRPr="005B520E">
        <w:t>magnetic</w:t>
      </w:r>
      <w:proofErr w:type="spellEnd"/>
      <w:r w:rsidRPr="005B520E">
        <w:t xml:space="preserve"> </w:t>
      </w:r>
      <w:proofErr w:type="spellStart"/>
      <w:r w:rsidRPr="005B520E">
        <w:t>field</w:t>
      </w:r>
      <w:proofErr w:type="spellEnd"/>
      <w:r w:rsidRPr="005B520E">
        <w:t xml:space="preserve">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8A4C624" w14:textId="77777777" w:rsidR="009303D9" w:rsidRPr="005B520E" w:rsidRDefault="009303D9" w:rsidP="00E7596C">
      <w:pPr>
        <w:pStyle w:val="bulletlist"/>
      </w:pPr>
      <w:r w:rsidRPr="005B520E">
        <w:t xml:space="preserve">Do not mix complete spellings and </w:t>
      </w:r>
      <w:proofErr w:type="spellStart"/>
      <w:r w:rsidRPr="005B520E">
        <w:t>abbreviations</w:t>
      </w:r>
      <w:proofErr w:type="spellEnd"/>
      <w:r w:rsidRPr="005B520E">
        <w:t xml:space="preserve"> </w:t>
      </w:r>
      <w:proofErr w:type="spellStart"/>
      <w:r w:rsidRPr="005B520E">
        <w:t>of</w:t>
      </w:r>
      <w:proofErr w:type="spellEnd"/>
      <w:r w:rsidRPr="005B520E">
        <w:t xml:space="preserve"> </w:t>
      </w:r>
      <w:proofErr w:type="spellStart"/>
      <w:r w:rsidRPr="005B520E">
        <w:t>units</w:t>
      </w:r>
      <w:proofErr w:type="spellEnd"/>
      <w:r w:rsidRPr="005B520E">
        <w:t xml:space="preserve">: “Wb/m2” </w:t>
      </w:r>
      <w:proofErr w:type="spellStart"/>
      <w:r w:rsidRPr="005B520E">
        <w:t>or</w:t>
      </w:r>
      <w:proofErr w:type="spellEnd"/>
      <w:r w:rsidRPr="005B520E">
        <w:t xml:space="preserve"> “webers per </w:t>
      </w:r>
      <w:proofErr w:type="spellStart"/>
      <w:r w:rsidRPr="005B520E">
        <w:t>square</w:t>
      </w:r>
      <w:proofErr w:type="spellEnd"/>
      <w:r w:rsidRPr="005B520E">
        <w:t xml:space="preserve"> meter”, </w:t>
      </w:r>
      <w:proofErr w:type="spellStart"/>
      <w:r w:rsidRPr="005B520E">
        <w:t>not</w:t>
      </w:r>
      <w:proofErr w:type="spellEnd"/>
      <w:r w:rsidRPr="005B520E">
        <w:t xml:space="preserve"> “webers/m2”.  Spell out units when they appear in text: “. . . a </w:t>
      </w:r>
      <w:proofErr w:type="spellStart"/>
      <w:r w:rsidRPr="005B520E">
        <w:t>few</w:t>
      </w:r>
      <w:proofErr w:type="spellEnd"/>
      <w:r w:rsidRPr="005B520E">
        <w:t xml:space="preserve"> </w:t>
      </w:r>
      <w:proofErr w:type="spellStart"/>
      <w:r w:rsidRPr="005B520E">
        <w:t>henries</w:t>
      </w:r>
      <w:proofErr w:type="spellEnd"/>
      <w:r w:rsidRPr="005B520E">
        <w:t>”, not “. . . a few H”.</w:t>
      </w:r>
    </w:p>
    <w:p w14:paraId="64524EC8"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44A54AAA" w14:textId="77777777" w:rsidR="009303D9" w:rsidRPr="005B520E" w:rsidRDefault="009303D9" w:rsidP="00ED0149">
      <w:pPr>
        <w:pStyle w:val="Ttulo2"/>
      </w:pPr>
      <w:r w:rsidRPr="005B520E">
        <w:t>Equations</w:t>
      </w:r>
    </w:p>
    <w:p w14:paraId="142E26D7" w14:textId="77777777" w:rsidR="009303D9" w:rsidRPr="005B520E" w:rsidRDefault="009303D9" w:rsidP="00E7596C">
      <w:pPr>
        <w:pStyle w:val="Textoindependiente"/>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994B9BB" w14:textId="77777777" w:rsidR="009303D9" w:rsidRPr="00D7522C" w:rsidRDefault="009303D9" w:rsidP="00E7596C">
      <w:pPr>
        <w:pStyle w:val="Textoindependiente"/>
        <w:rPr>
          <w:lang w:val="en-US"/>
        </w:rPr>
      </w:pPr>
      <w:r w:rsidRPr="005B520E">
        <w:lastRenderedPageBreak/>
        <w:t xml:space="preserve">Number equations consecutively. Equation numbers, within parentheses, are to position flush right, as in (1), using a right tab stop. To make your equations more compact, you may use the solidus ( / ), </w:t>
      </w:r>
      <w:proofErr w:type="spellStart"/>
      <w:r w:rsidRPr="005B520E">
        <w:t>the</w:t>
      </w:r>
      <w:proofErr w:type="spellEnd"/>
      <w:r w:rsidRPr="005B520E">
        <w:t xml:space="preserve"> </w:t>
      </w:r>
      <w:proofErr w:type="spellStart"/>
      <w:r w:rsidRPr="005B520E">
        <w:t>exp</w:t>
      </w:r>
      <w:proofErr w:type="spellEnd"/>
      <w:r w:rsidRPr="005B520E">
        <w:t xml:space="preserve"> </w:t>
      </w:r>
      <w:proofErr w:type="spellStart"/>
      <w:r w:rsidRPr="005B520E">
        <w:t>function</w:t>
      </w:r>
      <w:proofErr w:type="spellEnd"/>
      <w:r w:rsidRPr="005B520E">
        <w:t xml:space="preserve">, </w:t>
      </w:r>
      <w:proofErr w:type="spellStart"/>
      <w:r w:rsidRPr="005B520E">
        <w:t>or</w:t>
      </w:r>
      <w:proofErr w:type="spellEnd"/>
      <w:r w:rsidRPr="005B520E">
        <w:t xml:space="preserve"> </w:t>
      </w:r>
      <w:proofErr w:type="spellStart"/>
      <w:r w:rsidRPr="005B520E">
        <w:t>appropriate</w:t>
      </w:r>
      <w:proofErr w:type="spellEnd"/>
      <w:r w:rsidRPr="005B520E">
        <w:t xml:space="preserv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69A61A8A"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245517A5" w14:textId="77777777" w:rsidR="009303D9" w:rsidRDefault="009303D9" w:rsidP="00E7596C">
      <w:pPr>
        <w:pStyle w:val="Textoindependiente"/>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F78E3EA" w14:textId="77777777" w:rsidR="009303D9" w:rsidRDefault="009303D9" w:rsidP="00ED0149">
      <w:pPr>
        <w:pStyle w:val="Ttulo2"/>
      </w:pPr>
      <w:r>
        <w:t>Some Common Mistakes</w:t>
      </w:r>
    </w:p>
    <w:p w14:paraId="0BCC7315" w14:textId="77777777" w:rsidR="009303D9" w:rsidRPr="005B520E" w:rsidRDefault="009303D9" w:rsidP="00E7596C">
      <w:pPr>
        <w:pStyle w:val="bulletlist"/>
      </w:pPr>
      <w:r w:rsidRPr="005B520E">
        <w:t>The word “data” is plural, not singular.</w:t>
      </w:r>
    </w:p>
    <w:p w14:paraId="3D67B5D6"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4EB797F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44E255D"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74FC4EED" w14:textId="77777777" w:rsidR="009303D9" w:rsidRPr="005B520E" w:rsidRDefault="009303D9" w:rsidP="00E7596C">
      <w:pPr>
        <w:pStyle w:val="bulletlist"/>
      </w:pPr>
      <w:r w:rsidRPr="005B520E">
        <w:t>Do not use the word “essentially” to mean “approximately” or “effectively”.</w:t>
      </w:r>
    </w:p>
    <w:p w14:paraId="0E6CDAE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01168CB0"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591FFB53" w14:textId="77777777" w:rsidR="009303D9" w:rsidRPr="005B520E" w:rsidRDefault="009303D9" w:rsidP="00E7596C">
      <w:pPr>
        <w:pStyle w:val="bulletlist"/>
      </w:pPr>
      <w:r w:rsidRPr="005B520E">
        <w:t>Do not confuse “imply” and “infer”.</w:t>
      </w:r>
    </w:p>
    <w:p w14:paraId="3AF9929E" w14:textId="77777777" w:rsidR="009303D9" w:rsidRPr="005B520E" w:rsidRDefault="009303D9" w:rsidP="00E7596C">
      <w:pPr>
        <w:pStyle w:val="bulletlist"/>
      </w:pPr>
      <w:r w:rsidRPr="005B520E">
        <w:t>The prefix “non” is not a word; it should be joined to the word it modifies, usually without a hyphen.</w:t>
      </w:r>
    </w:p>
    <w:p w14:paraId="137A992F" w14:textId="77777777" w:rsidR="009303D9" w:rsidRPr="005B520E" w:rsidRDefault="009303D9" w:rsidP="00E7596C">
      <w:pPr>
        <w:pStyle w:val="bulletlist"/>
      </w:pPr>
      <w:r w:rsidRPr="005B520E">
        <w:t>There is no period after the “et” in the Latin abbreviation “et al.”.</w:t>
      </w:r>
    </w:p>
    <w:p w14:paraId="6153551F" w14:textId="77777777" w:rsidR="009303D9" w:rsidRPr="005B520E" w:rsidRDefault="009303D9" w:rsidP="00E7596C">
      <w:pPr>
        <w:pStyle w:val="bulletlist"/>
      </w:pPr>
      <w:r w:rsidRPr="005B520E">
        <w:t>The abbreviation “i.e.” means “that is”, and the abbreviation “e.g.” means “for example”.</w:t>
      </w:r>
    </w:p>
    <w:p w14:paraId="54F5772D" w14:textId="77777777" w:rsidR="009303D9" w:rsidRPr="005B520E" w:rsidRDefault="009303D9" w:rsidP="00E7596C">
      <w:pPr>
        <w:pStyle w:val="Textoindependiente"/>
      </w:pPr>
      <w:r w:rsidRPr="005B520E">
        <w:t>An excellent style manual for science writers is [7].</w:t>
      </w:r>
    </w:p>
    <w:p w14:paraId="67E9EF48" w14:textId="77777777" w:rsidR="009303D9" w:rsidRDefault="009303D9" w:rsidP="006B6B66">
      <w:pPr>
        <w:pStyle w:val="Ttulo1"/>
      </w:pPr>
      <w:r>
        <w:t xml:space="preserve">Using the </w:t>
      </w:r>
      <w:r w:rsidRPr="005B520E">
        <w:t>Template</w:t>
      </w:r>
    </w:p>
    <w:p w14:paraId="148D999D" w14:textId="77777777" w:rsidR="009303D9" w:rsidRPr="005B520E" w:rsidRDefault="009303D9" w:rsidP="00E7596C">
      <w:pPr>
        <w:pStyle w:val="Textoindependiente"/>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74AEA90" w14:textId="77777777" w:rsidR="009303D9" w:rsidRDefault="009303D9" w:rsidP="00ED0149">
      <w:pPr>
        <w:pStyle w:val="Ttulo2"/>
      </w:pPr>
      <w:r w:rsidRPr="005B520E">
        <w:t>Authors</w:t>
      </w:r>
      <w:r>
        <w:t xml:space="preserve"> and Affiliations</w:t>
      </w:r>
    </w:p>
    <w:p w14:paraId="30155794" w14:textId="77777777" w:rsidR="009303D9" w:rsidRPr="005B520E" w:rsidRDefault="009303D9" w:rsidP="00E7596C">
      <w:pPr>
        <w:pStyle w:val="Textoindependiente"/>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3DCD8442" w14:textId="77777777" w:rsidR="002850E3" w:rsidRDefault="002850E3" w:rsidP="00794804">
      <w:pPr>
        <w:pStyle w:val="Ttulo3"/>
      </w:pPr>
      <w:r>
        <w:t xml:space="preserve">For papers with more than six authors: </w:t>
      </w:r>
      <w:r>
        <w:rPr>
          <w:i w:val="0"/>
        </w:rPr>
        <w:t>Add author names horizontally, moving to a third row if needed for more than 8 authors.</w:t>
      </w:r>
    </w:p>
    <w:p w14:paraId="1057BA5C" w14:textId="77777777" w:rsidR="009303D9" w:rsidRPr="005B520E" w:rsidRDefault="009303D9" w:rsidP="00794804">
      <w:pPr>
        <w:pStyle w:val="Ttu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09521DC" w14:textId="77777777" w:rsidR="009303D9" w:rsidRPr="005B520E" w:rsidRDefault="009303D9" w:rsidP="00794804">
      <w:pPr>
        <w:pStyle w:val="Ttulo4"/>
      </w:pPr>
      <w:r w:rsidRPr="00794804">
        <w:t>Selection</w:t>
      </w:r>
      <w:r w:rsidRPr="005B520E">
        <w:t xml:space="preserve">: </w:t>
      </w:r>
      <w:r w:rsidRPr="00FA4C32">
        <w:rPr>
          <w:i w:val="0"/>
        </w:rPr>
        <w:t>Highlight all author and affiliation lines.</w:t>
      </w:r>
    </w:p>
    <w:p w14:paraId="44409E82" w14:textId="77777777" w:rsidR="009303D9" w:rsidRPr="005B520E" w:rsidRDefault="009303D9" w:rsidP="00794804">
      <w:pPr>
        <w:pStyle w:val="Ttu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E0DB3CB" w14:textId="77777777" w:rsidR="007D6232" w:rsidRDefault="009303D9" w:rsidP="007D6232">
      <w:pPr>
        <w:pStyle w:val="Ttulo4"/>
        <w:rPr>
          <w:i w:val="0"/>
        </w:rPr>
      </w:pPr>
      <w:r w:rsidRPr="005B520E">
        <w:t xml:space="preserve">Deletion: </w:t>
      </w:r>
      <w:r w:rsidRPr="00FA4C32">
        <w:rPr>
          <w:i w:val="0"/>
        </w:rPr>
        <w:t xml:space="preserve">Delete the author and affiliation lines for the </w:t>
      </w:r>
      <w:r w:rsidR="00354FCF">
        <w:rPr>
          <w:i w:val="0"/>
        </w:rPr>
        <w:t>extra authors.</w:t>
      </w:r>
    </w:p>
    <w:p w14:paraId="6EB77964" w14:textId="77777777" w:rsidR="006F6D3D" w:rsidRDefault="006F6D3D" w:rsidP="006F6D3D">
      <w:pPr>
        <w:jc w:val="start"/>
        <w:rPr>
          <w:i/>
          <w:iCs/>
          <w:noProof/>
        </w:rPr>
      </w:pPr>
    </w:p>
    <w:p w14:paraId="0FB8DAE8" w14:textId="77777777" w:rsidR="009303D9" w:rsidRDefault="009303D9" w:rsidP="00ED0149">
      <w:pPr>
        <w:pStyle w:val="Ttulo2"/>
      </w:pPr>
      <w:r w:rsidRPr="005B520E">
        <w:t>Identify</w:t>
      </w:r>
      <w:r>
        <w:t xml:space="preserve"> the Headings</w:t>
      </w:r>
    </w:p>
    <w:p w14:paraId="41B2A736" w14:textId="77777777" w:rsidR="009303D9" w:rsidRPr="005B520E" w:rsidRDefault="009303D9" w:rsidP="00E7596C">
      <w:pPr>
        <w:pStyle w:val="Textoindependiente"/>
      </w:pPr>
      <w:r w:rsidRPr="005B520E">
        <w:t>Headings, or heads, are organizational devices that guide the reader through your paper. There are two types: component heads and text heads.</w:t>
      </w:r>
    </w:p>
    <w:p w14:paraId="7DC58D8B" w14:textId="77777777" w:rsidR="009303D9" w:rsidRPr="005B520E" w:rsidRDefault="009303D9" w:rsidP="00E7596C">
      <w:pPr>
        <w:pStyle w:val="Textoindependiente"/>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ED3FFEA" w14:textId="77777777" w:rsidR="009303D9" w:rsidRPr="005B520E" w:rsidRDefault="009303D9" w:rsidP="00E7596C">
      <w:pPr>
        <w:pStyle w:val="Textoindependiente"/>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60D7592" w14:textId="77777777" w:rsidR="009303D9" w:rsidRDefault="009303D9" w:rsidP="00ED0149">
      <w:pPr>
        <w:pStyle w:val="Ttulo2"/>
      </w:pPr>
      <w:r>
        <w:t>Figures and Tables</w:t>
      </w:r>
    </w:p>
    <w:p w14:paraId="0D643969" w14:textId="77777777" w:rsidR="009303D9" w:rsidRDefault="0004781E" w:rsidP="00FA4C32">
      <w:pPr>
        <w:pStyle w:val="Ttulo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w:t>
      </w:r>
      <w:r w:rsidR="009303D9" w:rsidRPr="00FA4C32">
        <w:rPr>
          <w:i w:val="0"/>
        </w:rPr>
        <w:lastRenderedPageBreak/>
        <w:t>across both columns. Figure captions should be below the figures; table heads should appear above the tables. Insert figures and tables after they are cited in the text. Use the abbreviation “Fig. 1”, even at the beginning of a sentence.</w:t>
      </w:r>
    </w:p>
    <w:p w14:paraId="58FB1CAD"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0D24F537" w14:textId="77777777">
        <w:trPr>
          <w:cantSplit/>
          <w:trHeight w:val="240"/>
          <w:tblHeader/>
          <w:jc w:val="center"/>
        </w:trPr>
        <w:tc>
          <w:tcPr>
            <w:tcW w:w="36pt" w:type="dxa"/>
            <w:vMerge w:val="restart"/>
            <w:vAlign w:val="center"/>
          </w:tcPr>
          <w:p w14:paraId="34880725" w14:textId="77777777" w:rsidR="009303D9" w:rsidRDefault="009303D9">
            <w:pPr>
              <w:pStyle w:val="tablecolhead"/>
            </w:pPr>
            <w:r>
              <w:t>Table Head</w:t>
            </w:r>
          </w:p>
        </w:tc>
        <w:tc>
          <w:tcPr>
            <w:tcW w:w="207pt" w:type="dxa"/>
            <w:gridSpan w:val="3"/>
            <w:vAlign w:val="center"/>
          </w:tcPr>
          <w:p w14:paraId="6186D84D" w14:textId="77777777" w:rsidR="009303D9" w:rsidRDefault="009303D9">
            <w:pPr>
              <w:pStyle w:val="tablecolhead"/>
            </w:pPr>
            <w:r>
              <w:t>Table Column Head</w:t>
            </w:r>
          </w:p>
        </w:tc>
      </w:tr>
      <w:tr w:rsidR="009303D9" w14:paraId="30B5ADB9" w14:textId="77777777">
        <w:trPr>
          <w:cantSplit/>
          <w:trHeight w:val="240"/>
          <w:tblHeader/>
          <w:jc w:val="center"/>
        </w:trPr>
        <w:tc>
          <w:tcPr>
            <w:tcW w:w="36pt" w:type="dxa"/>
            <w:vMerge/>
          </w:tcPr>
          <w:p w14:paraId="5DE00064" w14:textId="77777777" w:rsidR="009303D9" w:rsidRDefault="009303D9">
            <w:pPr>
              <w:rPr>
                <w:sz w:val="16"/>
                <w:szCs w:val="16"/>
              </w:rPr>
            </w:pPr>
          </w:p>
        </w:tc>
        <w:tc>
          <w:tcPr>
            <w:tcW w:w="117pt" w:type="dxa"/>
            <w:vAlign w:val="center"/>
          </w:tcPr>
          <w:p w14:paraId="757BEC1E" w14:textId="77777777" w:rsidR="009303D9" w:rsidRDefault="009303D9">
            <w:pPr>
              <w:pStyle w:val="tablecolsubhead"/>
            </w:pPr>
            <w:r>
              <w:t>Table column subhead</w:t>
            </w:r>
          </w:p>
        </w:tc>
        <w:tc>
          <w:tcPr>
            <w:tcW w:w="45pt" w:type="dxa"/>
            <w:vAlign w:val="center"/>
          </w:tcPr>
          <w:p w14:paraId="2E1E3B67" w14:textId="77777777" w:rsidR="009303D9" w:rsidRDefault="009303D9">
            <w:pPr>
              <w:pStyle w:val="tablecolsubhead"/>
            </w:pPr>
            <w:r>
              <w:t>Subhead</w:t>
            </w:r>
          </w:p>
        </w:tc>
        <w:tc>
          <w:tcPr>
            <w:tcW w:w="45pt" w:type="dxa"/>
            <w:vAlign w:val="center"/>
          </w:tcPr>
          <w:p w14:paraId="58D9A5AC" w14:textId="77777777" w:rsidR="009303D9" w:rsidRDefault="009303D9">
            <w:pPr>
              <w:pStyle w:val="tablecolsubhead"/>
            </w:pPr>
            <w:r>
              <w:t>Subhead</w:t>
            </w:r>
          </w:p>
        </w:tc>
      </w:tr>
      <w:tr w:rsidR="009303D9" w14:paraId="54FE6041" w14:textId="77777777">
        <w:trPr>
          <w:trHeight w:val="320"/>
          <w:jc w:val="center"/>
        </w:trPr>
        <w:tc>
          <w:tcPr>
            <w:tcW w:w="36pt" w:type="dxa"/>
            <w:vAlign w:val="center"/>
          </w:tcPr>
          <w:p w14:paraId="44D65DCF" w14:textId="77777777" w:rsidR="009303D9" w:rsidRDefault="009303D9">
            <w:pPr>
              <w:pStyle w:val="tablecopy"/>
              <w:rPr>
                <w:sz w:val="8"/>
                <w:szCs w:val="8"/>
              </w:rPr>
            </w:pPr>
            <w:r>
              <w:t>copy</w:t>
            </w:r>
          </w:p>
        </w:tc>
        <w:tc>
          <w:tcPr>
            <w:tcW w:w="117pt" w:type="dxa"/>
            <w:vAlign w:val="center"/>
          </w:tcPr>
          <w:p w14:paraId="6ED9B29A" w14:textId="77777777" w:rsidR="009303D9" w:rsidRDefault="009303D9">
            <w:pPr>
              <w:pStyle w:val="tablecopy"/>
            </w:pPr>
            <w:r>
              <w:t>More table copy</w:t>
            </w:r>
            <w:r>
              <w:rPr>
                <w:vertAlign w:val="superscript"/>
              </w:rPr>
              <w:t>a</w:t>
            </w:r>
          </w:p>
        </w:tc>
        <w:tc>
          <w:tcPr>
            <w:tcW w:w="45pt" w:type="dxa"/>
            <w:vAlign w:val="center"/>
          </w:tcPr>
          <w:p w14:paraId="30A5A712" w14:textId="77777777" w:rsidR="009303D9" w:rsidRDefault="009303D9">
            <w:pPr>
              <w:rPr>
                <w:sz w:val="16"/>
                <w:szCs w:val="16"/>
              </w:rPr>
            </w:pPr>
          </w:p>
        </w:tc>
        <w:tc>
          <w:tcPr>
            <w:tcW w:w="45pt" w:type="dxa"/>
            <w:vAlign w:val="center"/>
          </w:tcPr>
          <w:p w14:paraId="5E073162" w14:textId="77777777" w:rsidR="009303D9" w:rsidRDefault="009303D9">
            <w:pPr>
              <w:rPr>
                <w:sz w:val="16"/>
                <w:szCs w:val="16"/>
              </w:rPr>
            </w:pPr>
          </w:p>
        </w:tc>
      </w:tr>
    </w:tbl>
    <w:p w14:paraId="3DBF8DC8"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201B1D55" wp14:editId="4B4106C4">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4501B2C" w14:textId="77777777" w:rsidR="0080791D" w:rsidRDefault="0080791D" w:rsidP="00E7596C">
                        <w:pPr>
                          <w:pStyle w:val="Textoindependiente"/>
                        </w:pPr>
                        <w:r>
                          <w:t>We suggest that you use a text box to insert a graphic (which is ideally a 300 dpi TIFF or EPS file, with all fonts embedded) because, in an MSW document, this method is somewhat more stable than directly inserting a picture.</w:t>
                        </w:r>
                      </w:p>
                      <w:p w14:paraId="102F2315" w14:textId="77777777" w:rsidR="0080791D" w:rsidRDefault="0080791D" w:rsidP="00E7596C">
                        <w:pPr>
                          <w:pStyle w:val="Textoindependiente"/>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78AF0845"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DDD3E5E" w14:textId="77777777" w:rsidR="0080791D" w:rsidRPr="005B520E" w:rsidRDefault="009303D9" w:rsidP="00E7596C">
      <w:pPr>
        <w:pStyle w:val="Textoindependiente"/>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BAE8D5D" w14:textId="77777777" w:rsidR="0080791D" w:rsidRDefault="0080791D" w:rsidP="0080791D">
      <w:pPr>
        <w:pStyle w:val="Ttulo5"/>
      </w:pPr>
      <w:r w:rsidRPr="005B520E">
        <w:t>Acknowledgment</w:t>
      </w:r>
      <w:r>
        <w:t xml:space="preserve"> </w:t>
      </w:r>
      <w:r>
        <w:rPr>
          <w:i/>
          <w:iCs/>
        </w:rPr>
        <w:t>(</w:t>
      </w:r>
      <w:r w:rsidRPr="00651A08">
        <w:rPr>
          <w:i/>
          <w:iCs/>
          <w:smallCaps w:val="0"/>
        </w:rPr>
        <w:t>Heading 5</w:t>
      </w:r>
      <w:r>
        <w:rPr>
          <w:i/>
          <w:iCs/>
        </w:rPr>
        <w:t>)</w:t>
      </w:r>
    </w:p>
    <w:p w14:paraId="5272144E" w14:textId="77777777" w:rsidR="00575BCA" w:rsidRDefault="0080791D" w:rsidP="001A42EA">
      <w:pPr>
        <w:pStyle w:val="Textoindependiente"/>
      </w:pPr>
      <w:r w:rsidRPr="005B520E">
        <w:t>The preferred spelling of the word “acknowledgment” in America is without an “e” after the “g</w:t>
      </w:r>
      <w:r w:rsidR="00AE3409">
        <w:t xml:space="preserve">”. Avoid </w:t>
      </w:r>
      <w:proofErr w:type="spellStart"/>
      <w:r w:rsidR="00AE3409">
        <w:t>the</w:t>
      </w:r>
      <w:proofErr w:type="spellEnd"/>
      <w:r w:rsidR="00AE3409">
        <w:t xml:space="preserv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proofErr w:type="spellStart"/>
      <w:r w:rsidRPr="005B520E">
        <w:t>ne</w:t>
      </w:r>
      <w:proofErr w:type="spellEnd"/>
      <w:r w:rsidRPr="005B520E">
        <w:t xml:space="preserve"> </w:t>
      </w:r>
      <w:proofErr w:type="spellStart"/>
      <w:r w:rsidRPr="005B520E">
        <w:t>of</w:t>
      </w:r>
      <w:proofErr w:type="spellEnd"/>
      <w:r w:rsidRPr="005B520E">
        <w:t xml:space="preserve"> </w:t>
      </w:r>
      <w:proofErr w:type="spellStart"/>
      <w:r w:rsidRPr="005B520E">
        <w:t>us</w:t>
      </w:r>
      <w:proofErr w:type="spellEnd"/>
      <w:r w:rsidRPr="005B520E">
        <w:t xml:space="preserve">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D81E746" w14:textId="77777777" w:rsidR="009303D9" w:rsidRDefault="009303D9" w:rsidP="00A059B3">
      <w:pPr>
        <w:pStyle w:val="Ttulo5"/>
      </w:pPr>
      <w:r w:rsidRPr="005B520E">
        <w:t>References</w:t>
      </w:r>
    </w:p>
    <w:p w14:paraId="7B925AB1" w14:textId="77777777" w:rsidR="009303D9" w:rsidRPr="005B520E" w:rsidRDefault="009303D9" w:rsidP="00E7596C">
      <w:pPr>
        <w:pStyle w:val="Textoindependiente"/>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8AE38A7" w14:textId="77777777" w:rsidR="009303D9" w:rsidRPr="005B520E" w:rsidRDefault="009303D9" w:rsidP="00E7596C">
      <w:pPr>
        <w:pStyle w:val="Textoindependiente"/>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EC03E5B" w14:textId="77777777" w:rsidR="009303D9" w:rsidRPr="005B520E" w:rsidRDefault="009303D9" w:rsidP="00E7596C">
      <w:pPr>
        <w:pStyle w:val="Textoindependiente"/>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19B910A" w14:textId="3817FC22" w:rsidR="0082643D" w:rsidRPr="005B520E" w:rsidRDefault="009303D9" w:rsidP="0082643D">
      <w:pPr>
        <w:pStyle w:val="Textoindependiente"/>
      </w:pPr>
      <w:r w:rsidRPr="005B520E">
        <w:t xml:space="preserve">For </w:t>
      </w:r>
      <w:r w:rsidRPr="00C919A4">
        <w:t>papers</w:t>
      </w:r>
      <w:r w:rsidRPr="005B520E">
        <w:t xml:space="preserve"> published in translation journals, please give the English citation first, followed by the original </w:t>
      </w:r>
      <w:proofErr w:type="spellStart"/>
      <w:r w:rsidRPr="005B520E">
        <w:t>foreign-language</w:t>
      </w:r>
      <w:proofErr w:type="spellEnd"/>
      <w:r w:rsidRPr="005B520E">
        <w:t xml:space="preserve"> </w:t>
      </w:r>
      <w:proofErr w:type="spellStart"/>
      <w:r w:rsidRPr="005B520E">
        <w:t>citation</w:t>
      </w:r>
      <w:proofErr w:type="spellEnd"/>
      <w:r w:rsidRPr="005B520E">
        <w:t xml:space="preserve"> [6].</w:t>
      </w:r>
    </w:p>
    <w:p w14:paraId="20EB286B" w14:textId="77777777" w:rsidR="009303D9" w:rsidRPr="005B520E" w:rsidRDefault="009303D9"/>
    <w:p w14:paraId="3476DCB3" w14:textId="5C39FD39" w:rsidR="002A1FBC" w:rsidRDefault="002A1FBC" w:rsidP="0004781E">
      <w:pPr>
        <w:pStyle w:val="references"/>
        <w:ind w:start="17.70pt" w:hanging="17.70pt"/>
      </w:pPr>
      <w:r>
        <w:t>S. Nakamoto “</w:t>
      </w:r>
      <w:r w:rsidRPr="002A1FBC">
        <w:t>Bitcoin: A Peer-to-Peer Electronic Cash System</w:t>
      </w:r>
      <w:r>
        <w:t>”, 2008</w:t>
      </w:r>
    </w:p>
    <w:p w14:paraId="5CCAE1F7" w14:textId="2A4F04C6" w:rsidR="0082643D" w:rsidRDefault="0082643D" w:rsidP="0004781E">
      <w:pPr>
        <w:pStyle w:val="references"/>
        <w:ind w:start="17.70pt" w:hanging="17.70pt"/>
      </w:pPr>
      <w:r w:rsidRPr="0082643D">
        <w:t>S. Suratkar, M. Shirole and S. Bhirud, "Cryptocurrency Wallet: A Review," 2020 4th International Conference on Computer, Communication and Signal Processing (ICCCSP), Chennai, India, 2020, pp. 1-7, doi: 10.1109/ICCCSP49186.2020.9315193.</w:t>
      </w:r>
    </w:p>
    <w:p w14:paraId="5CF927C5" w14:textId="5B45FE18" w:rsidR="0082643D" w:rsidRDefault="0082643D" w:rsidP="0004781E">
      <w:pPr>
        <w:pStyle w:val="references"/>
        <w:ind w:start="17.70pt" w:hanging="17.70pt"/>
      </w:pPr>
      <w:r w:rsidRPr="0082643D">
        <w:t>S. Suratkar, M. Shirole and S. Bhirud, "Cryptocurrency Wallet: A Review," 2020 4th International Conference on Computer, Communication and Signal Processing (ICCCSP), Chennai, India, 2020, pp. 1-7, doi: 10.1109/ICCCSP49186.2020.9315193.</w:t>
      </w:r>
    </w:p>
    <w:p w14:paraId="3CDAB115" w14:textId="19C83868" w:rsidR="0082643D" w:rsidRDefault="0082643D" w:rsidP="0004781E">
      <w:pPr>
        <w:pStyle w:val="references"/>
        <w:ind w:start="17.70pt" w:hanging="17.70pt"/>
      </w:pPr>
      <w:r w:rsidRPr="0082643D">
        <w:t>H. Rezaeighaleh and C. C. Zou, "Deterministic Sub-Wallet for Cryptocurrencies," 2019 IEEE International Conference on Blockchain (Blockchain), Atlanta, GA, USA, 2019, pp. 419-424, doi: 10.1109/Blockchain.2019.00064.</w:t>
      </w:r>
    </w:p>
    <w:p w14:paraId="649E51FF" w14:textId="4CACB760" w:rsidR="0082643D" w:rsidRDefault="0082643D" w:rsidP="0004781E">
      <w:pPr>
        <w:pStyle w:val="references"/>
        <w:ind w:start="17.70pt" w:hanging="17.70pt"/>
      </w:pPr>
      <w:r w:rsidRPr="0082643D">
        <w:t>C. C. Tartan, O. Vaughan, C. S. Wright and W. Zhang, "Benford's Wallet," 2022 IEEE 1st Global Emerging Technology Blockchain Forum: Blockchain &amp; Beyond (iGETblockchain), Irvine, CA, USA, 2022, pp. 1-6, doi: 10.1109/iGETblockchain56591.2022.10087079.</w:t>
      </w:r>
    </w:p>
    <w:p w14:paraId="40FBDE83" w14:textId="58634426" w:rsidR="0082643D" w:rsidRDefault="0082643D" w:rsidP="0004781E">
      <w:pPr>
        <w:pStyle w:val="references"/>
        <w:ind w:start="17.70pt" w:hanging="17.70pt"/>
      </w:pPr>
      <w:r w:rsidRPr="0082643D">
        <w:t>N. P. Sable, V. U. Rathod, R. Sable and G. R. Shinde, "The Secure E-Wallet Powered by Blockchain and Distributed Ledger Technology," 2022 IEEE Pune Section International Conference (PuneCon), Pune, India, 2022, pp. 1-5, doi: 10.1109/PuneCon55413.2022.10014893.</w:t>
      </w:r>
    </w:p>
    <w:p w14:paraId="1E0CDE94" w14:textId="1052D54F" w:rsidR="0082643D" w:rsidRDefault="0082643D" w:rsidP="0004781E">
      <w:pPr>
        <w:pStyle w:val="references"/>
        <w:ind w:start="17.70pt" w:hanging="17.70pt"/>
      </w:pPr>
      <w:r w:rsidRPr="0082643D">
        <w:t>Q. Zhang, H. Chen, W. Shi and W. Zhang, "Design and Implementation of Trustzone-Based Blockchain Chip Wallet," 2021 IEEE 6th International Conference on Signal and Image Processing (ICSIP), Nanjing, China, 2021, pp. 1029-1034, doi: 10.1109/ICSIP52628.2021.9688950.</w:t>
      </w:r>
    </w:p>
    <w:p w14:paraId="79DDF95D" w14:textId="2C9B3B0B" w:rsidR="0082643D" w:rsidRDefault="0082643D" w:rsidP="0004781E">
      <w:pPr>
        <w:pStyle w:val="references"/>
        <w:ind w:start="17.70pt" w:hanging="17.70pt"/>
      </w:pPr>
      <w:r w:rsidRPr="0082643D">
        <w:t>K. Singh, N. Singh and D. Singh Kushwaha, "An Interoperable and Secure E-Wallet Architecture based on Digital Ledger Technology using Blockchain," 2018 International Conference on Computing, Power and Communication Technologies (GUCON), Greater Noida, India, 2018, pp. 165-169, doi: 10.1109/GUCON.2018.8674919.</w:t>
      </w:r>
    </w:p>
    <w:p w14:paraId="2A5B981D" w14:textId="6ECFEBBB" w:rsidR="00EB6D0D" w:rsidRDefault="00EB6D0D" w:rsidP="0004781E">
      <w:pPr>
        <w:pStyle w:val="references"/>
        <w:ind w:start="17.70pt" w:hanging="17.70pt"/>
      </w:pPr>
      <w:r w:rsidRPr="00EB6D0D">
        <w:t>K. Singh, N. Singh and D. Singh Kushwaha, "An Interoperable and Secure E-Wallet Architecture based on Digital Ledger Technology using Blockchain," 2018 International Conference on Computing, Power and Communication Technologies (GUCON), Greater Noida, India, 2018, pp. 165-169, doi: 10.1109/GUCON.2018.8674919.</w:t>
      </w:r>
    </w:p>
    <w:p w14:paraId="2B9AFF15" w14:textId="77777777" w:rsidR="00EB6D0D" w:rsidRDefault="00EB6D0D" w:rsidP="00EB6D0D">
      <w:pPr>
        <w:pStyle w:val="references"/>
        <w:ind w:start="17.70pt" w:hanging="17.70pt"/>
      </w:pPr>
      <w:r w:rsidRPr="00EB6D0D">
        <w:t>S. Alornyo, K. Kissi Mireku, A. Tonny-Hagan and X. Hu, "Mobile Money Wallet Security against Insider Attack Using ID-Based Cryptographic Primitive with Equality Test," 2019 International Conference on Cyber Security and Internet of Things (ICSIoT), Accra, Ghana, 2019, pp. 82-87, doi: 10.1109/ICSIoT47925.2019.00021.</w:t>
      </w:r>
    </w:p>
    <w:p w14:paraId="23C1424C" w14:textId="6DB749E6" w:rsidR="00EB6D0D" w:rsidRDefault="00EB6D0D" w:rsidP="00EB6D0D">
      <w:pPr>
        <w:pStyle w:val="references"/>
        <w:ind w:start="17.70pt" w:hanging="17.70pt"/>
      </w:pPr>
      <w:r w:rsidRPr="00EB6D0D">
        <w:t>Y. Liu et al., "An efficient method to enhance Bitcoin wallet security," 2017 11th IEEE International Conference on Anti-counterfeiting, Security, and Identification (ASID), Xiamen, China, 2017, pp. 26-29, doi: 10.1109/ICASID.2017.8285737.</w:t>
      </w:r>
    </w:p>
    <w:p w14:paraId="6B9B2012" w14:textId="77777777" w:rsidR="00EB6D0D" w:rsidRDefault="00EB6D0D" w:rsidP="00EB6D0D">
      <w:pPr>
        <w:pStyle w:val="references"/>
        <w:numPr>
          <w:ilvl w:val="0"/>
          <w:numId w:val="0"/>
        </w:numPr>
        <w:ind w:start="18pt" w:hanging="18pt"/>
      </w:pPr>
    </w:p>
    <w:p w14:paraId="522FC717" w14:textId="5D18DE64" w:rsidR="00EB6D0D" w:rsidRPr="00EB6D0D" w:rsidRDefault="00EB6D0D" w:rsidP="00EB6D0D">
      <w:pPr>
        <w:pStyle w:val="references"/>
        <w:numPr>
          <w:ilvl w:val="0"/>
          <w:numId w:val="0"/>
        </w:numPr>
        <w:ind w:start="18pt" w:hanging="18pt"/>
        <w:sectPr w:rsidR="00EB6D0D" w:rsidRPr="00EB6D0D" w:rsidSect="00C919A4">
          <w:type w:val="continuous"/>
          <w:pgSz w:w="612pt" w:h="792pt" w:code="1"/>
          <w:pgMar w:top="54pt" w:right="45.35pt" w:bottom="72pt" w:left="45.35pt" w:header="36pt" w:footer="36pt" w:gutter="0pt"/>
          <w:cols w:num="2" w:space="18pt"/>
          <w:docGrid w:linePitch="360"/>
        </w:sectPr>
      </w:pPr>
    </w:p>
    <w:p w14:paraId="0DF58C7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5FC6A80" w14:textId="77777777" w:rsidR="00D13749" w:rsidRDefault="00D13749" w:rsidP="001A3B3D">
      <w:r>
        <w:separator/>
      </w:r>
    </w:p>
  </w:endnote>
  <w:endnote w:type="continuationSeparator" w:id="0">
    <w:p w14:paraId="4FADA01B" w14:textId="77777777" w:rsidR="00D13749" w:rsidRDefault="00D1374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1C1F715" w14:textId="77777777" w:rsidR="001A3B3D" w:rsidRPr="006F6D3D" w:rsidRDefault="001A3B3D" w:rsidP="0056610F">
    <w:pPr>
      <w:pStyle w:val="Piedepgina"/>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8AD7295" w14:textId="77777777" w:rsidR="00D13749" w:rsidRDefault="00D13749" w:rsidP="001A3B3D">
      <w:r>
        <w:separator/>
      </w:r>
    </w:p>
  </w:footnote>
  <w:footnote w:type="continuationSeparator" w:id="0">
    <w:p w14:paraId="299E46AD" w14:textId="77777777" w:rsidR="00D13749" w:rsidRDefault="00D1374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782771460">
    <w:abstractNumId w:val="14"/>
  </w:num>
  <w:num w:numId="2" w16cid:durableId="734208476">
    <w:abstractNumId w:val="19"/>
  </w:num>
  <w:num w:numId="3" w16cid:durableId="712580207">
    <w:abstractNumId w:val="13"/>
  </w:num>
  <w:num w:numId="4" w16cid:durableId="1634217963">
    <w:abstractNumId w:val="16"/>
  </w:num>
  <w:num w:numId="5" w16cid:durableId="810832932">
    <w:abstractNumId w:val="16"/>
  </w:num>
  <w:num w:numId="6" w16cid:durableId="1913616038">
    <w:abstractNumId w:val="16"/>
  </w:num>
  <w:num w:numId="7" w16cid:durableId="1705061409">
    <w:abstractNumId w:val="16"/>
  </w:num>
  <w:num w:numId="8" w16cid:durableId="97067292">
    <w:abstractNumId w:val="18"/>
  </w:num>
  <w:num w:numId="9" w16cid:durableId="1317488138">
    <w:abstractNumId w:val="20"/>
  </w:num>
  <w:num w:numId="10" w16cid:durableId="1845196780">
    <w:abstractNumId w:val="15"/>
  </w:num>
  <w:num w:numId="11" w16cid:durableId="1268344602">
    <w:abstractNumId w:val="12"/>
  </w:num>
  <w:num w:numId="12" w16cid:durableId="1402751226">
    <w:abstractNumId w:val="11"/>
  </w:num>
  <w:num w:numId="13" w16cid:durableId="1730106353">
    <w:abstractNumId w:val="0"/>
  </w:num>
  <w:num w:numId="14" w16cid:durableId="979922222">
    <w:abstractNumId w:val="10"/>
  </w:num>
  <w:num w:numId="15" w16cid:durableId="1158115596">
    <w:abstractNumId w:val="8"/>
  </w:num>
  <w:num w:numId="16" w16cid:durableId="1058088544">
    <w:abstractNumId w:val="7"/>
  </w:num>
  <w:num w:numId="17" w16cid:durableId="336536986">
    <w:abstractNumId w:val="6"/>
  </w:num>
  <w:num w:numId="18" w16cid:durableId="436407681">
    <w:abstractNumId w:val="5"/>
  </w:num>
  <w:num w:numId="19" w16cid:durableId="261765346">
    <w:abstractNumId w:val="9"/>
  </w:num>
  <w:num w:numId="20" w16cid:durableId="690958293">
    <w:abstractNumId w:val="4"/>
  </w:num>
  <w:num w:numId="21" w16cid:durableId="1906406354">
    <w:abstractNumId w:val="3"/>
  </w:num>
  <w:num w:numId="22" w16cid:durableId="1520390976">
    <w:abstractNumId w:val="2"/>
  </w:num>
  <w:num w:numId="23" w16cid:durableId="1304775216">
    <w:abstractNumId w:val="1"/>
  </w:num>
  <w:num w:numId="24" w16cid:durableId="1867595827">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A2EFD"/>
    <w:rsid w:val="001A3B3D"/>
    <w:rsid w:val="001A42EA"/>
    <w:rsid w:val="001B67DC"/>
    <w:rsid w:val="001D7BCF"/>
    <w:rsid w:val="0021198F"/>
    <w:rsid w:val="002254A9"/>
    <w:rsid w:val="00233D97"/>
    <w:rsid w:val="002850E3"/>
    <w:rsid w:val="002A1FBC"/>
    <w:rsid w:val="00354FCF"/>
    <w:rsid w:val="003A19E2"/>
    <w:rsid w:val="00421EC6"/>
    <w:rsid w:val="004325FB"/>
    <w:rsid w:val="004432BA"/>
    <w:rsid w:val="0044407E"/>
    <w:rsid w:val="00472840"/>
    <w:rsid w:val="004D72B5"/>
    <w:rsid w:val="00502429"/>
    <w:rsid w:val="00547E73"/>
    <w:rsid w:val="00551B7F"/>
    <w:rsid w:val="0056610F"/>
    <w:rsid w:val="00575BCA"/>
    <w:rsid w:val="005B0344"/>
    <w:rsid w:val="005B520E"/>
    <w:rsid w:val="005E2800"/>
    <w:rsid w:val="006347CF"/>
    <w:rsid w:val="00645D22"/>
    <w:rsid w:val="00651A08"/>
    <w:rsid w:val="00654204"/>
    <w:rsid w:val="00670434"/>
    <w:rsid w:val="006838A4"/>
    <w:rsid w:val="006B6B66"/>
    <w:rsid w:val="006F6D3D"/>
    <w:rsid w:val="00704134"/>
    <w:rsid w:val="00715BEA"/>
    <w:rsid w:val="00740EEA"/>
    <w:rsid w:val="00794804"/>
    <w:rsid w:val="007B33F1"/>
    <w:rsid w:val="007C0308"/>
    <w:rsid w:val="007C2FF2"/>
    <w:rsid w:val="007D6232"/>
    <w:rsid w:val="007F1F99"/>
    <w:rsid w:val="007F768F"/>
    <w:rsid w:val="0080791D"/>
    <w:rsid w:val="0082643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65FB4"/>
    <w:rsid w:val="00C76FFC"/>
    <w:rsid w:val="00C919A4"/>
    <w:rsid w:val="00CA4392"/>
    <w:rsid w:val="00CC393F"/>
    <w:rsid w:val="00CE33AC"/>
    <w:rsid w:val="00D13749"/>
    <w:rsid w:val="00D2176E"/>
    <w:rsid w:val="00D509FA"/>
    <w:rsid w:val="00D632BE"/>
    <w:rsid w:val="00D72D06"/>
    <w:rsid w:val="00D7522C"/>
    <w:rsid w:val="00D7536F"/>
    <w:rsid w:val="00D76668"/>
    <w:rsid w:val="00E61E12"/>
    <w:rsid w:val="00E7596C"/>
    <w:rsid w:val="00E878F2"/>
    <w:rsid w:val="00E90E16"/>
    <w:rsid w:val="00EB6D0D"/>
    <w:rsid w:val="00ED0149"/>
    <w:rsid w:val="00ED1738"/>
    <w:rsid w:val="00EF7DE3"/>
    <w:rsid w:val="00F03103"/>
    <w:rsid w:val="00F271DE"/>
    <w:rsid w:val="00F627DA"/>
    <w:rsid w:val="00F7288F"/>
    <w:rsid w:val="00F847A6"/>
    <w:rsid w:val="00F9441B"/>
    <w:rsid w:val="00F96569"/>
    <w:rsid w:val="00FA4C32"/>
    <w:rsid w:val="00FE213F"/>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E6F2277"/>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3</Pages>
  <Words>2328</Words>
  <Characters>12351</Characters>
  <Application>Microsoft Office Word</Application>
  <DocSecurity>0</DocSecurity>
  <Lines>102</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Jose Arroyave</cp:lastModifiedBy>
  <cp:revision>2</cp:revision>
  <dcterms:created xsi:type="dcterms:W3CDTF">2023-09-28T04:35:00Z</dcterms:created>
  <dcterms:modified xsi:type="dcterms:W3CDTF">2023-09-28T04:35:00Z</dcterms:modified>
</cp:coreProperties>
</file>