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3E0D" w14:textId="220B46D1" w:rsidR="00376B92" w:rsidRPr="00537CA3" w:rsidRDefault="00537CA3">
      <w:pPr>
        <w:rPr>
          <w:rFonts w:asciiTheme="majorHAnsi" w:hAnsiTheme="majorHAnsi" w:cstheme="majorHAnsi"/>
          <w:sz w:val="18"/>
          <w:szCs w:val="18"/>
        </w:rPr>
      </w:pPr>
      <w:r w:rsidRPr="00537CA3">
        <w:rPr>
          <w:rFonts w:asciiTheme="majorHAnsi" w:hAnsiTheme="majorHAnsi" w:cstheme="majorHAnsi"/>
          <w:sz w:val="18"/>
          <w:szCs w:val="18"/>
        </w:rPr>
        <w:fldChar w:fldCharType="begin"/>
      </w:r>
      <w:r w:rsidRPr="00537CA3">
        <w:rPr>
          <w:rFonts w:asciiTheme="majorHAnsi" w:hAnsiTheme="majorHAnsi" w:cstheme="majorHAnsi"/>
          <w:sz w:val="18"/>
          <w:szCs w:val="18"/>
        </w:rPr>
        <w:instrText xml:space="preserve"> HYPERLINK "</w:instrText>
      </w:r>
      <w:r w:rsidRPr="00537CA3">
        <w:rPr>
          <w:rFonts w:asciiTheme="majorHAnsi" w:hAnsiTheme="majorHAnsi" w:cstheme="majorHAnsi"/>
          <w:sz w:val="18"/>
          <w:szCs w:val="18"/>
        </w:rPr>
        <w:instrText>http://www.prefettura.it/roma/contenuti/Banca_dati_nazionale_unica_antimafia-710694.htm</w:instrText>
      </w:r>
      <w:r w:rsidRPr="00537CA3">
        <w:rPr>
          <w:rFonts w:asciiTheme="majorHAnsi" w:hAnsiTheme="majorHAnsi" w:cstheme="majorHAnsi"/>
          <w:sz w:val="18"/>
          <w:szCs w:val="18"/>
        </w:rPr>
        <w:instrText xml:space="preserve">" </w:instrText>
      </w:r>
      <w:r w:rsidRPr="00537CA3">
        <w:rPr>
          <w:rFonts w:asciiTheme="majorHAnsi" w:hAnsiTheme="majorHAnsi" w:cstheme="majorHAnsi"/>
          <w:sz w:val="18"/>
          <w:szCs w:val="18"/>
        </w:rPr>
        <w:fldChar w:fldCharType="separate"/>
      </w:r>
      <w:r w:rsidRPr="00537CA3">
        <w:rPr>
          <w:rStyle w:val="Collegamentoipertestuale"/>
          <w:rFonts w:asciiTheme="majorHAnsi" w:hAnsiTheme="majorHAnsi" w:cstheme="majorHAnsi"/>
          <w:sz w:val="18"/>
          <w:szCs w:val="18"/>
        </w:rPr>
        <w:t>http://www.prefettura.it/roma/contenuti/Banca_dati_nazionale_unica_antimafia-710694.htm</w:t>
      </w:r>
      <w:r w:rsidRPr="00537CA3">
        <w:rPr>
          <w:rFonts w:asciiTheme="majorHAnsi" w:hAnsiTheme="majorHAnsi" w:cstheme="majorHAnsi"/>
          <w:sz w:val="18"/>
          <w:szCs w:val="18"/>
        </w:rPr>
        <w:fldChar w:fldCharType="end"/>
      </w:r>
    </w:p>
    <w:p w14:paraId="1DEC37DA" w14:textId="4A2F1A01" w:rsidR="00537CA3" w:rsidRPr="00537CA3" w:rsidRDefault="00537CA3">
      <w:pPr>
        <w:rPr>
          <w:rFonts w:asciiTheme="majorHAnsi" w:hAnsiTheme="majorHAnsi" w:cstheme="majorHAnsi"/>
          <w:sz w:val="18"/>
          <w:szCs w:val="18"/>
        </w:rPr>
      </w:pP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La Banca dati nazionale unica per la documentazione antimafia (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BDNA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), istituita dall’art 96 del decreto legislativo 6/9/2011, n. 159 (Codice antimafia, d’ora in avanti Codice) presso il Ministero dell'interno - Dipartimento per le politiche del personale dell'amministrazione civile e per le risorse strumentali e finanziarie, si propone di rendere maggiormente efficiente l'azione dello Stato contro la criminalità organizzata accelerando il rilascio delle comunicazioni e informazioni antimafia liberatorie in modalità automatica ai soggetti titolati alla richiesta.</w:t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b/>
          <w:bCs/>
          <w:color w:val="1C2024"/>
          <w:sz w:val="18"/>
          <w:szCs w:val="18"/>
          <w:u w:val="single"/>
          <w:shd w:val="clear" w:color="auto" w:fill="FFFFFF"/>
        </w:rPr>
        <w:t>La vigente normativa antimafia prevede che le Amministrazioni pubbliche, gli Enti pubblici e le Aziende vigilate dallo Stato, debbano acquisire idonea documentazione informativa prima di stipulare, approvare od autorizzare i contratti e subcontratti relativi a lavori, servizi e forniture pubblici, ovvero prima di rilasciare o consentire i provvedimenti di cui all'articolo 67 del Codice antimafia (*), circa la sussistenza di una delle cause di decadenza o sospensione di cui allo stesso art. 67 o dei tentativi di infiltrazione mafiosa di cui all'art. 84, comma 4 e art. 91 del Codice.</w:t>
      </w: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I suddetti soggetti debbono essere previamente accreditati in Banca dati tramite apposite credenziali rilasciate dalle Sezioni provinciali, appositamente costituite presso le Prefetture-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UTG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competenti, avendo come criterio di riferimento quello della sede dell’operatore economico per il quale viene chiesta la certificazione antimafia.</w:t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Il funzionamento della 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BDNA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, è disciplinato dal D.P.C.M. 30/10/2014, n.193, contenente le modalità di funzionamento, accesso, consultazione e collegamento della 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BDNA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con altre Banche dati, tra le quali il Centro elaborazione dati di cui all’art. 8 della legge 1° aprile 1981, n.121, il sistema informatico presso la DIA ed i sistemi informativi presso le Camere di Commercio.</w:t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Il sistema informativo e la relativa infrastruttura tecnologica sono stati realizzati e vengono gestiti dall’Ufficio IV-Innovazione tecnologica per l’Amministrazione generale.</w:t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La 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B.D.N.A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. è pienamente operativa dal 7 gennaio 2016.</w:t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color w:val="1C2024"/>
          <w:sz w:val="18"/>
          <w:szCs w:val="18"/>
        </w:rPr>
        <w:br/>
      </w:r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(*) il Codice antimafia - "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D.Lgs.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06/09/2011 n.159 - Codice delle leggi antimafia e delle misure di prevenzione, </w:t>
      </w:r>
      <w:proofErr w:type="spell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nonchè</w:t>
      </w:r>
      <w:proofErr w:type="spell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nuove disposizioni in materia di documentazione, a norma degli articoli 1 e 2 della legge 13 agosto </w:t>
      </w:r>
      <w:proofErr w:type="gramStart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>2010,n</w:t>
      </w:r>
      <w:proofErr w:type="gramEnd"/>
      <w:r w:rsidRPr="00537CA3">
        <w:rPr>
          <w:rFonts w:asciiTheme="majorHAnsi" w:hAnsiTheme="majorHAnsi" w:cstheme="majorHAnsi"/>
          <w:color w:val="1C2024"/>
          <w:sz w:val="18"/>
          <w:szCs w:val="18"/>
          <w:shd w:val="clear" w:color="auto" w:fill="FFFFFF"/>
        </w:rPr>
        <w:t xml:space="preserve"> 136" è reperibile nella sottostante sezione NORMATIVA</w:t>
      </w:r>
    </w:p>
    <w:sectPr w:rsidR="00537CA3" w:rsidRPr="00537C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92"/>
    <w:rsid w:val="00376B92"/>
    <w:rsid w:val="0053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AF67E"/>
  <w15:chartTrackingRefBased/>
  <w15:docId w15:val="{F8D8FE73-4B4F-4F23-B9A6-6022DC57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37CA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37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</dc:creator>
  <cp:keywords/>
  <dc:description/>
  <cp:lastModifiedBy>Franco</cp:lastModifiedBy>
  <cp:revision>2</cp:revision>
  <dcterms:created xsi:type="dcterms:W3CDTF">2021-07-07T08:28:00Z</dcterms:created>
  <dcterms:modified xsi:type="dcterms:W3CDTF">2021-07-07T08:30:00Z</dcterms:modified>
</cp:coreProperties>
</file>