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EDD0F" w14:textId="7862CCE9" w:rsidR="00825AF6" w:rsidRPr="003D4D96" w:rsidRDefault="00825AF6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sz w:val="18"/>
          <w:szCs w:val="18"/>
        </w:rPr>
      </w:pPr>
    </w:p>
    <w:p w14:paraId="015C1011" w14:textId="43E114BF" w:rsidR="00A66BEB" w:rsidRPr="003D4D96" w:rsidRDefault="00A66BEB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sz w:val="18"/>
          <w:szCs w:val="18"/>
        </w:rPr>
      </w:pPr>
    </w:p>
    <w:p w14:paraId="60D008DA" w14:textId="3D16D6C6" w:rsidR="00137976" w:rsidRPr="003D4D96" w:rsidRDefault="00BB3048" w:rsidP="00BB3048">
      <w:pPr>
        <w:pStyle w:val="Pidipagina"/>
        <w:tabs>
          <w:tab w:val="clear" w:pos="4819"/>
          <w:tab w:val="clear" w:pos="9638"/>
          <w:tab w:val="left" w:pos="622"/>
        </w:tabs>
        <w:jc w:val="center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r w:rsidRPr="003D4D96">
        <w:rPr>
          <w:rFonts w:asciiTheme="majorHAnsi" w:hAnsiTheme="majorHAnsi" w:cstheme="majorHAnsi"/>
          <w:b/>
          <w:bCs/>
          <w:color w:val="0000FF"/>
          <w:sz w:val="18"/>
          <w:szCs w:val="18"/>
        </w:rPr>
        <w:t>PROCEDURA</w:t>
      </w:r>
      <w:r w:rsidR="004A48F2" w:rsidRPr="003D4D96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  <w:r w:rsidR="003D4D96" w:rsidRPr="003D4D96">
        <w:rPr>
          <w:rFonts w:asciiTheme="majorHAnsi" w:hAnsiTheme="majorHAnsi" w:cstheme="majorHAnsi"/>
          <w:b/>
          <w:bCs/>
          <w:color w:val="0000FF"/>
          <w:sz w:val="18"/>
          <w:szCs w:val="18"/>
        </w:rPr>
        <w:t>FLUSSI FINANZIARI</w:t>
      </w:r>
    </w:p>
    <w:p w14:paraId="03260B95" w14:textId="77777777" w:rsidR="00D56DFD" w:rsidRPr="003D4D96" w:rsidRDefault="00D56DFD" w:rsidP="00D56DFD">
      <w:pPr>
        <w:pStyle w:val="Default"/>
        <w:rPr>
          <w:rFonts w:asciiTheme="majorHAnsi" w:hAnsiTheme="majorHAnsi" w:cstheme="majorHAnsi"/>
          <w:sz w:val="18"/>
          <w:szCs w:val="18"/>
        </w:rPr>
      </w:pPr>
    </w:p>
    <w:p w14:paraId="5A4CD4CD" w14:textId="6596FB5D" w:rsidR="00D56DFD" w:rsidRPr="003D4D96" w:rsidRDefault="00D56DFD" w:rsidP="00D56DFD">
      <w:pPr>
        <w:pStyle w:val="Pidipagina"/>
        <w:tabs>
          <w:tab w:val="clear" w:pos="4819"/>
          <w:tab w:val="clear" w:pos="9638"/>
          <w:tab w:val="left" w:pos="622"/>
        </w:tabs>
        <w:jc w:val="center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r w:rsidRPr="003D4D96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ai sensi della Norma UNI ISO 37001:2016</w:t>
      </w:r>
    </w:p>
    <w:p w14:paraId="38492DB4" w14:textId="6A6B202A" w:rsidR="00BB3048" w:rsidRPr="003D4D96" w:rsidRDefault="00BB3048" w:rsidP="00137976">
      <w:pPr>
        <w:pStyle w:val="Pidipagina"/>
        <w:tabs>
          <w:tab w:val="clear" w:pos="4819"/>
          <w:tab w:val="clear" w:pos="9638"/>
          <w:tab w:val="left" w:pos="622"/>
        </w:tabs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</w:p>
    <w:p w14:paraId="2ABDD9EE" w14:textId="77777777" w:rsidR="00BB3048" w:rsidRPr="003D4D96" w:rsidRDefault="00BB3048" w:rsidP="00137976">
      <w:pPr>
        <w:pStyle w:val="Pidipagina"/>
        <w:tabs>
          <w:tab w:val="clear" w:pos="4819"/>
          <w:tab w:val="clear" w:pos="9638"/>
          <w:tab w:val="left" w:pos="622"/>
        </w:tabs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7932"/>
      </w:tblGrid>
      <w:tr w:rsidR="00137976" w:rsidRPr="003D4D96" w14:paraId="2775B43F" w14:textId="77777777" w:rsidTr="00137976">
        <w:tc>
          <w:tcPr>
            <w:tcW w:w="704" w:type="dxa"/>
          </w:tcPr>
          <w:p w14:paraId="280923BA" w14:textId="5008CE95" w:rsidR="00137976" w:rsidRPr="003D4D96" w:rsidRDefault="00137976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3D4D96">
              <w:rPr>
                <w:rFonts w:asciiTheme="majorHAnsi" w:hAnsiTheme="majorHAnsi" w:cstheme="majorHAnsi"/>
                <w:sz w:val="18"/>
                <w:szCs w:val="18"/>
              </w:rPr>
              <w:t>Rev.</w:t>
            </w:r>
          </w:p>
        </w:tc>
        <w:tc>
          <w:tcPr>
            <w:tcW w:w="992" w:type="dxa"/>
          </w:tcPr>
          <w:p w14:paraId="01AC5C1C" w14:textId="0C3B57AF" w:rsidR="00137976" w:rsidRPr="003D4D96" w:rsidRDefault="00137976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3D4D96">
              <w:rPr>
                <w:rFonts w:asciiTheme="majorHAnsi" w:hAnsiTheme="majorHAnsi" w:cstheme="majorHAnsi"/>
                <w:sz w:val="18"/>
                <w:szCs w:val="18"/>
              </w:rPr>
              <w:t>del</w:t>
            </w:r>
          </w:p>
        </w:tc>
        <w:tc>
          <w:tcPr>
            <w:tcW w:w="7932" w:type="dxa"/>
          </w:tcPr>
          <w:p w14:paraId="4C5657DE" w14:textId="272773EE" w:rsidR="00137976" w:rsidRPr="003D4D96" w:rsidRDefault="00137976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3D4D96">
              <w:rPr>
                <w:rFonts w:asciiTheme="majorHAnsi" w:hAnsiTheme="majorHAnsi" w:cstheme="majorHAnsi"/>
                <w:sz w:val="18"/>
                <w:szCs w:val="18"/>
              </w:rPr>
              <w:t>Motivo</w:t>
            </w:r>
          </w:p>
        </w:tc>
      </w:tr>
      <w:tr w:rsidR="00137976" w:rsidRPr="003D4D96" w14:paraId="2E3A32D2" w14:textId="77777777" w:rsidTr="00137976">
        <w:tc>
          <w:tcPr>
            <w:tcW w:w="704" w:type="dxa"/>
          </w:tcPr>
          <w:p w14:paraId="4E032829" w14:textId="09BC7790" w:rsidR="00137976" w:rsidRPr="003D4D96" w:rsidRDefault="00137976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3D4D96">
              <w:rPr>
                <w:rFonts w:asciiTheme="majorHAnsi" w:hAnsiTheme="majorHAnsi" w:cstheme="majorHAnsi"/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6A2878CB" w14:textId="16DE3049" w:rsidR="00137976" w:rsidRPr="003D4D96" w:rsidRDefault="00BB3048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3D4D96">
              <w:rPr>
                <w:rFonts w:asciiTheme="majorHAnsi" w:hAnsiTheme="majorHAnsi" w:cstheme="majorHAnsi"/>
                <w:sz w:val="18"/>
                <w:szCs w:val="18"/>
              </w:rPr>
              <w:t>30/05</w:t>
            </w:r>
            <w:r w:rsidR="00137976" w:rsidRPr="003D4D96">
              <w:rPr>
                <w:rFonts w:asciiTheme="majorHAnsi" w:hAnsiTheme="majorHAnsi" w:cstheme="majorHAnsi"/>
                <w:sz w:val="18"/>
                <w:szCs w:val="18"/>
              </w:rPr>
              <w:t>/21</w:t>
            </w:r>
          </w:p>
        </w:tc>
        <w:tc>
          <w:tcPr>
            <w:tcW w:w="7932" w:type="dxa"/>
          </w:tcPr>
          <w:p w14:paraId="2DAF0406" w14:textId="0E224601" w:rsidR="00137976" w:rsidRPr="003D4D96" w:rsidRDefault="00D56DFD" w:rsidP="00D56DFD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3D4D96">
              <w:rPr>
                <w:rFonts w:asciiTheme="majorHAnsi" w:hAnsiTheme="majorHAnsi" w:cstheme="majorHAnsi"/>
                <w:sz w:val="18"/>
                <w:szCs w:val="18"/>
              </w:rPr>
              <w:t>Prima emissione</w:t>
            </w:r>
            <w:r w:rsidR="00A046A0" w:rsidRPr="003D4D96">
              <w:rPr>
                <w:rFonts w:asciiTheme="majorHAnsi" w:hAnsiTheme="majorHAnsi" w:cstheme="majorHAnsi"/>
                <w:sz w:val="18"/>
                <w:szCs w:val="18"/>
              </w:rPr>
              <w:t xml:space="preserve"> BOZZA da sottoporre al </w:t>
            </w:r>
            <w:proofErr w:type="spellStart"/>
            <w:r w:rsidR="001160B5" w:rsidRPr="003D4D96">
              <w:rPr>
                <w:rFonts w:asciiTheme="majorHAnsi" w:hAnsiTheme="majorHAnsi" w:cstheme="majorHAnsi"/>
                <w:sz w:val="18"/>
                <w:szCs w:val="18"/>
              </w:rPr>
              <w:t>CdA</w:t>
            </w:r>
            <w:proofErr w:type="spellEnd"/>
            <w:r w:rsidRPr="003D4D96">
              <w:rPr>
                <w:rFonts w:asciiTheme="majorHAnsi" w:hAnsiTheme="majorHAnsi" w:cstheme="majorHAnsi"/>
                <w:sz w:val="18"/>
                <w:szCs w:val="18"/>
              </w:rPr>
              <w:t xml:space="preserve"> finalizzata al raggiungimento della certificazione UNI ISO 37001:2016</w:t>
            </w:r>
          </w:p>
        </w:tc>
      </w:tr>
      <w:tr w:rsidR="00D56DFD" w:rsidRPr="003D4D96" w14:paraId="7E1AF3A0" w14:textId="77777777" w:rsidTr="00137976">
        <w:tc>
          <w:tcPr>
            <w:tcW w:w="704" w:type="dxa"/>
          </w:tcPr>
          <w:p w14:paraId="3CEE3247" w14:textId="6B0145AC" w:rsidR="00D56DFD" w:rsidRPr="003D4D96" w:rsidRDefault="00D56DFD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3D4D96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190BA324" w14:textId="64E4AF11" w:rsidR="00D56DFD" w:rsidRPr="003D4D96" w:rsidRDefault="00D56DFD" w:rsidP="00137976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D4D96">
              <w:rPr>
                <w:rFonts w:asciiTheme="majorHAnsi" w:hAnsiTheme="majorHAnsi" w:cstheme="majorHAnsi"/>
                <w:color w:val="FF0000"/>
                <w:sz w:val="18"/>
                <w:szCs w:val="18"/>
                <w:highlight w:val="yellow"/>
              </w:rPr>
              <w:t>Xx</w:t>
            </w:r>
            <w:proofErr w:type="spellEnd"/>
            <w:r w:rsidRPr="003D4D96">
              <w:rPr>
                <w:rFonts w:asciiTheme="majorHAnsi" w:hAnsiTheme="majorHAnsi" w:cstheme="majorHAnsi"/>
                <w:color w:val="FF0000"/>
                <w:sz w:val="18"/>
                <w:szCs w:val="18"/>
                <w:highlight w:val="yellow"/>
              </w:rPr>
              <w:t>/xx/xx</w:t>
            </w:r>
          </w:p>
        </w:tc>
        <w:tc>
          <w:tcPr>
            <w:tcW w:w="7932" w:type="dxa"/>
          </w:tcPr>
          <w:p w14:paraId="6E7E4B48" w14:textId="3BF233A9" w:rsidR="00D56DFD" w:rsidRPr="003D4D96" w:rsidRDefault="001160B5" w:rsidP="00D56DFD">
            <w:pPr>
              <w:pStyle w:val="Pidipagina"/>
              <w:tabs>
                <w:tab w:val="clear" w:pos="4819"/>
                <w:tab w:val="clear" w:pos="9638"/>
                <w:tab w:val="left" w:pos="392"/>
              </w:tabs>
              <w:rPr>
                <w:rFonts w:asciiTheme="majorHAnsi" w:hAnsiTheme="majorHAnsi" w:cstheme="majorHAnsi"/>
                <w:sz w:val="18"/>
                <w:szCs w:val="18"/>
              </w:rPr>
            </w:pPr>
            <w:r w:rsidRPr="003D4D96">
              <w:rPr>
                <w:rFonts w:asciiTheme="majorHAnsi" w:hAnsiTheme="majorHAnsi" w:cstheme="majorHAnsi"/>
                <w:sz w:val="18"/>
                <w:szCs w:val="18"/>
              </w:rPr>
              <w:t xml:space="preserve">Approvazione </w:t>
            </w:r>
          </w:p>
        </w:tc>
      </w:tr>
    </w:tbl>
    <w:p w14:paraId="06EC0184" w14:textId="2B651B2B" w:rsidR="00A66BEB" w:rsidRPr="003D4D96" w:rsidRDefault="00A66BEB" w:rsidP="00137976">
      <w:pPr>
        <w:pStyle w:val="Pidipagina"/>
        <w:tabs>
          <w:tab w:val="clear" w:pos="4819"/>
          <w:tab w:val="clear" w:pos="9638"/>
          <w:tab w:val="left" w:pos="622"/>
        </w:tabs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</w:p>
    <w:p w14:paraId="0F931ECA" w14:textId="77777777" w:rsidR="00137976" w:rsidRPr="003D4D96" w:rsidRDefault="00137976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</w:p>
    <w:p w14:paraId="7059D612" w14:textId="7604C65E" w:rsidR="00926169" w:rsidRDefault="00137976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D4D96">
        <w:rPr>
          <w:rFonts w:asciiTheme="majorHAnsi" w:hAnsiTheme="majorHAnsi" w:cstheme="majorHAnsi"/>
          <w:b/>
          <w:bCs/>
          <w:color w:val="0000FF"/>
          <w:sz w:val="18"/>
          <w:szCs w:val="18"/>
        </w:rPr>
        <w:fldChar w:fldCharType="begin"/>
      </w:r>
      <w:r w:rsidRPr="003D4D96">
        <w:rPr>
          <w:rFonts w:asciiTheme="majorHAnsi" w:hAnsiTheme="majorHAnsi" w:cstheme="majorHAnsi"/>
          <w:b/>
          <w:bCs/>
          <w:color w:val="0000FF"/>
          <w:sz w:val="18"/>
          <w:szCs w:val="18"/>
        </w:rPr>
        <w:instrText xml:space="preserve"> TOC  \* MERGEFORMAT </w:instrText>
      </w:r>
      <w:r w:rsidRPr="003D4D96">
        <w:rPr>
          <w:rFonts w:asciiTheme="majorHAnsi" w:hAnsiTheme="majorHAnsi" w:cstheme="majorHAnsi"/>
          <w:b/>
          <w:bCs/>
          <w:color w:val="0000FF"/>
          <w:sz w:val="18"/>
          <w:szCs w:val="18"/>
        </w:rPr>
        <w:fldChar w:fldCharType="separate"/>
      </w:r>
      <w:r w:rsidR="00926169" w:rsidRPr="00EB25BC">
        <w:rPr>
          <w:rFonts w:asciiTheme="majorHAnsi" w:hAnsiTheme="majorHAnsi" w:cstheme="majorHAnsi"/>
          <w:noProof/>
          <w:color w:val="0000FF"/>
        </w:rPr>
        <w:t>0.</w:t>
      </w:r>
      <w:r w:rsidR="00926169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926169" w:rsidRPr="00EB25BC">
        <w:rPr>
          <w:rFonts w:asciiTheme="majorHAnsi" w:hAnsiTheme="majorHAnsi" w:cstheme="majorHAnsi"/>
          <w:noProof/>
          <w:color w:val="0000FF"/>
        </w:rPr>
        <w:t>Premessa</w:t>
      </w:r>
      <w:r w:rsidR="00926169">
        <w:rPr>
          <w:noProof/>
        </w:rPr>
        <w:tab/>
      </w:r>
      <w:r w:rsidR="00926169">
        <w:rPr>
          <w:noProof/>
        </w:rPr>
        <w:fldChar w:fldCharType="begin"/>
      </w:r>
      <w:r w:rsidR="00926169">
        <w:rPr>
          <w:noProof/>
        </w:rPr>
        <w:instrText xml:space="preserve"> PAGEREF _Toc74297060 \h </w:instrText>
      </w:r>
      <w:r w:rsidR="00926169">
        <w:rPr>
          <w:noProof/>
        </w:rPr>
      </w:r>
      <w:r w:rsidR="00926169">
        <w:rPr>
          <w:noProof/>
        </w:rPr>
        <w:fldChar w:fldCharType="separate"/>
      </w:r>
      <w:r w:rsidR="00926169">
        <w:rPr>
          <w:noProof/>
        </w:rPr>
        <w:t>2</w:t>
      </w:r>
      <w:r w:rsidR="00926169">
        <w:rPr>
          <w:noProof/>
        </w:rPr>
        <w:fldChar w:fldCharType="end"/>
      </w:r>
    </w:p>
    <w:p w14:paraId="41766E0B" w14:textId="1AF4E011" w:rsidR="00926169" w:rsidRDefault="00926169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1.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Destinatari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7687F6C" w14:textId="3A9F46F6" w:rsidR="00926169" w:rsidRDefault="00926169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Processi aziendali coinvolti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EED53DB" w14:textId="0EE2F849" w:rsidR="00926169" w:rsidRDefault="00926169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2.1.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Finanza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1B7020D" w14:textId="0B357909" w:rsidR="00926169" w:rsidRDefault="00926169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2.2.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Tesoreria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4D6928E" w14:textId="3F6A4F79" w:rsidR="00926169" w:rsidRDefault="00926169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2.3.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FLUSSI FINANZIARI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6C0FF5F" w14:textId="4064BD32" w:rsidR="00926169" w:rsidRDefault="00926169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Protocolli di prevenzione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5119250" w14:textId="54DF3578" w:rsidR="00926169" w:rsidRDefault="00926169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3.1.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Documentazione integrativa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E26E6BE" w14:textId="50C7207C" w:rsidR="00926169" w:rsidRDefault="00926169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3.2.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Procedure da applicare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56F0581" w14:textId="2C8678A0" w:rsidR="00926169" w:rsidRDefault="00926169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b/>
          <w:bCs/>
          <w:noProof/>
          <w:color w:val="0000FF"/>
        </w:rPr>
        <w:t>3.2.1.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b/>
          <w:bCs/>
          <w:noProof/>
          <w:color w:val="0000FF"/>
        </w:rPr>
        <w:t>poteri di spesa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32F0B7" w14:textId="6C6D97F3" w:rsidR="00926169" w:rsidRDefault="00926169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b/>
          <w:bCs/>
          <w:noProof/>
          <w:color w:val="0000FF"/>
        </w:rPr>
        <w:t>3.2.2.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b/>
          <w:bCs/>
          <w:noProof/>
          <w:color w:val="0000FF"/>
        </w:rPr>
        <w:t>modalità di circolazione delle finanze (in generale)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04987ED" w14:textId="06A57BE9" w:rsidR="00926169" w:rsidRDefault="00926169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b/>
          <w:bCs/>
          <w:noProof/>
          <w:color w:val="0000FF"/>
        </w:rPr>
        <w:t>3.2.3.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b/>
          <w:bCs/>
          <w:noProof/>
          <w:color w:val="0000FF"/>
        </w:rPr>
        <w:t>controllo della gestione dei flussi finanziari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F07B37" w14:textId="66E5740A" w:rsidR="00926169" w:rsidRDefault="00926169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b/>
          <w:bCs/>
          <w:noProof/>
          <w:color w:val="0000FF"/>
        </w:rPr>
        <w:t>3.2.4.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b/>
          <w:bCs/>
          <w:noProof/>
          <w:color w:val="0000FF"/>
        </w:rPr>
        <w:t>flussi afferenti i rapporti di consulenza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7B3F14E" w14:textId="5A65EA7A" w:rsidR="00926169" w:rsidRDefault="00926169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b/>
          <w:bCs/>
          <w:noProof/>
          <w:color w:val="0000FF"/>
        </w:rPr>
        <w:t>3.2.5.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b/>
          <w:bCs/>
          <w:noProof/>
          <w:color w:val="0000FF"/>
        </w:rPr>
        <w:t>normativa antiriciclaggio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D3D0EC8" w14:textId="40BBE801" w:rsidR="00926169" w:rsidRDefault="00926169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b/>
          <w:bCs/>
          <w:noProof/>
          <w:color w:val="0000FF"/>
        </w:rPr>
        <w:t>3.2.6.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b/>
          <w:bCs/>
          <w:noProof/>
          <w:color w:val="0000FF"/>
        </w:rPr>
        <w:t>spendita di contributi, finanziamenti, mutui agevolati o altre erogazioni dello stesso tipo, comunque denominate, concessi o erogati dallo Stato, da altri enti pubblici o dalle Comunità europee ovvero da Enti privati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6CF982" w14:textId="2431DE42" w:rsidR="00926169" w:rsidRDefault="00926169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b/>
          <w:bCs/>
          <w:noProof/>
          <w:color w:val="0000FF"/>
        </w:rPr>
        <w:t>3.2.7.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b/>
          <w:bCs/>
          <w:noProof/>
          <w:color w:val="0000FF"/>
        </w:rPr>
        <w:t>tracciabilità dei flussi finanziari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1ACA474" w14:textId="295D16E2" w:rsidR="00926169" w:rsidRDefault="00926169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b/>
          <w:bCs/>
          <w:noProof/>
          <w:color w:val="0000FF"/>
        </w:rPr>
        <w:t>3.2.8.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b/>
          <w:bCs/>
          <w:noProof/>
          <w:color w:val="0000FF"/>
        </w:rPr>
        <w:t>liquidazione dei tributi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72DC0C5" w14:textId="02306E51" w:rsidR="00926169" w:rsidRDefault="00926169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Attività dell’ODV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1491C1C" w14:textId="081B9606" w:rsidR="00926169" w:rsidRDefault="00926169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25BC">
        <w:rPr>
          <w:rFonts w:asciiTheme="majorHAnsi" w:hAnsiTheme="majorHAnsi" w:cstheme="majorHAnsi"/>
          <w:noProof/>
          <w:color w:val="0000FF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EB25BC">
        <w:rPr>
          <w:rFonts w:asciiTheme="majorHAnsi" w:hAnsiTheme="majorHAnsi" w:cstheme="majorHAnsi"/>
          <w:noProof/>
          <w:color w:val="0000FF"/>
        </w:rPr>
        <w:t>Disposizioni finali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_Toc74297078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2E114F" w14:textId="0CC83026" w:rsidR="00137976" w:rsidRPr="003D4D96" w:rsidRDefault="00137976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r w:rsidRPr="003D4D96">
        <w:rPr>
          <w:rFonts w:asciiTheme="majorHAnsi" w:hAnsiTheme="majorHAnsi" w:cstheme="majorHAnsi"/>
          <w:b/>
          <w:bCs/>
          <w:color w:val="0000FF"/>
          <w:sz w:val="18"/>
          <w:szCs w:val="18"/>
        </w:rPr>
        <w:fldChar w:fldCharType="end"/>
      </w:r>
    </w:p>
    <w:p w14:paraId="259FCF0A" w14:textId="01F8E5CC" w:rsidR="00137976" w:rsidRPr="003D4D96" w:rsidRDefault="00137976">
      <w:pPr>
        <w:pStyle w:val="Pidipagina"/>
        <w:tabs>
          <w:tab w:val="clear" w:pos="4819"/>
          <w:tab w:val="clear" w:pos="9638"/>
        </w:tabs>
        <w:jc w:val="center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r w:rsidRPr="003D4D96">
        <w:rPr>
          <w:rFonts w:asciiTheme="majorHAnsi" w:hAnsiTheme="majorHAnsi" w:cstheme="majorHAnsi"/>
          <w:b/>
          <w:bCs/>
          <w:color w:val="0000FF"/>
          <w:sz w:val="18"/>
          <w:szCs w:val="18"/>
        </w:rPr>
        <w:br w:type="column"/>
      </w:r>
    </w:p>
    <w:p w14:paraId="35ED6656" w14:textId="36F347BF" w:rsidR="00A66BEB" w:rsidRPr="00926169" w:rsidRDefault="00EF6F02" w:rsidP="00EF6F02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0" w:name="_Toc74297060"/>
      <w:r w:rsidRPr="00926169">
        <w:rPr>
          <w:rFonts w:asciiTheme="majorHAnsi" w:hAnsiTheme="majorHAnsi" w:cstheme="majorHAnsi"/>
          <w:color w:val="0000FF"/>
          <w:sz w:val="18"/>
          <w:szCs w:val="18"/>
        </w:rPr>
        <w:t>Premessa</w:t>
      </w:r>
      <w:bookmarkEnd w:id="0"/>
    </w:p>
    <w:p w14:paraId="507243BF" w14:textId="77777777" w:rsidR="003D4D96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La presente procedura ha l’obiettivo di definire ruoli e responsabilità, nonché dettare protocolli di prevenzione e controllo, in relazione alla Gestione dei Flussi Finanziari al fine di prevenire, nell’esecuzione di tale attività, la commissione degli illeciti previsti dal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231/2001. In particolare, la presente procedura intende prevenire il verificarsi delle fattispecie di reato previste nei seguenti articoli del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231/01 (a titolo riassuntivo, rimandandosi per l’analisi dettagliata alla parte speciale del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MOG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): </w:t>
      </w:r>
    </w:p>
    <w:p w14:paraId="22AEE531" w14:textId="77777777" w:rsidR="003D4D96" w:rsidRDefault="003D4D96" w:rsidP="00A2613C">
      <w:pPr>
        <w:jc w:val="both"/>
        <w:rPr>
          <w:rFonts w:asciiTheme="majorHAnsi" w:hAnsiTheme="majorHAnsi" w:cstheme="majorHAnsi"/>
          <w:sz w:val="18"/>
          <w:szCs w:val="18"/>
        </w:rPr>
      </w:pPr>
    </w:p>
    <w:p w14:paraId="23B9FB0F" w14:textId="77777777" w:rsidR="003D4D96" w:rsidRDefault="00A2613C" w:rsidP="005D7D96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indebita percezione di erogazioni, truffa in danno dello Stato o di un ente pubblico per il conseguimento di erogazioni pubbliche e frode informatica in danno dello Stato o di un ente pubblico (art. 24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231/01) </w:t>
      </w:r>
    </w:p>
    <w:p w14:paraId="0AA5CAEE" w14:textId="77777777" w:rsidR="005D7D96" w:rsidRDefault="00A2613C" w:rsidP="005D7D96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concussione, induzione indebita a dare o promettere utilità e corruzione (art. 25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231/01) </w:t>
      </w:r>
    </w:p>
    <w:p w14:paraId="485AED35" w14:textId="32F8B789" w:rsidR="003D4D96" w:rsidRDefault="00A2613C" w:rsidP="005D7D96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reati societari (art. 25 ter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231/01) </w:t>
      </w:r>
    </w:p>
    <w:p w14:paraId="2168512A" w14:textId="77777777" w:rsidR="005D7D96" w:rsidRDefault="00A2613C" w:rsidP="005D7D96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ricettazione, riciclaggio e impiego di denaro, beni o utilità di provenienza illecita, nonché autoriciclaggio (art. 25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octies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231/01). Con l’entrata in vigore del reato di autoriciclaggio (art. 648 ter.1 c.p. come richiamato dall’art. 25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octies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231/01). </w:t>
      </w:r>
    </w:p>
    <w:p w14:paraId="4D3C85F3" w14:textId="1566BCDE" w:rsidR="003D4D96" w:rsidRDefault="00A2613C" w:rsidP="00F634AF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La presente procedura è anche diretta a prevenire il riutilizzo di denaro, beni o altre utilità derivanti dalla commissione dei reati di cui ai punti che precedono ovvero degli altri delitti di natura non colposa non presenti nell’elenco di cui al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231/01; </w:t>
      </w:r>
    </w:p>
    <w:p w14:paraId="01DE6511" w14:textId="77777777" w:rsidR="005D7D96" w:rsidRDefault="00A2613C" w:rsidP="005D7D96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induzione a non rendere dichiarazioni o a rendere dichiarazioni mendaci all’autorità giudiziaria (art. 25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decies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D.Lgs.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231/01). </w:t>
      </w:r>
    </w:p>
    <w:p w14:paraId="3640ABC8" w14:textId="2C52DC69" w:rsidR="003D4D96" w:rsidRDefault="00A2613C" w:rsidP="005D7D96">
      <w:p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La presente procedura è altresì volta a prevenire il reato di cui all’art. 416 c.p. (associazione per delinquere), laddove finalizzato alla commissione dei reati di cui sopra. </w:t>
      </w:r>
    </w:p>
    <w:p w14:paraId="41861F4F" w14:textId="77777777" w:rsidR="003D4D96" w:rsidRPr="003D4D96" w:rsidRDefault="00A2613C" w:rsidP="003D4D96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1" w:name="_Toc74297061"/>
      <w:r w:rsidRPr="003D4D96">
        <w:rPr>
          <w:rFonts w:asciiTheme="majorHAnsi" w:hAnsiTheme="majorHAnsi" w:cstheme="majorHAnsi"/>
          <w:color w:val="0000FF"/>
          <w:sz w:val="18"/>
          <w:szCs w:val="18"/>
        </w:rPr>
        <w:t>Destinatari</w:t>
      </w:r>
      <w:bookmarkEnd w:id="1"/>
      <w:r w:rsidRPr="003D4D96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60CBEB3F" w14:textId="77777777" w:rsidR="003D4D96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La presente procedura, finalizzata alla prevenzione dei reati pocanzi menzionati, trova applicazione nei confronti di tutti coloro che, nell’esercizio dell’attività di propria competenza a favore dell’ente, intervengono nella gestione dei flussi finanziari. </w:t>
      </w:r>
    </w:p>
    <w:p w14:paraId="248462F9" w14:textId="77777777" w:rsidR="003D4D96" w:rsidRPr="003D4D96" w:rsidRDefault="00A2613C" w:rsidP="003D4D96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2" w:name="_Toc74297062"/>
      <w:r w:rsidRPr="003D4D96">
        <w:rPr>
          <w:rFonts w:asciiTheme="majorHAnsi" w:hAnsiTheme="majorHAnsi" w:cstheme="majorHAnsi"/>
          <w:color w:val="0000FF"/>
          <w:sz w:val="18"/>
          <w:szCs w:val="18"/>
        </w:rPr>
        <w:t>Processi aziendali coinvolti</w:t>
      </w:r>
      <w:bookmarkEnd w:id="2"/>
      <w:r w:rsidRPr="003D4D96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66C5C3BA" w14:textId="77777777" w:rsidR="003D4D96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I Destinatari della presente procedura, per quanto rileva ai fini della prevenzione dei reati pocanzi menzionati, partecipano alla gestione dei flussi finanziari principalmente (ed a titolo esemplificativo) attraverso i seguenti processi aziendali: </w:t>
      </w:r>
    </w:p>
    <w:p w14:paraId="4FA10581" w14:textId="57AE7E45" w:rsidR="003D4D96" w:rsidRPr="003D4D96" w:rsidRDefault="00A2613C" w:rsidP="003D4D96">
      <w:pPr>
        <w:pStyle w:val="Titolo2"/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3" w:name="_Toc74297063"/>
      <w:r w:rsidRPr="003D4D96">
        <w:rPr>
          <w:rFonts w:asciiTheme="majorHAnsi" w:hAnsiTheme="majorHAnsi" w:cstheme="majorHAnsi"/>
          <w:color w:val="0000FF"/>
          <w:sz w:val="18"/>
          <w:szCs w:val="18"/>
        </w:rPr>
        <w:t>Finanza</w:t>
      </w:r>
      <w:bookmarkEnd w:id="3"/>
      <w:r w:rsidRPr="003D4D96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3CFCACFA" w14:textId="77777777" w:rsidR="003D4D96" w:rsidRDefault="00A2613C" w:rsidP="00A9490C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gestione della pianificazione finanziaria dell’ente e definizione del fabbisogno a breve/medio/lungo termine </w:t>
      </w:r>
    </w:p>
    <w:p w14:paraId="366718A9" w14:textId="77777777" w:rsidR="003D4D96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gestione dei finanziamenti da terzi </w:t>
      </w:r>
      <w:r w:rsidRPr="003923C3">
        <w:rPr>
          <w:rFonts w:asciiTheme="majorHAnsi" w:hAnsiTheme="majorHAnsi" w:cstheme="majorHAnsi"/>
          <w:sz w:val="18"/>
          <w:szCs w:val="18"/>
          <w:highlight w:val="red"/>
        </w:rPr>
        <w:t>ed infragruppo</w:t>
      </w:r>
      <w:r w:rsidRPr="003D4D96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36413F4C" w14:textId="4484D188" w:rsidR="003D4D96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gestione e coordinamento degli investimenti di liquidità e delle operazioni su strumenti finanziari </w:t>
      </w:r>
    </w:p>
    <w:p w14:paraId="5D9C7E84" w14:textId="5C2F019E" w:rsidR="003D4D96" w:rsidRPr="003D4D96" w:rsidRDefault="00A2613C" w:rsidP="003D4D96">
      <w:pPr>
        <w:pStyle w:val="Titolo2"/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4" w:name="_Toc74297064"/>
      <w:r w:rsidRPr="003D4D96">
        <w:rPr>
          <w:rFonts w:asciiTheme="majorHAnsi" w:hAnsiTheme="majorHAnsi" w:cstheme="majorHAnsi"/>
          <w:color w:val="0000FF"/>
          <w:sz w:val="18"/>
          <w:szCs w:val="18"/>
        </w:rPr>
        <w:t>Tesoreria</w:t>
      </w:r>
      <w:bookmarkEnd w:id="4"/>
      <w:r w:rsidRPr="003D4D96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5E54A014" w14:textId="77777777" w:rsidR="003D4D96" w:rsidRDefault="00A2613C" w:rsidP="00A9490C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gestione dei conti correnti bancari e dei rapporti con gli istituti bancari e finanziari (apertura e chiusura, riconciliazione degli estratti conto, determinazione oneri finanziari, …) </w:t>
      </w:r>
    </w:p>
    <w:p w14:paraId="386E8662" w14:textId="77777777" w:rsidR="003D4D96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gestione dei fondi cassa con verifica circa la corretta riconciliazione, contabilizzazione e reintegrazione </w:t>
      </w:r>
    </w:p>
    <w:p w14:paraId="687AE624" w14:textId="77777777" w:rsidR="003D4D96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gestione del ciclo attivo (incassi) e del ciclo passivo (pagamenti e riversamenti) </w:t>
      </w:r>
    </w:p>
    <w:p w14:paraId="0598ED4F" w14:textId="77777777" w:rsidR="003D4D96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gestione dell’attività antiriciclaggio </w:t>
      </w:r>
    </w:p>
    <w:p w14:paraId="33AD87BD" w14:textId="378454CC" w:rsidR="003D4D96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gestione dei flussi finanziari con le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PPAA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</w:t>
      </w:r>
      <w:r w:rsidR="003923C3">
        <w:rPr>
          <w:rFonts w:asciiTheme="majorHAnsi" w:hAnsiTheme="majorHAnsi" w:cstheme="majorHAnsi"/>
          <w:sz w:val="18"/>
          <w:szCs w:val="18"/>
        </w:rPr>
        <w:t>(o assimilata: RFI)</w:t>
      </w:r>
    </w:p>
    <w:p w14:paraId="7F7B502D" w14:textId="77777777" w:rsidR="003D4D96" w:rsidRDefault="003D4D96" w:rsidP="00A2613C">
      <w:pPr>
        <w:jc w:val="both"/>
        <w:rPr>
          <w:rFonts w:asciiTheme="majorHAnsi" w:hAnsiTheme="majorHAnsi" w:cstheme="majorHAnsi"/>
          <w:sz w:val="18"/>
          <w:szCs w:val="18"/>
        </w:rPr>
      </w:pPr>
    </w:p>
    <w:p w14:paraId="3091F27D" w14:textId="77777777" w:rsidR="003D4D96" w:rsidRPr="003D4D96" w:rsidRDefault="00A2613C" w:rsidP="004C3C04">
      <w:pPr>
        <w:pStyle w:val="Titolo2"/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5" w:name="_Toc74297065"/>
      <w:r w:rsidRPr="003D4D96">
        <w:rPr>
          <w:rFonts w:asciiTheme="majorHAnsi" w:hAnsiTheme="majorHAnsi" w:cstheme="majorHAnsi"/>
          <w:color w:val="0000FF"/>
          <w:sz w:val="18"/>
          <w:szCs w:val="18"/>
        </w:rPr>
        <w:t>FLUSSI FINANZIARI</w:t>
      </w:r>
      <w:bookmarkEnd w:id="5"/>
      <w:r w:rsidRPr="003D4D96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46BFD6F1" w14:textId="77777777" w:rsidR="003D4D96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>- gestione dei flussi finanziari relativi ai rapporti consulenziali.</w:t>
      </w:r>
    </w:p>
    <w:p w14:paraId="170D1BEF" w14:textId="77777777" w:rsidR="003D4D96" w:rsidRPr="003D4D96" w:rsidRDefault="00A2613C" w:rsidP="004C3C04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6" w:name="_Toc74297066"/>
      <w:r w:rsidRPr="003D4D96">
        <w:rPr>
          <w:rFonts w:asciiTheme="majorHAnsi" w:hAnsiTheme="majorHAnsi" w:cstheme="majorHAnsi"/>
          <w:color w:val="0000FF"/>
          <w:sz w:val="18"/>
          <w:szCs w:val="18"/>
        </w:rPr>
        <w:lastRenderedPageBreak/>
        <w:t>Protocolli di prevenzione</w:t>
      </w:r>
      <w:bookmarkEnd w:id="6"/>
      <w:r w:rsidRPr="003D4D96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50E6F84F" w14:textId="77777777" w:rsidR="003D4D96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Le risorse finanziarie dell’ente devono essere amministrate secondo criteri di massima trasparenza, correttezza e veridicità in ossequio alla normativa vigente in ambito contabile e fiscale che qui si intendono integralmente richiamati per quanto di competenza, </w:t>
      </w:r>
      <w:r w:rsidRPr="003923C3">
        <w:rPr>
          <w:rFonts w:asciiTheme="majorHAnsi" w:hAnsiTheme="majorHAnsi" w:cstheme="majorHAnsi"/>
          <w:i/>
          <w:iCs/>
          <w:sz w:val="18"/>
          <w:szCs w:val="18"/>
          <w:u w:val="single"/>
        </w:rPr>
        <w:t>in modo da consentire la ricostruzione puntuale di ogni flusso da e verso l’ente stesso</w:t>
      </w:r>
      <w:r w:rsidRPr="003D4D96">
        <w:rPr>
          <w:rFonts w:asciiTheme="majorHAnsi" w:hAnsiTheme="majorHAnsi" w:cstheme="majorHAnsi"/>
          <w:sz w:val="18"/>
          <w:szCs w:val="18"/>
        </w:rPr>
        <w:t>.</w:t>
      </w:r>
    </w:p>
    <w:p w14:paraId="30342199" w14:textId="77777777" w:rsidR="003D4D96" w:rsidRPr="00BA01FA" w:rsidRDefault="00A2613C" w:rsidP="00BA01FA">
      <w:pPr>
        <w:pStyle w:val="Titolo2"/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7" w:name="_Toc74297067"/>
      <w:r w:rsidRPr="00BA01FA">
        <w:rPr>
          <w:rFonts w:asciiTheme="majorHAnsi" w:hAnsiTheme="majorHAnsi" w:cstheme="majorHAnsi"/>
          <w:color w:val="0000FF"/>
          <w:sz w:val="18"/>
          <w:szCs w:val="18"/>
        </w:rPr>
        <w:t>Documentazione integrativa</w:t>
      </w:r>
      <w:bookmarkEnd w:id="7"/>
      <w:r w:rsidRPr="00BA01FA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5F759DF3" w14:textId="77777777" w:rsidR="003923C3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La presente procedura richiama ed integra quanto già disciplinato nell’ambito della seguente documentazione: </w:t>
      </w:r>
    </w:p>
    <w:p w14:paraId="3031C501" w14:textId="77777777" w:rsidR="003923C3" w:rsidRDefault="00A2613C" w:rsidP="00CC7B4A">
      <w:pPr>
        <w:pStyle w:val="Paragrafoelenco"/>
        <w:numPr>
          <w:ilvl w:val="0"/>
          <w:numId w:val="3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3923C3">
        <w:rPr>
          <w:rFonts w:asciiTheme="majorHAnsi" w:hAnsiTheme="majorHAnsi" w:cstheme="majorHAnsi"/>
          <w:sz w:val="18"/>
          <w:szCs w:val="18"/>
        </w:rPr>
        <w:t xml:space="preserve">Codice Etico </w:t>
      </w:r>
    </w:p>
    <w:p w14:paraId="6A4A2C7A" w14:textId="77777777" w:rsidR="003923C3" w:rsidRDefault="00A2613C" w:rsidP="00CC7B4A">
      <w:pPr>
        <w:pStyle w:val="Paragrafoelenco"/>
        <w:numPr>
          <w:ilvl w:val="0"/>
          <w:numId w:val="3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3923C3">
        <w:rPr>
          <w:rFonts w:asciiTheme="majorHAnsi" w:hAnsiTheme="majorHAnsi" w:cstheme="majorHAnsi"/>
          <w:sz w:val="18"/>
          <w:szCs w:val="18"/>
        </w:rPr>
        <w:t xml:space="preserve">Poteri, </w:t>
      </w:r>
    </w:p>
    <w:p w14:paraId="24DB2942" w14:textId="77777777" w:rsidR="003923C3" w:rsidRDefault="00A2613C" w:rsidP="00CC7B4A">
      <w:pPr>
        <w:pStyle w:val="Paragrafoelenco"/>
        <w:numPr>
          <w:ilvl w:val="0"/>
          <w:numId w:val="3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3923C3">
        <w:rPr>
          <w:rFonts w:asciiTheme="majorHAnsi" w:hAnsiTheme="majorHAnsi" w:cstheme="majorHAnsi"/>
          <w:sz w:val="18"/>
          <w:szCs w:val="18"/>
        </w:rPr>
        <w:t xml:space="preserve">deleghe e procure </w:t>
      </w:r>
    </w:p>
    <w:p w14:paraId="22C46C6A" w14:textId="77777777" w:rsidR="003923C3" w:rsidRDefault="00A2613C" w:rsidP="00CC7B4A">
      <w:pPr>
        <w:pStyle w:val="Paragrafoelenco"/>
        <w:numPr>
          <w:ilvl w:val="0"/>
          <w:numId w:val="3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3923C3">
        <w:rPr>
          <w:rFonts w:asciiTheme="majorHAnsi" w:hAnsiTheme="majorHAnsi" w:cstheme="majorHAnsi"/>
          <w:sz w:val="18"/>
          <w:szCs w:val="18"/>
        </w:rPr>
        <w:t xml:space="preserve">Documentazione Contrattuale; </w:t>
      </w:r>
    </w:p>
    <w:p w14:paraId="60B635F3" w14:textId="647FF38D" w:rsidR="00BA01FA" w:rsidRPr="003923C3" w:rsidRDefault="00A2613C" w:rsidP="00CC7B4A">
      <w:pPr>
        <w:pStyle w:val="Paragrafoelenco"/>
        <w:numPr>
          <w:ilvl w:val="0"/>
          <w:numId w:val="3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3923C3">
        <w:rPr>
          <w:rFonts w:asciiTheme="majorHAnsi" w:hAnsiTheme="majorHAnsi" w:cstheme="majorHAnsi"/>
          <w:sz w:val="18"/>
          <w:szCs w:val="18"/>
        </w:rPr>
        <w:t xml:space="preserve">Altre procedure del </w:t>
      </w:r>
      <w:proofErr w:type="spellStart"/>
      <w:r w:rsidRPr="003923C3">
        <w:rPr>
          <w:rFonts w:asciiTheme="majorHAnsi" w:hAnsiTheme="majorHAnsi" w:cstheme="majorHAnsi"/>
          <w:sz w:val="18"/>
          <w:szCs w:val="18"/>
        </w:rPr>
        <w:t>MOG</w:t>
      </w:r>
      <w:proofErr w:type="spellEnd"/>
      <w:r w:rsidRPr="003923C3">
        <w:rPr>
          <w:rFonts w:asciiTheme="majorHAnsi" w:hAnsiTheme="majorHAnsi" w:cstheme="majorHAnsi"/>
          <w:sz w:val="18"/>
          <w:szCs w:val="18"/>
        </w:rPr>
        <w:t xml:space="preserve"> cui si rinvia.</w:t>
      </w:r>
    </w:p>
    <w:p w14:paraId="4E789C74" w14:textId="77777777" w:rsidR="00BA01FA" w:rsidRPr="00BA01FA" w:rsidRDefault="00A2613C" w:rsidP="00BA01FA">
      <w:pPr>
        <w:pStyle w:val="Titolo2"/>
        <w:ind w:left="1843"/>
        <w:rPr>
          <w:rFonts w:asciiTheme="majorHAnsi" w:hAnsiTheme="majorHAnsi" w:cstheme="majorHAnsi"/>
          <w:color w:val="0000FF"/>
          <w:sz w:val="18"/>
          <w:szCs w:val="18"/>
        </w:rPr>
      </w:pPr>
      <w:bookmarkStart w:id="8" w:name="_Toc74297068"/>
      <w:r w:rsidRPr="00BA01FA">
        <w:rPr>
          <w:rFonts w:asciiTheme="majorHAnsi" w:hAnsiTheme="majorHAnsi" w:cstheme="majorHAnsi"/>
          <w:color w:val="0000FF"/>
          <w:sz w:val="18"/>
          <w:szCs w:val="18"/>
        </w:rPr>
        <w:t>Procedure da applicare</w:t>
      </w:r>
      <w:bookmarkEnd w:id="8"/>
      <w:r w:rsidRPr="00BA01FA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4055947F" w14:textId="77777777" w:rsidR="00BA01FA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Ai fini della prevenzione dei reati di cui al d.lgs. 231/01: </w:t>
      </w:r>
    </w:p>
    <w:p w14:paraId="5F83C08F" w14:textId="5C7F14AD" w:rsidR="004C3C04" w:rsidRPr="004C3C04" w:rsidRDefault="00A2613C" w:rsidP="004C3C04">
      <w:pPr>
        <w:pStyle w:val="Titolo3"/>
        <w:ind w:left="1843"/>
        <w:rPr>
          <w:rFonts w:asciiTheme="majorHAnsi" w:hAnsiTheme="majorHAnsi" w:cstheme="majorHAnsi"/>
          <w:b/>
          <w:bCs/>
          <w:sz w:val="18"/>
          <w:szCs w:val="18"/>
        </w:rPr>
      </w:pPr>
      <w:bookmarkStart w:id="9" w:name="_Toc74297069"/>
      <w:r w:rsidRPr="004C3C04">
        <w:rPr>
          <w:rFonts w:asciiTheme="majorHAnsi" w:hAnsiTheme="majorHAnsi" w:cstheme="majorHAnsi"/>
          <w:b/>
          <w:bCs/>
          <w:color w:val="0000FF"/>
          <w:sz w:val="18"/>
          <w:szCs w:val="18"/>
        </w:rPr>
        <w:t>poteri di spesa</w:t>
      </w:r>
      <w:bookmarkEnd w:id="9"/>
      <w:r w:rsidRPr="004C3C04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</w:p>
    <w:p w14:paraId="399A75C8" w14:textId="77777777" w:rsidR="009D2DCD" w:rsidRDefault="00A2613C" w:rsidP="004C3C04">
      <w:pPr>
        <w:ind w:left="360"/>
        <w:jc w:val="both"/>
        <w:rPr>
          <w:rFonts w:asciiTheme="majorHAnsi" w:hAnsiTheme="majorHAnsi" w:cstheme="majorHAnsi"/>
          <w:sz w:val="18"/>
          <w:szCs w:val="18"/>
        </w:rPr>
      </w:pPr>
      <w:r w:rsidRPr="009D2DCD">
        <w:rPr>
          <w:rFonts w:asciiTheme="majorHAnsi" w:hAnsiTheme="majorHAnsi" w:cstheme="majorHAnsi"/>
          <w:sz w:val="18"/>
          <w:szCs w:val="18"/>
          <w:highlight w:val="yellow"/>
        </w:rPr>
        <w:t>Individuati i poteri di spesa</w:t>
      </w:r>
      <w:r w:rsidRPr="004C3C04">
        <w:rPr>
          <w:rFonts w:asciiTheme="majorHAnsi" w:hAnsiTheme="majorHAnsi" w:cstheme="majorHAnsi"/>
          <w:sz w:val="18"/>
          <w:szCs w:val="18"/>
        </w:rPr>
        <w:t xml:space="preserve"> come da delibera vigente del c.d.a. che qui viene integralmente richiamata, nessuna funzione aziendale deve dare od eseguire disposizioni in contrasto con i poteri conferiti, pertanto: </w:t>
      </w:r>
    </w:p>
    <w:p w14:paraId="616D0D39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è fatto divieto di eseguire disposizioni in assenza dell’autorizzazione dei soggetti dotati di poteri di spesa; </w:t>
      </w:r>
    </w:p>
    <w:p w14:paraId="54B7C15B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ogni disposizione generante un flusso finanziario deve essere tracciabile e trasparente in modo da consentire la verifica dei processi di decisione, autorizzazione e svolgimento; </w:t>
      </w:r>
    </w:p>
    <w:p w14:paraId="299EA3FC" w14:textId="2FA1293C" w:rsidR="004C3C04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ciascuna disposizione deve essere supportata da documentazione adeguata, chiara e completa da conservare agli atti (anche in forma telematica), in modo da consentire in ogni momento il controllo sulle motivazioni, le caratteristiche dell’operazione e l’individuazione dei soggetti che hanno eseguito l’operazione, che hanno concesso le autorizzazioni e che hanno effettuato le verifiche; </w:t>
      </w:r>
    </w:p>
    <w:p w14:paraId="68361132" w14:textId="7537344B" w:rsidR="004C3C04" w:rsidRPr="009D2DCD" w:rsidRDefault="00A2613C" w:rsidP="009D2DCD">
      <w:pPr>
        <w:pStyle w:val="Titolo3"/>
        <w:ind w:left="1843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bookmarkStart w:id="10" w:name="_Toc74297070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>modalità di circolazione delle finanze (in generale)</w:t>
      </w:r>
      <w:bookmarkEnd w:id="10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</w:p>
    <w:p w14:paraId="386ABD9B" w14:textId="77777777" w:rsidR="003923C3" w:rsidRDefault="00A2613C" w:rsidP="003923C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è fatto divieto di far circolare in entrata od in uscita denaro contate che – per singola causale – superi l’importo di euro </w:t>
      </w:r>
      <w:r w:rsidRPr="009D2DCD">
        <w:rPr>
          <w:rFonts w:asciiTheme="majorHAnsi" w:hAnsiTheme="majorHAnsi" w:cstheme="majorHAnsi"/>
          <w:sz w:val="18"/>
          <w:szCs w:val="18"/>
          <w:highlight w:val="red"/>
        </w:rPr>
        <w:t>2999,99</w:t>
      </w:r>
      <w:r w:rsidRPr="004C3C04">
        <w:rPr>
          <w:rFonts w:asciiTheme="majorHAnsi" w:hAnsiTheme="majorHAnsi" w:cstheme="majorHAnsi"/>
          <w:sz w:val="18"/>
          <w:szCs w:val="18"/>
        </w:rPr>
        <w:t xml:space="preserve">; </w:t>
      </w:r>
    </w:p>
    <w:p w14:paraId="3621FA92" w14:textId="7B6DA548" w:rsidR="009D2DCD" w:rsidRDefault="00A2613C" w:rsidP="003923C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è fatto obbligo di archiviare tutti i documenti contabili in entrata ed in uscita giustificativi di tutte le operazioni finanziarie, a prescindere dal mezzo di pagamento; </w:t>
      </w:r>
    </w:p>
    <w:p w14:paraId="7E05759F" w14:textId="475229FF" w:rsidR="004C3C04" w:rsidRDefault="00A2613C" w:rsidP="003923C3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è fatto divieto di eseguire movimenti finanziari in assenza di previo documento contabile giustificativo; </w:t>
      </w:r>
    </w:p>
    <w:p w14:paraId="30389FF7" w14:textId="0044A784" w:rsidR="004C3C04" w:rsidRPr="009D2DCD" w:rsidRDefault="00A2613C" w:rsidP="009D2DCD">
      <w:pPr>
        <w:pStyle w:val="Titolo3"/>
        <w:ind w:left="1843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bookmarkStart w:id="11" w:name="_Toc74297071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>controllo della gestione dei flussi finanziari</w:t>
      </w:r>
      <w:bookmarkEnd w:id="11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</w:p>
    <w:p w14:paraId="79279496" w14:textId="4C66C979" w:rsidR="009D2DCD" w:rsidRDefault="00A2613C" w:rsidP="004C3C04">
      <w:pPr>
        <w:ind w:left="360"/>
        <w:jc w:val="both"/>
        <w:rPr>
          <w:rFonts w:asciiTheme="majorHAnsi" w:hAnsiTheme="majorHAnsi" w:cstheme="majorHAnsi"/>
          <w:sz w:val="18"/>
          <w:szCs w:val="18"/>
        </w:rPr>
      </w:pPr>
      <w:proofErr w:type="gramStart"/>
      <w:r w:rsidRPr="004C3C04">
        <w:rPr>
          <w:rFonts w:asciiTheme="majorHAnsi" w:hAnsiTheme="majorHAnsi" w:cstheme="majorHAnsi"/>
          <w:sz w:val="18"/>
          <w:szCs w:val="18"/>
        </w:rPr>
        <w:t>E’</w:t>
      </w:r>
      <w:proofErr w:type="gramEnd"/>
      <w:r w:rsidRPr="004C3C04">
        <w:rPr>
          <w:rFonts w:asciiTheme="majorHAnsi" w:hAnsiTheme="majorHAnsi" w:cstheme="majorHAnsi"/>
          <w:sz w:val="18"/>
          <w:szCs w:val="18"/>
        </w:rPr>
        <w:t xml:space="preserve"> fatto obbligo </w:t>
      </w:r>
      <w:r w:rsidR="009D2DCD">
        <w:rPr>
          <w:rFonts w:asciiTheme="majorHAnsi" w:hAnsiTheme="majorHAnsi" w:cstheme="majorHAnsi"/>
          <w:sz w:val="18"/>
          <w:szCs w:val="18"/>
        </w:rPr>
        <w:t>di:</w:t>
      </w:r>
      <w:r w:rsidRPr="004C3C04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7CA3E542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tenere prima nota contabile con tutte le operazioni giornaliere, specificante le causali di movimento, i soggetti titolari del rapporto, la modalità di avvenuta circolazione delle finanze; </w:t>
      </w:r>
    </w:p>
    <w:p w14:paraId="0CDD3B6A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tenere foglio cassa contanti dettagliato e quadrato quotidianamente; </w:t>
      </w:r>
    </w:p>
    <w:p w14:paraId="2625E706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tenere elenco dei conti correnti riferibili all’ente; </w:t>
      </w:r>
    </w:p>
    <w:p w14:paraId="3D0887F8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richiedere ed ottenere mensilmente estratto conto agli istituti di credito concernente i conti correnti dell’Ente; </w:t>
      </w:r>
    </w:p>
    <w:p w14:paraId="599513B6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effettuare riconciliazione cassa/banca; </w:t>
      </w:r>
    </w:p>
    <w:p w14:paraId="7F85D5C4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ove richiesto a campione dall’ODV, esibire la documentazione di cui sopra; </w:t>
      </w:r>
    </w:p>
    <w:p w14:paraId="57C8F531" w14:textId="4722077B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ove richiesto a campione dall’ODV, esibire i contratti originanti le obbligazioni di pagamento adempiute; </w:t>
      </w:r>
    </w:p>
    <w:p w14:paraId="04313D5A" w14:textId="030A8E51" w:rsidR="009D2DCD" w:rsidRPr="009D2DCD" w:rsidRDefault="00A2613C" w:rsidP="009D2DCD">
      <w:pPr>
        <w:pStyle w:val="Titolo3"/>
        <w:ind w:left="1843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bookmarkStart w:id="12" w:name="_Toc74297072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flussi afferenti </w:t>
      </w:r>
      <w:proofErr w:type="gramStart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>i</w:t>
      </w:r>
      <w:proofErr w:type="gramEnd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rapporti di consulenza</w:t>
      </w:r>
      <w:bookmarkEnd w:id="12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</w:p>
    <w:p w14:paraId="636E734C" w14:textId="77777777" w:rsidR="009D2DCD" w:rsidRDefault="00A2613C" w:rsidP="004C3C04">
      <w:pPr>
        <w:ind w:left="360"/>
        <w:jc w:val="both"/>
        <w:rPr>
          <w:rFonts w:asciiTheme="majorHAnsi" w:hAnsiTheme="majorHAnsi" w:cstheme="majorHAnsi"/>
          <w:sz w:val="18"/>
          <w:szCs w:val="18"/>
        </w:rPr>
      </w:pPr>
      <w:proofErr w:type="gramStart"/>
      <w:r w:rsidRPr="004C3C04">
        <w:rPr>
          <w:rFonts w:asciiTheme="majorHAnsi" w:hAnsiTheme="majorHAnsi" w:cstheme="majorHAnsi"/>
          <w:sz w:val="18"/>
          <w:szCs w:val="18"/>
        </w:rPr>
        <w:t>E’</w:t>
      </w:r>
      <w:proofErr w:type="gramEnd"/>
      <w:r w:rsidRPr="004C3C04">
        <w:rPr>
          <w:rFonts w:asciiTheme="majorHAnsi" w:hAnsiTheme="majorHAnsi" w:cstheme="majorHAnsi"/>
          <w:sz w:val="18"/>
          <w:szCs w:val="18"/>
        </w:rPr>
        <w:t xml:space="preserve"> fatto obbligo di: </w:t>
      </w:r>
    </w:p>
    <w:p w14:paraId="7AA70740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predisporre un elenco dei contratti di consulenza, da aggiornarsi ad ogni variazione; </w:t>
      </w:r>
    </w:p>
    <w:p w14:paraId="2107252B" w14:textId="77777777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lastRenderedPageBreak/>
        <w:t xml:space="preserve">- istituire un apposito archivio contenente i documenti relativi a dette prestazioni di consulenza quali: </w:t>
      </w:r>
    </w:p>
    <w:p w14:paraId="35CF2E7A" w14:textId="77777777" w:rsidR="009D2DCD" w:rsidRDefault="00A2613C" w:rsidP="00CC7B4A">
      <w:pPr>
        <w:pStyle w:val="Paragrafoelenco"/>
        <w:numPr>
          <w:ilvl w:val="0"/>
          <w:numId w:val="2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9D2DCD">
        <w:rPr>
          <w:rFonts w:asciiTheme="majorHAnsi" w:hAnsiTheme="majorHAnsi" w:cstheme="majorHAnsi"/>
          <w:sz w:val="18"/>
          <w:szCs w:val="18"/>
        </w:rPr>
        <w:t xml:space="preserve">il contratto; </w:t>
      </w:r>
    </w:p>
    <w:p w14:paraId="2726B7E9" w14:textId="77777777" w:rsidR="00F634AF" w:rsidRDefault="00A2613C" w:rsidP="00CC7B4A">
      <w:pPr>
        <w:pStyle w:val="Paragrafoelenco"/>
        <w:numPr>
          <w:ilvl w:val="0"/>
          <w:numId w:val="2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9D2DCD">
        <w:rPr>
          <w:rFonts w:asciiTheme="majorHAnsi" w:hAnsiTheme="majorHAnsi" w:cstheme="majorHAnsi"/>
          <w:sz w:val="18"/>
          <w:szCs w:val="18"/>
        </w:rPr>
        <w:t xml:space="preserve">la modulistica prevista dal presente </w:t>
      </w:r>
      <w:proofErr w:type="spellStart"/>
      <w:r w:rsidRPr="009D2DCD">
        <w:rPr>
          <w:rFonts w:asciiTheme="majorHAnsi" w:hAnsiTheme="majorHAnsi" w:cstheme="majorHAnsi"/>
          <w:sz w:val="18"/>
          <w:szCs w:val="18"/>
        </w:rPr>
        <w:t>MOG</w:t>
      </w:r>
      <w:proofErr w:type="spellEnd"/>
      <w:r w:rsidRPr="009D2DCD">
        <w:rPr>
          <w:rFonts w:asciiTheme="majorHAnsi" w:hAnsiTheme="majorHAnsi" w:cstheme="majorHAnsi"/>
          <w:sz w:val="18"/>
          <w:szCs w:val="18"/>
        </w:rPr>
        <w:t xml:space="preserve"> riferibili ai consulenti; </w:t>
      </w:r>
    </w:p>
    <w:p w14:paraId="6969D292" w14:textId="77777777" w:rsidR="00F634AF" w:rsidRDefault="00A2613C" w:rsidP="00CC7B4A">
      <w:pPr>
        <w:pStyle w:val="Paragrafoelenco"/>
        <w:numPr>
          <w:ilvl w:val="0"/>
          <w:numId w:val="2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9D2DCD">
        <w:rPr>
          <w:rFonts w:asciiTheme="majorHAnsi" w:hAnsiTheme="majorHAnsi" w:cstheme="majorHAnsi"/>
          <w:sz w:val="18"/>
          <w:szCs w:val="18"/>
        </w:rPr>
        <w:t xml:space="preserve">le fatture/parcelle; </w:t>
      </w:r>
    </w:p>
    <w:p w14:paraId="298976C3" w14:textId="77777777" w:rsidR="00F634AF" w:rsidRDefault="00A2613C" w:rsidP="00CC7B4A">
      <w:pPr>
        <w:pStyle w:val="Paragrafoelenco"/>
        <w:numPr>
          <w:ilvl w:val="0"/>
          <w:numId w:val="2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9D2DCD">
        <w:rPr>
          <w:rFonts w:asciiTheme="majorHAnsi" w:hAnsiTheme="majorHAnsi" w:cstheme="majorHAnsi"/>
          <w:sz w:val="18"/>
          <w:szCs w:val="18"/>
        </w:rPr>
        <w:t xml:space="preserve">le coordinate di pagamento delle fatture/parcelle; </w:t>
      </w:r>
    </w:p>
    <w:p w14:paraId="585E34F4" w14:textId="77777777" w:rsidR="00F634AF" w:rsidRDefault="00A2613C" w:rsidP="00CC7B4A">
      <w:pPr>
        <w:pStyle w:val="Paragrafoelenco"/>
        <w:numPr>
          <w:ilvl w:val="0"/>
          <w:numId w:val="2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9D2DCD">
        <w:rPr>
          <w:rFonts w:asciiTheme="majorHAnsi" w:hAnsiTheme="majorHAnsi" w:cstheme="majorHAnsi"/>
          <w:sz w:val="18"/>
          <w:szCs w:val="18"/>
        </w:rPr>
        <w:t xml:space="preserve">ove richiesto a campione dall’ODV, esibire la documentazione di cui sopra; </w:t>
      </w:r>
    </w:p>
    <w:p w14:paraId="7CAB32B3" w14:textId="199DDE19" w:rsidR="009D2DCD" w:rsidRPr="009D2DCD" w:rsidRDefault="00A2613C" w:rsidP="00CC7B4A">
      <w:pPr>
        <w:pStyle w:val="Paragrafoelenco"/>
        <w:numPr>
          <w:ilvl w:val="0"/>
          <w:numId w:val="2"/>
        </w:numPr>
        <w:jc w:val="both"/>
        <w:rPr>
          <w:rFonts w:asciiTheme="majorHAnsi" w:hAnsiTheme="majorHAnsi" w:cstheme="majorHAnsi"/>
          <w:sz w:val="18"/>
          <w:szCs w:val="18"/>
        </w:rPr>
      </w:pPr>
      <w:r w:rsidRPr="009D2DCD">
        <w:rPr>
          <w:rFonts w:asciiTheme="majorHAnsi" w:hAnsiTheme="majorHAnsi" w:cstheme="majorHAnsi"/>
          <w:sz w:val="18"/>
          <w:szCs w:val="18"/>
        </w:rPr>
        <w:t xml:space="preserve">L’ODV ha facoltà di acquisire elementi in ordine al rapporto sottostante alla fatturazione; </w:t>
      </w:r>
    </w:p>
    <w:p w14:paraId="7422A9F9" w14:textId="0A0F3954" w:rsidR="009D2DCD" w:rsidRPr="009D2DCD" w:rsidRDefault="00A2613C" w:rsidP="009D2DCD">
      <w:pPr>
        <w:pStyle w:val="Titolo3"/>
        <w:ind w:left="1843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bookmarkStart w:id="13" w:name="_Toc74297073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>normativa antiriciclaggio</w:t>
      </w:r>
      <w:bookmarkEnd w:id="13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</w:p>
    <w:p w14:paraId="6FDBDCB2" w14:textId="77777777" w:rsidR="003923C3" w:rsidRDefault="00A2613C" w:rsidP="00A9490C">
      <w:pPr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La gestione del sistema finanziario deve avvenire secondo la normativa vigente, prendendo altresì in considerazione i principi dettati dal </w:t>
      </w:r>
      <w:proofErr w:type="spellStart"/>
      <w:r w:rsidRPr="004C3C04">
        <w:rPr>
          <w:rFonts w:asciiTheme="majorHAnsi" w:hAnsiTheme="majorHAnsi" w:cstheme="majorHAnsi"/>
          <w:sz w:val="18"/>
          <w:szCs w:val="18"/>
        </w:rPr>
        <w:t>d.lgs</w:t>
      </w:r>
      <w:proofErr w:type="spellEnd"/>
      <w:r w:rsidRPr="004C3C04">
        <w:rPr>
          <w:rFonts w:asciiTheme="majorHAnsi" w:hAnsiTheme="majorHAnsi" w:cstheme="majorHAnsi"/>
          <w:sz w:val="18"/>
          <w:szCs w:val="18"/>
        </w:rPr>
        <w:t xml:space="preserve"> 231/2007, attuativo della direttiva 2005/60 CE, concernente la prevenzione nell’utilizzo del sistema medesimo a scopo di riciclaggio dei proventi di attività criminose e di finanziamento del terrorismo, che offre possibili linee guida per la prevenzione dei suddetti reati. </w:t>
      </w:r>
    </w:p>
    <w:p w14:paraId="0FC72CB7" w14:textId="71F8C649" w:rsidR="00F634AF" w:rsidRDefault="00A2613C" w:rsidP="00A9490C">
      <w:pPr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Ai fini della prevenzione dei reati di cui al d.lgs. 231/01, </w:t>
      </w:r>
      <w:r w:rsidRPr="003923C3">
        <w:rPr>
          <w:rFonts w:asciiTheme="majorHAnsi" w:hAnsiTheme="majorHAnsi" w:cstheme="majorHAnsi"/>
          <w:b/>
          <w:bCs/>
          <w:sz w:val="18"/>
          <w:szCs w:val="18"/>
        </w:rPr>
        <w:t>occorre segnatamente</w:t>
      </w:r>
      <w:r w:rsidRPr="004C3C04">
        <w:rPr>
          <w:rFonts w:asciiTheme="majorHAnsi" w:hAnsiTheme="majorHAnsi" w:cstheme="majorHAnsi"/>
          <w:sz w:val="18"/>
          <w:szCs w:val="18"/>
        </w:rPr>
        <w:t xml:space="preserve">: </w:t>
      </w:r>
    </w:p>
    <w:p w14:paraId="437D9F8F" w14:textId="77777777" w:rsidR="00F634AF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vietare il trasferimento di denaro contante per somme superiori ad euro </w:t>
      </w:r>
      <w:r w:rsidRPr="00F634AF">
        <w:rPr>
          <w:rFonts w:asciiTheme="majorHAnsi" w:hAnsiTheme="majorHAnsi" w:cstheme="majorHAnsi"/>
          <w:sz w:val="18"/>
          <w:szCs w:val="18"/>
          <w:highlight w:val="red"/>
        </w:rPr>
        <w:t>2999,99</w:t>
      </w:r>
      <w:r w:rsidRPr="004C3C04">
        <w:rPr>
          <w:rFonts w:asciiTheme="majorHAnsi" w:hAnsiTheme="majorHAnsi" w:cstheme="majorHAnsi"/>
          <w:sz w:val="18"/>
          <w:szCs w:val="18"/>
        </w:rPr>
        <w:t xml:space="preserve"> (conformemente a quanto sopra </w:t>
      </w:r>
      <w:r w:rsidR="00F634AF">
        <w:rPr>
          <w:rFonts w:asciiTheme="majorHAnsi" w:hAnsiTheme="majorHAnsi" w:cstheme="majorHAnsi"/>
          <w:sz w:val="18"/>
          <w:szCs w:val="18"/>
        </w:rPr>
        <w:t>3.2.2</w:t>
      </w:r>
      <w:r w:rsidRPr="004C3C04">
        <w:rPr>
          <w:rFonts w:asciiTheme="majorHAnsi" w:hAnsiTheme="majorHAnsi" w:cstheme="majorHAnsi"/>
          <w:sz w:val="18"/>
          <w:szCs w:val="18"/>
        </w:rPr>
        <w:t xml:space="preserve">), di libretti di deposito bancari e postali al portatore o di titoli al portatore in euro o in valuta estera, effettuato a qualsiasi titolo tra soggetti diversi da banche, istituti di moneta elettronica e Poste Italiane S.p.A.; </w:t>
      </w:r>
    </w:p>
    <w:p w14:paraId="692B04B1" w14:textId="77777777" w:rsidR="00F634AF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923C3">
        <w:rPr>
          <w:rFonts w:asciiTheme="majorHAnsi" w:hAnsiTheme="majorHAnsi" w:cstheme="majorHAnsi"/>
          <w:sz w:val="18"/>
          <w:szCs w:val="18"/>
        </w:rPr>
        <w:t>- emettere gli assegni bancari e postali con l’indicazione del nome o della ragione sociale del beneficiario e la clausola di non trasferibilità;</w:t>
      </w:r>
      <w:r w:rsidRPr="004C3C04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25200F4C" w14:textId="77777777" w:rsidR="00F634AF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girare gli assegni bancari e postali emessi all’ordine del traente unicamente per l’incasso a una banca o a Poste Italiane S.p.A.; </w:t>
      </w:r>
    </w:p>
    <w:p w14:paraId="0D9DC470" w14:textId="77777777" w:rsidR="00F634AF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emettere gli assegni circolari, vaglia postali o cambiari con l’indicazione del nome o della ragione sociale del beneficiario e la clausola di non trasferibilità; </w:t>
      </w:r>
    </w:p>
    <w:p w14:paraId="3A8D9AE6" w14:textId="77777777" w:rsidR="00F634AF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vietare l’utilizzo, in qualunque forma, di conti o libretti di risparmio in forma anonima o con intestazione fittizia; </w:t>
      </w:r>
    </w:p>
    <w:p w14:paraId="50EA0A7C" w14:textId="7885A811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vietare l’apertura, in qualunque forma, di conti o libretti di risparmio in forma anonima o con intestazione fittizia aperti presso Stati esteri; </w:t>
      </w:r>
    </w:p>
    <w:p w14:paraId="3B2D6507" w14:textId="77777777" w:rsidR="0077182D" w:rsidRDefault="00A2613C" w:rsidP="0077182D">
      <w:pPr>
        <w:pStyle w:val="Titolo3"/>
        <w:ind w:left="1843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bookmarkStart w:id="14" w:name="_Toc74297074"/>
      <w:r w:rsidRPr="0077182D">
        <w:rPr>
          <w:rFonts w:asciiTheme="majorHAnsi" w:hAnsiTheme="majorHAnsi" w:cstheme="majorHAnsi"/>
          <w:b/>
          <w:bCs/>
          <w:color w:val="0000FF"/>
          <w:sz w:val="18"/>
          <w:szCs w:val="18"/>
        </w:rPr>
        <w:t>spendita di contributi,</w:t>
      </w:r>
      <w:r w:rsidR="0077182D" w:rsidRPr="0077182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  <w:r w:rsidRPr="0077182D">
        <w:rPr>
          <w:rFonts w:asciiTheme="majorHAnsi" w:hAnsiTheme="majorHAnsi" w:cstheme="majorHAnsi"/>
          <w:b/>
          <w:bCs/>
          <w:color w:val="0000FF"/>
          <w:sz w:val="18"/>
          <w:szCs w:val="18"/>
        </w:rPr>
        <w:t>finanziamenti, mutui agevolati o altre erogazioni dello stesso tipo, comunque denominate, concessi o erogati dallo Stato, da altri enti pubblici o dalle Comunità europee ovvero da Enti privati</w:t>
      </w:r>
      <w:bookmarkEnd w:id="14"/>
      <w:r w:rsidRPr="0077182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</w:p>
    <w:p w14:paraId="68DC6643" w14:textId="0032E2A4" w:rsidR="00F634AF" w:rsidRPr="0077182D" w:rsidRDefault="00A2613C" w:rsidP="0077182D">
      <w:pPr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L’ente deve: </w:t>
      </w:r>
    </w:p>
    <w:p w14:paraId="1BDF822E" w14:textId="77777777" w:rsidR="0077182D" w:rsidRDefault="00A2613C" w:rsidP="00F86CB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formare un fascicolo contenente la documentazione sottostante al flusso finanziario in entrata; con riferimento a tale documentazione si rimanda a quanto previsto nella procedura in materia di anticorruzione e gestione dei rapporti con le </w:t>
      </w:r>
      <w:proofErr w:type="spellStart"/>
      <w:r w:rsidRPr="004C3C04">
        <w:rPr>
          <w:rFonts w:asciiTheme="majorHAnsi" w:hAnsiTheme="majorHAnsi" w:cstheme="majorHAnsi"/>
          <w:sz w:val="18"/>
          <w:szCs w:val="18"/>
        </w:rPr>
        <w:t>PP.AA</w:t>
      </w:r>
      <w:proofErr w:type="spellEnd"/>
      <w:r w:rsidRPr="004C3C04">
        <w:rPr>
          <w:rFonts w:asciiTheme="majorHAnsi" w:hAnsiTheme="majorHAnsi" w:cstheme="majorHAnsi"/>
          <w:sz w:val="18"/>
          <w:szCs w:val="18"/>
        </w:rPr>
        <w:t>.</w:t>
      </w:r>
      <w:r w:rsidR="0077182D">
        <w:rPr>
          <w:rFonts w:asciiTheme="majorHAnsi" w:hAnsiTheme="majorHAnsi" w:cstheme="majorHAnsi"/>
          <w:sz w:val="18"/>
          <w:szCs w:val="18"/>
        </w:rPr>
        <w:t xml:space="preserve"> </w:t>
      </w:r>
      <w:r w:rsidR="0077182D">
        <w:rPr>
          <w:rFonts w:asciiTheme="majorHAnsi" w:hAnsiTheme="majorHAnsi" w:cstheme="majorHAnsi"/>
          <w:sz w:val="18"/>
          <w:szCs w:val="18"/>
        </w:rPr>
        <w:t>(o assimilata: RFI)</w:t>
      </w:r>
      <w:r w:rsidRPr="004C3C04">
        <w:rPr>
          <w:rFonts w:asciiTheme="majorHAnsi" w:hAnsiTheme="majorHAnsi" w:cstheme="majorHAnsi"/>
          <w:sz w:val="18"/>
          <w:szCs w:val="18"/>
        </w:rPr>
        <w:t xml:space="preserve">; </w:t>
      </w:r>
    </w:p>
    <w:p w14:paraId="007F4A67" w14:textId="41441E8D" w:rsidR="00F634AF" w:rsidRDefault="00A2613C" w:rsidP="00F86CB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eseguire il flusso finanziario in uscita in ottemperanza alle regole in materia di poteri di spesa e per il solo fine per cui è stato erogato; </w:t>
      </w:r>
    </w:p>
    <w:p w14:paraId="337428F9" w14:textId="77777777" w:rsidR="00F634AF" w:rsidRDefault="00A2613C" w:rsidP="00F86CB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inserire nel fascicolo il documento comprovante il flusso finanziario in uscita, sottoscritto dal soggetto dotato del corrispettivo potere di spesa e dall’operatore che ha materialmente dato corso al flusso finanziario; </w:t>
      </w:r>
    </w:p>
    <w:p w14:paraId="29AD7D07" w14:textId="2E55FA68" w:rsidR="009D2DCD" w:rsidRDefault="00A2613C" w:rsidP="00F86CB4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formare una nota informativa riassumente i dati di cui sopra, che deve essere senza indugio trasmessa all’ODV; </w:t>
      </w:r>
    </w:p>
    <w:p w14:paraId="0E25D2CC" w14:textId="4D6C83AD" w:rsidR="009D2DCD" w:rsidRPr="009D2DCD" w:rsidRDefault="00A2613C" w:rsidP="009D2DCD">
      <w:pPr>
        <w:pStyle w:val="Titolo3"/>
        <w:ind w:left="1843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bookmarkStart w:id="15" w:name="_Toc74297075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>tracciabilità dei flussi finanziari</w:t>
      </w:r>
      <w:bookmarkEnd w:id="15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</w:p>
    <w:p w14:paraId="6A6A9BD5" w14:textId="6D54ED33" w:rsidR="00F634AF" w:rsidRDefault="00A2613C" w:rsidP="00A9490C">
      <w:pPr>
        <w:jc w:val="both"/>
        <w:rPr>
          <w:rFonts w:asciiTheme="majorHAnsi" w:hAnsiTheme="majorHAnsi" w:cstheme="majorHAnsi"/>
          <w:i/>
          <w:iCs/>
          <w:sz w:val="16"/>
          <w:szCs w:val="16"/>
        </w:rPr>
      </w:pPr>
      <w:r w:rsidRPr="0077182D">
        <w:rPr>
          <w:rFonts w:asciiTheme="majorHAnsi" w:hAnsiTheme="majorHAnsi" w:cstheme="majorHAnsi"/>
          <w:i/>
          <w:iCs/>
          <w:sz w:val="16"/>
          <w:szCs w:val="16"/>
        </w:rPr>
        <w:t xml:space="preserve">(ex L. 13 agosto 2010 n° 136 e </w:t>
      </w:r>
      <w:proofErr w:type="spellStart"/>
      <w:r w:rsidRPr="0077182D">
        <w:rPr>
          <w:rFonts w:asciiTheme="majorHAnsi" w:hAnsiTheme="majorHAnsi" w:cstheme="majorHAnsi"/>
          <w:i/>
          <w:iCs/>
          <w:sz w:val="16"/>
          <w:szCs w:val="16"/>
        </w:rPr>
        <w:t>succ</w:t>
      </w:r>
      <w:proofErr w:type="spellEnd"/>
      <w:r w:rsidRPr="0077182D">
        <w:rPr>
          <w:rFonts w:asciiTheme="majorHAnsi" w:hAnsiTheme="majorHAnsi" w:cstheme="majorHAnsi"/>
          <w:i/>
          <w:iCs/>
          <w:sz w:val="16"/>
          <w:szCs w:val="16"/>
        </w:rPr>
        <w:t xml:space="preserve">. modifiche, D.L. 12 novembre 2010 n° 187 e </w:t>
      </w:r>
      <w:proofErr w:type="spellStart"/>
      <w:r w:rsidRPr="0077182D">
        <w:rPr>
          <w:rFonts w:asciiTheme="majorHAnsi" w:hAnsiTheme="majorHAnsi" w:cstheme="majorHAnsi"/>
          <w:i/>
          <w:iCs/>
          <w:sz w:val="16"/>
          <w:szCs w:val="16"/>
        </w:rPr>
        <w:t>succ</w:t>
      </w:r>
      <w:proofErr w:type="spellEnd"/>
      <w:r w:rsidRPr="0077182D">
        <w:rPr>
          <w:rFonts w:asciiTheme="majorHAnsi" w:hAnsiTheme="majorHAnsi" w:cstheme="majorHAnsi"/>
          <w:i/>
          <w:iCs/>
          <w:sz w:val="16"/>
          <w:szCs w:val="16"/>
        </w:rPr>
        <w:t xml:space="preserve">. modifiche, Determinazione n° 8 del 18 novembre 2010 dell’Autorità sui Contratti Pubblici di lavori, servizi, forniture e </w:t>
      </w:r>
      <w:proofErr w:type="spellStart"/>
      <w:r w:rsidRPr="0077182D">
        <w:rPr>
          <w:rFonts w:asciiTheme="majorHAnsi" w:hAnsiTheme="majorHAnsi" w:cstheme="majorHAnsi"/>
          <w:i/>
          <w:iCs/>
          <w:sz w:val="16"/>
          <w:szCs w:val="16"/>
        </w:rPr>
        <w:t>succ</w:t>
      </w:r>
      <w:proofErr w:type="spellEnd"/>
      <w:r w:rsidRPr="0077182D">
        <w:rPr>
          <w:rFonts w:asciiTheme="majorHAnsi" w:hAnsiTheme="majorHAnsi" w:cstheme="majorHAnsi"/>
          <w:i/>
          <w:iCs/>
          <w:sz w:val="16"/>
          <w:szCs w:val="16"/>
        </w:rPr>
        <w:t xml:space="preserve">. determinazioni). </w:t>
      </w:r>
    </w:p>
    <w:p w14:paraId="6E1C9F88" w14:textId="77777777" w:rsidR="0077182D" w:rsidRPr="0077182D" w:rsidRDefault="0077182D" w:rsidP="00A9490C">
      <w:pPr>
        <w:jc w:val="both"/>
        <w:rPr>
          <w:rFonts w:asciiTheme="majorHAnsi" w:hAnsiTheme="majorHAnsi" w:cstheme="majorHAnsi"/>
          <w:i/>
          <w:iCs/>
          <w:sz w:val="16"/>
          <w:szCs w:val="16"/>
        </w:rPr>
      </w:pPr>
    </w:p>
    <w:p w14:paraId="09922946" w14:textId="77777777" w:rsidR="00F634AF" w:rsidRDefault="00A2613C" w:rsidP="00A9490C">
      <w:pPr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In occasione di qualunque lavoro, servizio o fornitura pubblica che l’ente effettui in qualità di appaltatore, subappaltatore e contraente in esecuzione di contratto pubblico (avente cioè come contraente le Pubbliche Amministrazioni ovvero gli Organismi di Diritto Pubblico), l’ente deve: </w:t>
      </w:r>
    </w:p>
    <w:p w14:paraId="65E3010A" w14:textId="77777777" w:rsidR="00F634AF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effettuare tutti i movimenti finanziari relativi al contratto pubblico su conti correnti dedicati; </w:t>
      </w:r>
    </w:p>
    <w:p w14:paraId="1F24E1D7" w14:textId="77777777" w:rsidR="0077182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effettuare tutti i movimenti finanziari relativi al contratto pubblico con bonifico o altro strumento idoneo a garantire la piena tracciabilità delle operazioni (bonifico bancario, bonifico postale, RI.BA., assegno bancario – tratto dal conto dedicato e non trasferibile, assegno postale – tratto dal conto dedicato e non trasferibile); </w:t>
      </w:r>
    </w:p>
    <w:p w14:paraId="68A07950" w14:textId="3214D18D" w:rsidR="00F634AF" w:rsidRDefault="0077182D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- </w:t>
      </w:r>
      <w:r w:rsidR="00A2613C" w:rsidRPr="0077182D">
        <w:rPr>
          <w:rFonts w:asciiTheme="majorHAnsi" w:hAnsiTheme="majorHAnsi" w:cstheme="majorHAnsi"/>
          <w:b/>
          <w:bCs/>
          <w:sz w:val="18"/>
          <w:szCs w:val="18"/>
        </w:rPr>
        <w:t xml:space="preserve">non sono strumenti idonei, e sono pertanto vietati, i movimenti per contanti e i </w:t>
      </w:r>
      <w:proofErr w:type="spellStart"/>
      <w:r w:rsidR="00A2613C" w:rsidRPr="0077182D">
        <w:rPr>
          <w:rFonts w:asciiTheme="majorHAnsi" w:hAnsiTheme="majorHAnsi" w:cstheme="majorHAnsi"/>
          <w:b/>
          <w:bCs/>
          <w:sz w:val="18"/>
          <w:szCs w:val="18"/>
        </w:rPr>
        <w:t>R.I.D</w:t>
      </w:r>
      <w:proofErr w:type="spellEnd"/>
      <w:r w:rsidR="00A2613C" w:rsidRPr="0077182D">
        <w:rPr>
          <w:rFonts w:asciiTheme="majorHAnsi" w:hAnsiTheme="majorHAnsi" w:cstheme="majorHAnsi"/>
          <w:b/>
          <w:bCs/>
          <w:sz w:val="18"/>
          <w:szCs w:val="18"/>
        </w:rPr>
        <w:t>.;</w:t>
      </w:r>
      <w:r w:rsidR="00A2613C" w:rsidRPr="004C3C04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21E6D8A2" w14:textId="77777777" w:rsidR="0077182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lastRenderedPageBreak/>
        <w:t xml:space="preserve">- effettuare tutti i pagamenti indicando nelle transazioni commerciali e nei pagamenti legati alla filiera il CIG (codice identificativo gara, attribuito dall’Autorità di Vigilanza sui Contratti Pubblici di lavori, servizi e forniture su richiesta della stazione appaltante, indicato sul bando di gara o nella lettera di invito a presentare l’offerta) e/o il CUP (codice unico progetto, obbligatorio con riguardo a ogni nuovo progetto di investimento pubblico); </w:t>
      </w:r>
    </w:p>
    <w:p w14:paraId="2A0DDEA9" w14:textId="77777777" w:rsidR="0077182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CIG e CUP non devono necessariamente essere indicati per: </w:t>
      </w:r>
    </w:p>
    <w:p w14:paraId="2A791B4C" w14:textId="77777777" w:rsidR="0077182D" w:rsidRDefault="00A2613C" w:rsidP="00CC7B4A">
      <w:pPr>
        <w:pStyle w:val="Paragrafoelenco"/>
        <w:numPr>
          <w:ilvl w:val="0"/>
          <w:numId w:val="4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pagamenti stipendi e salari </w:t>
      </w:r>
    </w:p>
    <w:p w14:paraId="6F05D73A" w14:textId="77777777" w:rsidR="0077182D" w:rsidRDefault="00A2613C" w:rsidP="00CC7B4A">
      <w:pPr>
        <w:pStyle w:val="Paragrafoelenco"/>
        <w:numPr>
          <w:ilvl w:val="0"/>
          <w:numId w:val="4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pagamenti spese generali di cancelleria, pubblicità, utenze, affitti etc. </w:t>
      </w:r>
    </w:p>
    <w:p w14:paraId="0EA68113" w14:textId="77777777" w:rsidR="0077182D" w:rsidRDefault="00A2613C" w:rsidP="00CC7B4A">
      <w:pPr>
        <w:pStyle w:val="Paragrafoelenco"/>
        <w:numPr>
          <w:ilvl w:val="0"/>
          <w:numId w:val="4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provvista di immobilizzazioni tecniche generiche </w:t>
      </w:r>
    </w:p>
    <w:p w14:paraId="6AE36705" w14:textId="77777777" w:rsidR="0077182D" w:rsidRDefault="00A2613C" w:rsidP="00CC7B4A">
      <w:pPr>
        <w:pStyle w:val="Paragrafoelenco"/>
        <w:numPr>
          <w:ilvl w:val="0"/>
          <w:numId w:val="4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consulenze legali, amministrative, tributarie </w:t>
      </w:r>
    </w:p>
    <w:p w14:paraId="218AD77F" w14:textId="77777777" w:rsidR="0077182D" w:rsidRDefault="00A2613C" w:rsidP="00CC7B4A">
      <w:pPr>
        <w:pStyle w:val="Paragrafoelenco"/>
        <w:numPr>
          <w:ilvl w:val="0"/>
          <w:numId w:val="4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imposte e tasse </w:t>
      </w:r>
    </w:p>
    <w:p w14:paraId="0DDC3A16" w14:textId="30F4270C" w:rsidR="00F634AF" w:rsidRPr="0077182D" w:rsidRDefault="00A2613C" w:rsidP="00CC7B4A">
      <w:pPr>
        <w:pStyle w:val="Paragrafoelenco"/>
        <w:numPr>
          <w:ilvl w:val="0"/>
          <w:numId w:val="4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contributi previdenziali ed assistenziali, assicurazioni e fidejussioni, gestori e fornitori di pubblici servizi; </w:t>
      </w:r>
    </w:p>
    <w:p w14:paraId="10ABE170" w14:textId="77777777" w:rsidR="00F634AF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non reintegrare i conti correnti dedicati versando denaro contante; </w:t>
      </w:r>
    </w:p>
    <w:p w14:paraId="6B6D33BB" w14:textId="77777777" w:rsidR="0077182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comunicare alla stazione appaltante o all’impresa subappaltante: </w:t>
      </w:r>
    </w:p>
    <w:p w14:paraId="7B31D06F" w14:textId="77777777" w:rsidR="0077182D" w:rsidRDefault="00A2613C" w:rsidP="00CC7B4A">
      <w:pPr>
        <w:pStyle w:val="Paragrafoelenco"/>
        <w:numPr>
          <w:ilvl w:val="0"/>
          <w:numId w:val="5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gli estremi del conto dedicato </w:t>
      </w:r>
    </w:p>
    <w:p w14:paraId="09E84A73" w14:textId="77777777" w:rsidR="0077182D" w:rsidRDefault="00A2613C" w:rsidP="00CC7B4A">
      <w:pPr>
        <w:pStyle w:val="Paragrafoelenco"/>
        <w:numPr>
          <w:ilvl w:val="0"/>
          <w:numId w:val="5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le generalità delle persone delegate ad operare sugli stessi (soggetti muniti dei poteri di rappresentanza e di firma) </w:t>
      </w:r>
    </w:p>
    <w:p w14:paraId="65517B4E" w14:textId="77777777" w:rsidR="0077182D" w:rsidRDefault="00A2613C" w:rsidP="00CC7B4A">
      <w:pPr>
        <w:pStyle w:val="Paragrafoelenco"/>
        <w:numPr>
          <w:ilvl w:val="0"/>
          <w:numId w:val="5"/>
        </w:numPr>
        <w:spacing w:before="120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>ogni modifica relativa ai dati comunicati;</w:t>
      </w:r>
    </w:p>
    <w:p w14:paraId="325879E0" w14:textId="01F45008" w:rsidR="00F634AF" w:rsidRPr="0077182D" w:rsidRDefault="00A2613C" w:rsidP="0077182D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77182D">
        <w:rPr>
          <w:rFonts w:asciiTheme="majorHAnsi" w:hAnsiTheme="majorHAnsi" w:cstheme="majorHAnsi"/>
          <w:sz w:val="18"/>
          <w:szCs w:val="18"/>
        </w:rPr>
        <w:t xml:space="preserve"> - inserire nei contratti relativi alla commessa apposita clausola con la quale i contraenti assumono gli obblighi di tracciabilità finanziaria menzionati; </w:t>
      </w:r>
    </w:p>
    <w:p w14:paraId="7EAB6F22" w14:textId="77777777" w:rsidR="00F634AF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inserire nei contratti relativi alla commessa apposita clausola risolutiva espressa in caso di transazione non avvenuta per tramite di banche o Poste Italiane </w:t>
      </w:r>
      <w:proofErr w:type="spellStart"/>
      <w:r w:rsidRPr="004C3C04">
        <w:rPr>
          <w:rFonts w:asciiTheme="majorHAnsi" w:hAnsiTheme="majorHAnsi" w:cstheme="majorHAnsi"/>
          <w:sz w:val="18"/>
          <w:szCs w:val="18"/>
        </w:rPr>
        <w:t>s.p.a.</w:t>
      </w:r>
      <w:proofErr w:type="spellEnd"/>
      <w:r w:rsidRPr="004C3C04">
        <w:rPr>
          <w:rFonts w:asciiTheme="majorHAnsi" w:hAnsiTheme="majorHAnsi" w:cstheme="majorHAnsi"/>
          <w:sz w:val="18"/>
          <w:szCs w:val="18"/>
        </w:rPr>
        <w:t xml:space="preserve">; </w:t>
      </w:r>
    </w:p>
    <w:p w14:paraId="7448558F" w14:textId="77777777" w:rsidR="00F634AF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inviare alla stazione appaltante copia di tutti i contratti sottoscritti con i subappaltatori e/o subcontraenti; </w:t>
      </w:r>
    </w:p>
    <w:p w14:paraId="431C9D7D" w14:textId="11D35AA0" w:rsidR="009D2DCD" w:rsidRDefault="00A2613C" w:rsidP="00A9490C">
      <w:pPr>
        <w:spacing w:before="120"/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procedere alla risoluzione del rapporto contrattuale con i privati che siano inadempienti agli obblighi di tracciabilità finanziaria. </w:t>
      </w:r>
    </w:p>
    <w:p w14:paraId="1C63B406" w14:textId="39C28FE8" w:rsidR="009D2DCD" w:rsidRPr="009D2DCD" w:rsidRDefault="00A2613C" w:rsidP="009D2DCD">
      <w:pPr>
        <w:pStyle w:val="Titolo3"/>
        <w:ind w:left="1843"/>
        <w:rPr>
          <w:rFonts w:asciiTheme="majorHAnsi" w:hAnsiTheme="majorHAnsi" w:cstheme="majorHAnsi"/>
          <w:b/>
          <w:bCs/>
          <w:color w:val="0000FF"/>
          <w:sz w:val="18"/>
          <w:szCs w:val="18"/>
        </w:rPr>
      </w:pPr>
      <w:bookmarkStart w:id="16" w:name="_Toc74297076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>liquidazione dei tributi</w:t>
      </w:r>
      <w:bookmarkEnd w:id="16"/>
      <w:r w:rsidRPr="009D2DCD">
        <w:rPr>
          <w:rFonts w:asciiTheme="majorHAnsi" w:hAnsiTheme="majorHAnsi" w:cstheme="majorHAnsi"/>
          <w:b/>
          <w:bCs/>
          <w:color w:val="0000FF"/>
          <w:sz w:val="18"/>
          <w:szCs w:val="18"/>
        </w:rPr>
        <w:t xml:space="preserve"> </w:t>
      </w:r>
    </w:p>
    <w:p w14:paraId="5F499051" w14:textId="77777777" w:rsidR="00F634AF" w:rsidRDefault="00A2613C" w:rsidP="004C3C04">
      <w:pPr>
        <w:ind w:left="360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L’Ente deve: </w:t>
      </w:r>
    </w:p>
    <w:p w14:paraId="0C62D247" w14:textId="77777777" w:rsidR="00F634AF" w:rsidRDefault="00F634AF" w:rsidP="00A9490C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</w:p>
    <w:p w14:paraId="1E0CB4F0" w14:textId="77777777" w:rsidR="00F634AF" w:rsidRDefault="00A2613C" w:rsidP="00A9490C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individuare il soggetto tenuto a compilare le dichiarazioni funzionali alla liquidazione dei tributi, delle imposte e di ogni adempimento fiscale; </w:t>
      </w:r>
    </w:p>
    <w:p w14:paraId="4C99E6D7" w14:textId="77777777" w:rsidR="00F634AF" w:rsidRDefault="00A2613C" w:rsidP="00A9490C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individuare il soggetto tenuto a controllare e trasmettere le dichiarazioni all’Agenzia delle 5 </w:t>
      </w:r>
    </w:p>
    <w:p w14:paraId="19B977AD" w14:textId="5B0409CA" w:rsidR="00F634AF" w:rsidRDefault="00A2613C" w:rsidP="00A9490C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individuare il soggetto tenuto a curare i rapporti e contatti eventuali con i soggetti appartenenti alla </w:t>
      </w:r>
      <w:proofErr w:type="spellStart"/>
      <w:r w:rsidRPr="004C3C04">
        <w:rPr>
          <w:rFonts w:asciiTheme="majorHAnsi" w:hAnsiTheme="majorHAnsi" w:cstheme="majorHAnsi"/>
          <w:sz w:val="18"/>
          <w:szCs w:val="18"/>
        </w:rPr>
        <w:t>PA</w:t>
      </w:r>
      <w:proofErr w:type="spellEnd"/>
      <w:r w:rsidR="004D2195">
        <w:rPr>
          <w:rFonts w:asciiTheme="majorHAnsi" w:hAnsiTheme="majorHAnsi" w:cstheme="majorHAnsi"/>
          <w:sz w:val="18"/>
          <w:szCs w:val="18"/>
        </w:rPr>
        <w:t xml:space="preserve"> </w:t>
      </w:r>
      <w:r w:rsidR="004D2195">
        <w:rPr>
          <w:rFonts w:asciiTheme="majorHAnsi" w:hAnsiTheme="majorHAnsi" w:cstheme="majorHAnsi"/>
          <w:sz w:val="18"/>
          <w:szCs w:val="18"/>
        </w:rPr>
        <w:t>(o assimilata: RFI)</w:t>
      </w:r>
      <w:r w:rsidRPr="004C3C04">
        <w:rPr>
          <w:rFonts w:asciiTheme="majorHAnsi" w:hAnsiTheme="majorHAnsi" w:cstheme="majorHAnsi"/>
          <w:sz w:val="18"/>
          <w:szCs w:val="18"/>
        </w:rPr>
        <w:t xml:space="preserve">; </w:t>
      </w:r>
    </w:p>
    <w:p w14:paraId="301E0978" w14:textId="77777777" w:rsidR="00F634AF" w:rsidRDefault="00A2613C" w:rsidP="00A9490C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fornire informazioni chiare e veritiere in merito alla liquidazione e al versamento dei tributi; </w:t>
      </w:r>
    </w:p>
    <w:p w14:paraId="11A45019" w14:textId="77777777" w:rsidR="00F634AF" w:rsidRDefault="00A2613C" w:rsidP="00A9490C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 xml:space="preserve">- conservare tutta la documentazione prodotta in modo tale che sia tracciabile ogni fase del processo; </w:t>
      </w:r>
    </w:p>
    <w:p w14:paraId="6B7A9911" w14:textId="67A18B79" w:rsidR="00BA01FA" w:rsidRPr="004C3C04" w:rsidRDefault="00A2613C" w:rsidP="00A9490C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4C3C04">
        <w:rPr>
          <w:rFonts w:asciiTheme="majorHAnsi" w:hAnsiTheme="majorHAnsi" w:cstheme="majorHAnsi"/>
          <w:sz w:val="18"/>
          <w:szCs w:val="18"/>
        </w:rPr>
        <w:t>- dotarsi di un sistema di controllo che consenta la concreta individuazione della provenienza del denaro, beni e altre utilità che compongono ciascun flusso finanziario aziendale.</w:t>
      </w:r>
    </w:p>
    <w:p w14:paraId="4BE2D66F" w14:textId="77777777" w:rsidR="00BA01FA" w:rsidRPr="00BA01FA" w:rsidRDefault="00A2613C" w:rsidP="00BA01FA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17" w:name="_Toc74297077"/>
      <w:r w:rsidRPr="00BA01FA">
        <w:rPr>
          <w:rFonts w:asciiTheme="majorHAnsi" w:hAnsiTheme="majorHAnsi" w:cstheme="majorHAnsi"/>
          <w:color w:val="0000FF"/>
          <w:sz w:val="18"/>
          <w:szCs w:val="18"/>
        </w:rPr>
        <w:t>Attività dell’ODV</w:t>
      </w:r>
      <w:bookmarkEnd w:id="17"/>
      <w:r w:rsidRPr="00BA01FA">
        <w:rPr>
          <w:rFonts w:asciiTheme="majorHAnsi" w:hAnsiTheme="majorHAnsi" w:cstheme="majorHAnsi"/>
          <w:color w:val="0000FF"/>
          <w:sz w:val="18"/>
          <w:szCs w:val="18"/>
        </w:rPr>
        <w:t xml:space="preserve"> </w:t>
      </w:r>
    </w:p>
    <w:p w14:paraId="3DA07BFA" w14:textId="77777777" w:rsidR="004D2195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Premessi i generali poteri di iniziativa e controllo, l’ODV ha facoltà di prendere visione di tutti i documenti concernenti i flussi finanziari, al fine di verificare la corrispondenza, la trasparenza e la univocità degli stessi (compresi anticipi, sospesi, rimborsi, liberalità etc.). </w:t>
      </w:r>
    </w:p>
    <w:p w14:paraId="169B6DE4" w14:textId="77777777" w:rsidR="004D2195" w:rsidRDefault="004D2195" w:rsidP="00A2613C">
      <w:pPr>
        <w:jc w:val="both"/>
        <w:rPr>
          <w:rFonts w:asciiTheme="majorHAnsi" w:hAnsiTheme="majorHAnsi" w:cstheme="majorHAnsi"/>
          <w:sz w:val="18"/>
          <w:szCs w:val="18"/>
        </w:rPr>
      </w:pPr>
    </w:p>
    <w:p w14:paraId="418F28C7" w14:textId="77777777" w:rsidR="004D2195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L’ente deve essere sempre e comunque in grado di ricostruire la causale e l’iter seguito da ogni flusso finanziario in entrata ed in uscita. </w:t>
      </w:r>
    </w:p>
    <w:p w14:paraId="4FACFDAC" w14:textId="77777777" w:rsidR="004D2195" w:rsidRDefault="004D2195" w:rsidP="00A2613C">
      <w:pPr>
        <w:jc w:val="both"/>
        <w:rPr>
          <w:rFonts w:asciiTheme="majorHAnsi" w:hAnsiTheme="majorHAnsi" w:cstheme="majorHAnsi"/>
          <w:sz w:val="18"/>
          <w:szCs w:val="18"/>
        </w:rPr>
      </w:pPr>
    </w:p>
    <w:p w14:paraId="3C68E7BB" w14:textId="77777777" w:rsidR="004D2195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A livello esemplificativo – e non esaustivo – l’ODV ha facoltà di: </w:t>
      </w:r>
    </w:p>
    <w:p w14:paraId="1B1512E1" w14:textId="77777777" w:rsidR="004D2195" w:rsidRDefault="00A2613C" w:rsidP="004D2195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visionare i documenti sottostanti i flussi da e verso le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PP.AA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. </w:t>
      </w:r>
    </w:p>
    <w:p w14:paraId="1F108C00" w14:textId="77777777" w:rsidR="004D2195" w:rsidRDefault="00A2613C" w:rsidP="004D2195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visionare i documenti sottostanti i flussi finanziari verso i consulenti </w:t>
      </w:r>
    </w:p>
    <w:p w14:paraId="615A44F9" w14:textId="77777777" w:rsidR="004D2195" w:rsidRDefault="00A2613C" w:rsidP="004D2195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acquisire elementi in ordine ai rapporti sottostanti la fatturazione </w:t>
      </w:r>
    </w:p>
    <w:p w14:paraId="4083C58E" w14:textId="77777777" w:rsidR="004D2195" w:rsidRDefault="00A2613C" w:rsidP="004D2195">
      <w:pPr>
        <w:ind w:left="284"/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visionare i contratti originanti le obbligazioni di pagamento adempiute </w:t>
      </w:r>
    </w:p>
    <w:p w14:paraId="7D17679F" w14:textId="5F14EAE2" w:rsidR="00BA01FA" w:rsidRDefault="00A2613C" w:rsidP="004D2195">
      <w:pPr>
        <w:ind w:left="284"/>
        <w:jc w:val="both"/>
        <w:rPr>
          <w:rFonts w:asciiTheme="majorHAnsi" w:hAnsiTheme="majorHAnsi" w:cstheme="majorHAnsi"/>
          <w:b/>
          <w:color w:val="0000FF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- verificare comunque quanto previsto dalla presente procedura. </w:t>
      </w:r>
    </w:p>
    <w:p w14:paraId="450D69F6" w14:textId="77777777" w:rsidR="00BA01FA" w:rsidRDefault="00BA01FA" w:rsidP="00A2613C">
      <w:pPr>
        <w:jc w:val="both"/>
        <w:rPr>
          <w:rFonts w:asciiTheme="majorHAnsi" w:hAnsiTheme="majorHAnsi" w:cstheme="majorHAnsi"/>
          <w:b/>
          <w:color w:val="0000FF"/>
          <w:sz w:val="18"/>
          <w:szCs w:val="18"/>
        </w:rPr>
      </w:pPr>
    </w:p>
    <w:p w14:paraId="75F1A912" w14:textId="55617CAD" w:rsidR="00BA01FA" w:rsidRPr="00BA01FA" w:rsidRDefault="00BA01FA" w:rsidP="00BA01FA">
      <w:pPr>
        <w:pStyle w:val="Titolo1"/>
        <w:rPr>
          <w:rFonts w:asciiTheme="majorHAnsi" w:hAnsiTheme="majorHAnsi" w:cstheme="majorHAnsi"/>
          <w:color w:val="0000FF"/>
          <w:sz w:val="18"/>
          <w:szCs w:val="18"/>
        </w:rPr>
      </w:pPr>
      <w:bookmarkStart w:id="18" w:name="_Toc74297078"/>
      <w:r>
        <w:rPr>
          <w:rFonts w:asciiTheme="majorHAnsi" w:hAnsiTheme="majorHAnsi" w:cstheme="majorHAnsi"/>
          <w:color w:val="0000FF"/>
          <w:sz w:val="18"/>
          <w:szCs w:val="18"/>
        </w:rPr>
        <w:lastRenderedPageBreak/>
        <w:t>Disposizioni finali</w:t>
      </w:r>
      <w:bookmarkEnd w:id="18"/>
    </w:p>
    <w:p w14:paraId="71F99526" w14:textId="77777777" w:rsidR="004D2195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Tutte le funzioni aziendali coinvolte hanno la responsabilità di osservare e far osservare il contenuto della presente procedura. </w:t>
      </w:r>
    </w:p>
    <w:p w14:paraId="1DB179B9" w14:textId="77777777" w:rsidR="004D2195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Ciascun Destinatario è tenuto a comunicare tempestivamente all’ODV, oltre a quanto espressamente previsto dalla procedura di Gestione dei Rapporti con l’ODV, ogni anomalia rilevabile in relazione a quanto previsto dalla presente procedura. </w:t>
      </w:r>
    </w:p>
    <w:p w14:paraId="19CFC29D" w14:textId="77777777" w:rsidR="004D2195" w:rsidRDefault="004D2195" w:rsidP="00A2613C">
      <w:pPr>
        <w:jc w:val="both"/>
        <w:rPr>
          <w:rFonts w:asciiTheme="majorHAnsi" w:hAnsiTheme="majorHAnsi" w:cstheme="majorHAnsi"/>
          <w:sz w:val="18"/>
          <w:szCs w:val="18"/>
        </w:rPr>
      </w:pPr>
    </w:p>
    <w:p w14:paraId="4DC69306" w14:textId="3C97777D" w:rsidR="00EA5D05" w:rsidRPr="003D4D96" w:rsidRDefault="00A2613C" w:rsidP="00A2613C">
      <w:pPr>
        <w:jc w:val="both"/>
        <w:rPr>
          <w:rFonts w:asciiTheme="majorHAnsi" w:hAnsiTheme="majorHAnsi" w:cstheme="majorHAnsi"/>
          <w:sz w:val="18"/>
          <w:szCs w:val="18"/>
        </w:rPr>
      </w:pPr>
      <w:r w:rsidRPr="003D4D96">
        <w:rPr>
          <w:rFonts w:asciiTheme="majorHAnsi" w:hAnsiTheme="majorHAnsi" w:cstheme="majorHAnsi"/>
          <w:sz w:val="18"/>
          <w:szCs w:val="18"/>
        </w:rPr>
        <w:t xml:space="preserve">La violazione della presente procedura e dei suoi obblighi di comunicazione costituisce violazione del </w:t>
      </w:r>
      <w:proofErr w:type="spellStart"/>
      <w:r w:rsidRPr="003D4D96">
        <w:rPr>
          <w:rFonts w:asciiTheme="majorHAnsi" w:hAnsiTheme="majorHAnsi" w:cstheme="majorHAnsi"/>
          <w:sz w:val="18"/>
          <w:szCs w:val="18"/>
        </w:rPr>
        <w:t>MOG</w:t>
      </w:r>
      <w:proofErr w:type="spellEnd"/>
      <w:r w:rsidRPr="003D4D96">
        <w:rPr>
          <w:rFonts w:asciiTheme="majorHAnsi" w:hAnsiTheme="majorHAnsi" w:cstheme="majorHAnsi"/>
          <w:sz w:val="18"/>
          <w:szCs w:val="18"/>
        </w:rPr>
        <w:t xml:space="preserve"> e illecito disciplinare passibile di sanzione ai sensi di legge e del contratto collettivo nazionale di lavoro applicabile.</w:t>
      </w:r>
    </w:p>
    <w:sectPr w:rsidR="00EA5D05" w:rsidRPr="003D4D96" w:rsidSect="0043478F">
      <w:headerReference w:type="default" r:id="rId10"/>
      <w:pgSz w:w="11906" w:h="16838" w:code="9"/>
      <w:pgMar w:top="1202" w:right="1134" w:bottom="1134" w:left="1134" w:header="72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818D4" w14:textId="77777777" w:rsidR="00CC7B4A" w:rsidRDefault="00CC7B4A">
      <w:r>
        <w:separator/>
      </w:r>
    </w:p>
  </w:endnote>
  <w:endnote w:type="continuationSeparator" w:id="0">
    <w:p w14:paraId="0E0F8A45" w14:textId="77777777" w:rsidR="00CC7B4A" w:rsidRDefault="00CC7B4A">
      <w:r>
        <w:continuationSeparator/>
      </w:r>
    </w:p>
  </w:endnote>
  <w:endnote w:type="continuationNotice" w:id="1">
    <w:p w14:paraId="58FD2C0D" w14:textId="77777777" w:rsidR="00CC7B4A" w:rsidRDefault="00CC7B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614B9" w14:textId="77777777" w:rsidR="00CC7B4A" w:rsidRDefault="00CC7B4A">
      <w:r>
        <w:separator/>
      </w:r>
    </w:p>
  </w:footnote>
  <w:footnote w:type="continuationSeparator" w:id="0">
    <w:p w14:paraId="22E1E47D" w14:textId="77777777" w:rsidR="00CC7B4A" w:rsidRDefault="00CC7B4A">
      <w:r>
        <w:continuationSeparator/>
      </w:r>
    </w:p>
  </w:footnote>
  <w:footnote w:type="continuationNotice" w:id="1">
    <w:p w14:paraId="65169634" w14:textId="77777777" w:rsidR="00CC7B4A" w:rsidRDefault="00CC7B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00"/>
      <w:gridCol w:w="4871"/>
      <w:gridCol w:w="1557"/>
    </w:tblGrid>
    <w:tr w:rsidR="005A7E75" w14:paraId="2E01BC39" w14:textId="77777777" w:rsidTr="009E2F96">
      <w:tc>
        <w:tcPr>
          <w:tcW w:w="2518" w:type="dxa"/>
          <w:vMerge w:val="restart"/>
          <w:shd w:val="clear" w:color="auto" w:fill="auto"/>
          <w:vAlign w:val="center"/>
        </w:tcPr>
        <w:p w14:paraId="65A877DB" w14:textId="0E274CD5" w:rsidR="005A7E75" w:rsidRDefault="005A7E75">
          <w:pPr>
            <w:pStyle w:val="Intestazione"/>
          </w:pPr>
          <w:r>
            <w:rPr>
              <w:noProof/>
            </w:rPr>
            <w:drawing>
              <wp:inline distT="0" distB="0" distL="0" distR="0" wp14:anchorId="7A6A7B5C" wp14:editId="65086569">
                <wp:extent cx="1894840" cy="504825"/>
                <wp:effectExtent l="0" t="0" r="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484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shd w:val="clear" w:color="auto" w:fill="auto"/>
          <w:vAlign w:val="center"/>
        </w:tcPr>
        <w:p w14:paraId="0B0AFF94" w14:textId="3793C988" w:rsidR="004A48F2" w:rsidRPr="009F1378" w:rsidRDefault="00BB3048" w:rsidP="004867FC">
          <w:pPr>
            <w:pStyle w:val="Intestazione"/>
            <w:jc w:val="center"/>
            <w:rPr>
              <w:b/>
              <w:bCs/>
              <w:color w:val="0000FF"/>
              <w:sz w:val="18"/>
              <w:szCs w:val="18"/>
            </w:rPr>
          </w:pPr>
          <w:r>
            <w:rPr>
              <w:b/>
              <w:bCs/>
              <w:color w:val="0000FF"/>
              <w:sz w:val="18"/>
              <w:szCs w:val="18"/>
            </w:rPr>
            <w:t>PROCEDURA</w:t>
          </w:r>
          <w:r w:rsidR="004A48F2">
            <w:rPr>
              <w:b/>
              <w:bCs/>
              <w:color w:val="0000FF"/>
              <w:sz w:val="18"/>
              <w:szCs w:val="18"/>
            </w:rPr>
            <w:t xml:space="preserve"> </w:t>
          </w:r>
          <w:r w:rsidR="003D4D96">
            <w:rPr>
              <w:b/>
              <w:bCs/>
              <w:color w:val="0000FF"/>
              <w:sz w:val="18"/>
              <w:szCs w:val="18"/>
            </w:rPr>
            <w:t>FLUSSI FINANZIARI</w:t>
          </w:r>
        </w:p>
      </w:tc>
      <w:tc>
        <w:tcPr>
          <w:tcW w:w="1666" w:type="dxa"/>
          <w:shd w:val="clear" w:color="auto" w:fill="auto"/>
        </w:tcPr>
        <w:p w14:paraId="3FFB7D46" w14:textId="109895B4" w:rsidR="005A7E75" w:rsidRPr="00587E76" w:rsidRDefault="005A7E75">
          <w:pPr>
            <w:pStyle w:val="Intestazione"/>
            <w:rPr>
              <w:rFonts w:ascii="Calibri Light" w:hAnsi="Calibri Light" w:cs="Calibri Light"/>
              <w:color w:val="0000FF"/>
              <w:sz w:val="18"/>
              <w:szCs w:val="18"/>
            </w:rPr>
          </w:pPr>
          <w:r w:rsidRPr="00587E76">
            <w:rPr>
              <w:rFonts w:ascii="Calibri Light" w:hAnsi="Calibri Light" w:cs="Calibri Light"/>
              <w:color w:val="0000FF"/>
              <w:sz w:val="18"/>
              <w:szCs w:val="18"/>
            </w:rPr>
            <w:t>Rev. 0</w:t>
          </w:r>
        </w:p>
      </w:tc>
    </w:tr>
    <w:tr w:rsidR="005A7E75" w14:paraId="21509C1B" w14:textId="77777777" w:rsidTr="009E2F96">
      <w:tc>
        <w:tcPr>
          <w:tcW w:w="2518" w:type="dxa"/>
          <w:vMerge/>
          <w:shd w:val="clear" w:color="auto" w:fill="auto"/>
        </w:tcPr>
        <w:p w14:paraId="139EAFBA" w14:textId="77777777" w:rsidR="005A7E75" w:rsidRDefault="005A7E75">
          <w:pPr>
            <w:pStyle w:val="Intestazione"/>
          </w:pPr>
        </w:p>
      </w:tc>
      <w:tc>
        <w:tcPr>
          <w:tcW w:w="5670" w:type="dxa"/>
          <w:vMerge/>
          <w:shd w:val="clear" w:color="auto" w:fill="auto"/>
        </w:tcPr>
        <w:p w14:paraId="49C81DF4" w14:textId="77777777" w:rsidR="005A7E75" w:rsidRDefault="005A7E75">
          <w:pPr>
            <w:pStyle w:val="Intestazione"/>
          </w:pPr>
        </w:p>
      </w:tc>
      <w:tc>
        <w:tcPr>
          <w:tcW w:w="1666" w:type="dxa"/>
          <w:shd w:val="clear" w:color="auto" w:fill="auto"/>
        </w:tcPr>
        <w:p w14:paraId="1D31FA00" w14:textId="0C3C6E11" w:rsidR="005A7E75" w:rsidRPr="00587E76" w:rsidRDefault="005A7E75">
          <w:pPr>
            <w:pStyle w:val="Intestazione"/>
            <w:rPr>
              <w:rFonts w:ascii="Calibri Light" w:hAnsi="Calibri Light" w:cs="Calibri Light"/>
              <w:color w:val="0000FF"/>
              <w:sz w:val="18"/>
              <w:szCs w:val="18"/>
            </w:rPr>
          </w:pPr>
          <w:r w:rsidRPr="00587E76">
            <w:rPr>
              <w:rFonts w:ascii="Calibri Light" w:hAnsi="Calibri Light" w:cs="Calibri Light"/>
              <w:color w:val="0000FF"/>
              <w:sz w:val="18"/>
              <w:szCs w:val="18"/>
            </w:rPr>
            <w:t xml:space="preserve">Del </w:t>
          </w:r>
          <w:r w:rsidR="004A48F2">
            <w:rPr>
              <w:rFonts w:ascii="Calibri Light" w:hAnsi="Calibri Light" w:cs="Calibri Light"/>
              <w:color w:val="0000FF"/>
              <w:sz w:val="18"/>
              <w:szCs w:val="18"/>
            </w:rPr>
            <w:t>30/05/2021</w:t>
          </w:r>
        </w:p>
      </w:tc>
    </w:tr>
    <w:tr w:rsidR="005A7E75" w14:paraId="66C36EE2" w14:textId="77777777" w:rsidTr="009E2F96">
      <w:tc>
        <w:tcPr>
          <w:tcW w:w="2518" w:type="dxa"/>
          <w:vMerge/>
          <w:shd w:val="clear" w:color="auto" w:fill="auto"/>
        </w:tcPr>
        <w:p w14:paraId="2C8183F0" w14:textId="77777777" w:rsidR="005A7E75" w:rsidRDefault="005A7E75">
          <w:pPr>
            <w:pStyle w:val="Intestazione"/>
          </w:pPr>
        </w:p>
      </w:tc>
      <w:tc>
        <w:tcPr>
          <w:tcW w:w="5670" w:type="dxa"/>
          <w:vMerge/>
          <w:shd w:val="clear" w:color="auto" w:fill="auto"/>
        </w:tcPr>
        <w:p w14:paraId="7FAF56A4" w14:textId="77777777" w:rsidR="005A7E75" w:rsidRDefault="005A7E75">
          <w:pPr>
            <w:pStyle w:val="Intestazione"/>
          </w:pPr>
        </w:p>
      </w:tc>
      <w:tc>
        <w:tcPr>
          <w:tcW w:w="1666" w:type="dxa"/>
          <w:shd w:val="clear" w:color="auto" w:fill="auto"/>
        </w:tcPr>
        <w:p w14:paraId="049BC439" w14:textId="670E707A" w:rsidR="005A7E75" w:rsidRPr="00587E76" w:rsidRDefault="005A7E75">
          <w:pPr>
            <w:pStyle w:val="Intestazione"/>
            <w:rPr>
              <w:rFonts w:ascii="Calibri Light" w:hAnsi="Calibri Light" w:cs="Calibri Light"/>
              <w:color w:val="0000FF"/>
              <w:sz w:val="18"/>
              <w:szCs w:val="18"/>
            </w:rPr>
          </w:pPr>
          <w:r w:rsidRPr="00587E76">
            <w:rPr>
              <w:rFonts w:ascii="Calibri Light" w:hAnsi="Calibri Light" w:cs="Calibri Light"/>
              <w:color w:val="0000FF"/>
              <w:sz w:val="18"/>
              <w:szCs w:val="18"/>
            </w:rPr>
            <w:t xml:space="preserve">Pag. </w: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begin"/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instrText>PAGE  \* Arabic  \* MERGEFORMAT</w:instrTex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separate"/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t>1</w: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end"/>
          </w:r>
          <w:r w:rsidRPr="00587E76">
            <w:rPr>
              <w:rFonts w:ascii="Calibri Light" w:hAnsi="Calibri Light" w:cs="Calibri Light"/>
              <w:color w:val="0000FF"/>
              <w:sz w:val="18"/>
              <w:szCs w:val="18"/>
            </w:rPr>
            <w:t xml:space="preserve"> a </w: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begin"/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instrText>NUMPAGES  \* Arabic  \* MERGEFORMAT</w:instrTex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separate"/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t>2</w:t>
          </w:r>
          <w:r w:rsidRPr="00587E76">
            <w:rPr>
              <w:rFonts w:ascii="Calibri Light" w:hAnsi="Calibri Light" w:cs="Calibri Light"/>
              <w:b/>
              <w:bCs/>
              <w:color w:val="0000FF"/>
              <w:sz w:val="18"/>
              <w:szCs w:val="18"/>
            </w:rPr>
            <w:fldChar w:fldCharType="end"/>
          </w:r>
        </w:p>
      </w:tc>
    </w:tr>
  </w:tbl>
  <w:p w14:paraId="35244EC5" w14:textId="77777777" w:rsidR="005A7E75" w:rsidRDefault="005A7E7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6625C"/>
    <w:multiLevelType w:val="hybridMultilevel"/>
    <w:tmpl w:val="554CABD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3839E4"/>
    <w:multiLevelType w:val="hybridMultilevel"/>
    <w:tmpl w:val="62CA7F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5117B"/>
    <w:multiLevelType w:val="hybridMultilevel"/>
    <w:tmpl w:val="8370E55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C16946"/>
    <w:multiLevelType w:val="multilevel"/>
    <w:tmpl w:val="822A143C"/>
    <w:lvl w:ilvl="0">
      <w:numFmt w:val="decimal"/>
      <w:pStyle w:val="Titolo1"/>
      <w:lvlText w:val="%1."/>
      <w:lvlJc w:val="left"/>
      <w:pPr>
        <w:tabs>
          <w:tab w:val="num" w:pos="1779"/>
        </w:tabs>
        <w:ind w:left="1779" w:hanging="360"/>
      </w:pPr>
      <w:rPr>
        <w:rFonts w:hint="default"/>
        <w:sz w:val="20"/>
        <w:szCs w:val="20"/>
      </w:rPr>
    </w:lvl>
    <w:lvl w:ilvl="1">
      <w:start w:val="1"/>
      <w:numFmt w:val="decimal"/>
      <w:pStyle w:val="Titolo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Titolo3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  <w:color w:val="0000FF"/>
      </w:rPr>
    </w:lvl>
    <w:lvl w:ilvl="3">
      <w:start w:val="1"/>
      <w:numFmt w:val="decimal"/>
      <w:pStyle w:val="Tito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pStyle w:val="Titolo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pStyle w:val="Titolo6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pStyle w:val="Titolo7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pStyle w:val="Titolo8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pStyle w:val="Titolo9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71220515"/>
    <w:multiLevelType w:val="hybridMultilevel"/>
    <w:tmpl w:val="41E2D5C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mpoApplicazione" w:val=" "/>
    <w:docVar w:name="CampoIRDoc" w:val="Rev. 0"/>
    <w:docVar w:name="CampoRagioneSociale" w:val="SO.GE.NU.S. S.p.A."/>
    <w:docVar w:name="CampoScopo" w:val=" "/>
    <w:docVar w:name="CampoSiglaClasse" w:val="MGQ-"/>
    <w:docVar w:name="CampoSiglaDoc" w:val="MGQ-01"/>
    <w:docVar w:name="CampoSinteticoMod" w:val="Prima emissione"/>
    <w:docVar w:name="CampoTitoloClasse" w:val="Manuali"/>
    <w:docVar w:name="CampoTitoloDoc" w:val="Manuale del Sistema di Gestione per la Qualità"/>
    <w:docVar w:name="DescrizioneDoc" w:val="MGQ-01 - Manuale del Sistema di Gestione per la Qualità - Rev. 0"/>
    <w:docVar w:name="id" w:val=" 105"/>
    <w:docVar w:name="idRev" w:val=" 110"/>
    <w:docVar w:name="Tipo" w:val="D"/>
  </w:docVars>
  <w:rsids>
    <w:rsidRoot w:val="00C50F8F"/>
    <w:rsid w:val="00003F20"/>
    <w:rsid w:val="00004098"/>
    <w:rsid w:val="000157F7"/>
    <w:rsid w:val="00020117"/>
    <w:rsid w:val="000208C8"/>
    <w:rsid w:val="00021F3F"/>
    <w:rsid w:val="0003668B"/>
    <w:rsid w:val="000366AB"/>
    <w:rsid w:val="00041A9A"/>
    <w:rsid w:val="00056EB3"/>
    <w:rsid w:val="00060287"/>
    <w:rsid w:val="000616CD"/>
    <w:rsid w:val="00063132"/>
    <w:rsid w:val="00064134"/>
    <w:rsid w:val="00064EB9"/>
    <w:rsid w:val="0006501A"/>
    <w:rsid w:val="0008362F"/>
    <w:rsid w:val="000902F4"/>
    <w:rsid w:val="00091007"/>
    <w:rsid w:val="000936C3"/>
    <w:rsid w:val="00095226"/>
    <w:rsid w:val="00097404"/>
    <w:rsid w:val="0009790D"/>
    <w:rsid w:val="000A7E52"/>
    <w:rsid w:val="000B0363"/>
    <w:rsid w:val="000B19D8"/>
    <w:rsid w:val="000B1FFC"/>
    <w:rsid w:val="000B27EC"/>
    <w:rsid w:val="000C0508"/>
    <w:rsid w:val="000C7A47"/>
    <w:rsid w:val="000E3757"/>
    <w:rsid w:val="000F1951"/>
    <w:rsid w:val="000F564E"/>
    <w:rsid w:val="000F5AC8"/>
    <w:rsid w:val="000F69CD"/>
    <w:rsid w:val="000F7E2D"/>
    <w:rsid w:val="00105CB9"/>
    <w:rsid w:val="00116005"/>
    <w:rsid w:val="001160B5"/>
    <w:rsid w:val="0011720F"/>
    <w:rsid w:val="001257CB"/>
    <w:rsid w:val="00137976"/>
    <w:rsid w:val="001417EC"/>
    <w:rsid w:val="001464BC"/>
    <w:rsid w:val="00156D28"/>
    <w:rsid w:val="001572B2"/>
    <w:rsid w:val="00157652"/>
    <w:rsid w:val="0015768E"/>
    <w:rsid w:val="00173375"/>
    <w:rsid w:val="00173F81"/>
    <w:rsid w:val="0017417B"/>
    <w:rsid w:val="0017518E"/>
    <w:rsid w:val="001754A0"/>
    <w:rsid w:val="001845C4"/>
    <w:rsid w:val="00196B30"/>
    <w:rsid w:val="001B22F5"/>
    <w:rsid w:val="001B263E"/>
    <w:rsid w:val="001B281D"/>
    <w:rsid w:val="001C03F9"/>
    <w:rsid w:val="001C6A06"/>
    <w:rsid w:val="001D24A1"/>
    <w:rsid w:val="001E38E3"/>
    <w:rsid w:val="001F13E2"/>
    <w:rsid w:val="001F4A2D"/>
    <w:rsid w:val="0020450B"/>
    <w:rsid w:val="00214F07"/>
    <w:rsid w:val="00230AF5"/>
    <w:rsid w:val="00232D42"/>
    <w:rsid w:val="00237A5F"/>
    <w:rsid w:val="0025008C"/>
    <w:rsid w:val="00257ACC"/>
    <w:rsid w:val="002618E8"/>
    <w:rsid w:val="00261C6B"/>
    <w:rsid w:val="00263D75"/>
    <w:rsid w:val="00265741"/>
    <w:rsid w:val="00265B4A"/>
    <w:rsid w:val="00275A1F"/>
    <w:rsid w:val="00281BFC"/>
    <w:rsid w:val="00290921"/>
    <w:rsid w:val="00293691"/>
    <w:rsid w:val="0029765F"/>
    <w:rsid w:val="002A2801"/>
    <w:rsid w:val="002B01F2"/>
    <w:rsid w:val="002C1051"/>
    <w:rsid w:val="002C506F"/>
    <w:rsid w:val="002C5939"/>
    <w:rsid w:val="002C5DB7"/>
    <w:rsid w:val="002C7CA6"/>
    <w:rsid w:val="002D134E"/>
    <w:rsid w:val="002D43E2"/>
    <w:rsid w:val="002D43F2"/>
    <w:rsid w:val="002D5173"/>
    <w:rsid w:val="002D521A"/>
    <w:rsid w:val="002D64D3"/>
    <w:rsid w:val="002E3CE2"/>
    <w:rsid w:val="002E7780"/>
    <w:rsid w:val="002E7981"/>
    <w:rsid w:val="002F3F1F"/>
    <w:rsid w:val="002F4574"/>
    <w:rsid w:val="002F5322"/>
    <w:rsid w:val="0030384D"/>
    <w:rsid w:val="00307AB7"/>
    <w:rsid w:val="0032410A"/>
    <w:rsid w:val="00327039"/>
    <w:rsid w:val="00334EF9"/>
    <w:rsid w:val="00335C34"/>
    <w:rsid w:val="0033647A"/>
    <w:rsid w:val="003437DC"/>
    <w:rsid w:val="00347193"/>
    <w:rsid w:val="00352BB6"/>
    <w:rsid w:val="00353AEF"/>
    <w:rsid w:val="00355BD0"/>
    <w:rsid w:val="00364CEC"/>
    <w:rsid w:val="003662BF"/>
    <w:rsid w:val="00366D61"/>
    <w:rsid w:val="00371A53"/>
    <w:rsid w:val="00374149"/>
    <w:rsid w:val="00375971"/>
    <w:rsid w:val="00380007"/>
    <w:rsid w:val="003815C8"/>
    <w:rsid w:val="00386817"/>
    <w:rsid w:val="00386DAB"/>
    <w:rsid w:val="0038793E"/>
    <w:rsid w:val="00390F14"/>
    <w:rsid w:val="00391B38"/>
    <w:rsid w:val="003923C3"/>
    <w:rsid w:val="003932D9"/>
    <w:rsid w:val="003A0199"/>
    <w:rsid w:val="003A1906"/>
    <w:rsid w:val="003A3BCC"/>
    <w:rsid w:val="003A79D6"/>
    <w:rsid w:val="003B551F"/>
    <w:rsid w:val="003B5C71"/>
    <w:rsid w:val="003D148B"/>
    <w:rsid w:val="003D276B"/>
    <w:rsid w:val="003D48AC"/>
    <w:rsid w:val="003D4D96"/>
    <w:rsid w:val="003E5F5C"/>
    <w:rsid w:val="003F6D5E"/>
    <w:rsid w:val="0040487A"/>
    <w:rsid w:val="004079D6"/>
    <w:rsid w:val="004237C5"/>
    <w:rsid w:val="00426873"/>
    <w:rsid w:val="0043478F"/>
    <w:rsid w:val="00437B92"/>
    <w:rsid w:val="00441DA5"/>
    <w:rsid w:val="004457AD"/>
    <w:rsid w:val="004500BB"/>
    <w:rsid w:val="00451327"/>
    <w:rsid w:val="00453F96"/>
    <w:rsid w:val="004553B9"/>
    <w:rsid w:val="00455A88"/>
    <w:rsid w:val="00456E78"/>
    <w:rsid w:val="0046708B"/>
    <w:rsid w:val="004670D0"/>
    <w:rsid w:val="00482418"/>
    <w:rsid w:val="004867FC"/>
    <w:rsid w:val="00487E8B"/>
    <w:rsid w:val="00491747"/>
    <w:rsid w:val="0049513F"/>
    <w:rsid w:val="00497DFE"/>
    <w:rsid w:val="004A2A49"/>
    <w:rsid w:val="004A48F2"/>
    <w:rsid w:val="004A4E88"/>
    <w:rsid w:val="004B1D11"/>
    <w:rsid w:val="004B2323"/>
    <w:rsid w:val="004C3C04"/>
    <w:rsid w:val="004C3F14"/>
    <w:rsid w:val="004C5FD0"/>
    <w:rsid w:val="004D2195"/>
    <w:rsid w:val="004E0E42"/>
    <w:rsid w:val="004F6453"/>
    <w:rsid w:val="00501783"/>
    <w:rsid w:val="00510031"/>
    <w:rsid w:val="005322BD"/>
    <w:rsid w:val="005366D9"/>
    <w:rsid w:val="00542A17"/>
    <w:rsid w:val="00544BAB"/>
    <w:rsid w:val="00557188"/>
    <w:rsid w:val="005619BA"/>
    <w:rsid w:val="00562956"/>
    <w:rsid w:val="005656BD"/>
    <w:rsid w:val="00573AF6"/>
    <w:rsid w:val="005802B8"/>
    <w:rsid w:val="00580B1A"/>
    <w:rsid w:val="00581E1A"/>
    <w:rsid w:val="0058578F"/>
    <w:rsid w:val="00587E76"/>
    <w:rsid w:val="005919AF"/>
    <w:rsid w:val="00591E6A"/>
    <w:rsid w:val="00592EBD"/>
    <w:rsid w:val="00594262"/>
    <w:rsid w:val="005A4511"/>
    <w:rsid w:val="005A7E75"/>
    <w:rsid w:val="005B2DF8"/>
    <w:rsid w:val="005B575B"/>
    <w:rsid w:val="005B6973"/>
    <w:rsid w:val="005B6FFA"/>
    <w:rsid w:val="005B76FE"/>
    <w:rsid w:val="005C2495"/>
    <w:rsid w:val="005D195F"/>
    <w:rsid w:val="005D709E"/>
    <w:rsid w:val="005D7D96"/>
    <w:rsid w:val="005E67C2"/>
    <w:rsid w:val="006022DB"/>
    <w:rsid w:val="006116B6"/>
    <w:rsid w:val="00611E6F"/>
    <w:rsid w:val="0061293E"/>
    <w:rsid w:val="006146EC"/>
    <w:rsid w:val="00617BCD"/>
    <w:rsid w:val="00622B17"/>
    <w:rsid w:val="006262C7"/>
    <w:rsid w:val="0063115F"/>
    <w:rsid w:val="00633F04"/>
    <w:rsid w:val="00645BE4"/>
    <w:rsid w:val="0064751F"/>
    <w:rsid w:val="00655B99"/>
    <w:rsid w:val="006647DA"/>
    <w:rsid w:val="00671B50"/>
    <w:rsid w:val="00674826"/>
    <w:rsid w:val="00680192"/>
    <w:rsid w:val="00683DFD"/>
    <w:rsid w:val="00684D02"/>
    <w:rsid w:val="0069068D"/>
    <w:rsid w:val="006934EF"/>
    <w:rsid w:val="006A28C0"/>
    <w:rsid w:val="006A4740"/>
    <w:rsid w:val="006B2A4D"/>
    <w:rsid w:val="006B56E6"/>
    <w:rsid w:val="006B74B1"/>
    <w:rsid w:val="006C3568"/>
    <w:rsid w:val="006C3E11"/>
    <w:rsid w:val="006C6A66"/>
    <w:rsid w:val="006D1404"/>
    <w:rsid w:val="006E29EA"/>
    <w:rsid w:val="006E665A"/>
    <w:rsid w:val="006E6B26"/>
    <w:rsid w:val="006F60E4"/>
    <w:rsid w:val="006F64BD"/>
    <w:rsid w:val="006F7B05"/>
    <w:rsid w:val="007005AE"/>
    <w:rsid w:val="00703809"/>
    <w:rsid w:val="00704C48"/>
    <w:rsid w:val="007066CA"/>
    <w:rsid w:val="00710E94"/>
    <w:rsid w:val="00713A9C"/>
    <w:rsid w:val="00721620"/>
    <w:rsid w:val="0072401C"/>
    <w:rsid w:val="00726764"/>
    <w:rsid w:val="00731339"/>
    <w:rsid w:val="00731A76"/>
    <w:rsid w:val="00732AA2"/>
    <w:rsid w:val="00733CAC"/>
    <w:rsid w:val="00736572"/>
    <w:rsid w:val="00741248"/>
    <w:rsid w:val="0075197D"/>
    <w:rsid w:val="00752C93"/>
    <w:rsid w:val="0075415F"/>
    <w:rsid w:val="00762969"/>
    <w:rsid w:val="0077182D"/>
    <w:rsid w:val="00775125"/>
    <w:rsid w:val="00782540"/>
    <w:rsid w:val="00782B42"/>
    <w:rsid w:val="00783893"/>
    <w:rsid w:val="0078616F"/>
    <w:rsid w:val="007871BB"/>
    <w:rsid w:val="0078792E"/>
    <w:rsid w:val="007958DB"/>
    <w:rsid w:val="007B5284"/>
    <w:rsid w:val="007C11D0"/>
    <w:rsid w:val="007C186F"/>
    <w:rsid w:val="007C1E2F"/>
    <w:rsid w:val="007C2CC4"/>
    <w:rsid w:val="007C57BE"/>
    <w:rsid w:val="007D007A"/>
    <w:rsid w:val="007D172E"/>
    <w:rsid w:val="007E4D92"/>
    <w:rsid w:val="00801DFF"/>
    <w:rsid w:val="0080237B"/>
    <w:rsid w:val="00816071"/>
    <w:rsid w:val="008213DE"/>
    <w:rsid w:val="00825AF6"/>
    <w:rsid w:val="008269CC"/>
    <w:rsid w:val="008378D6"/>
    <w:rsid w:val="00841785"/>
    <w:rsid w:val="0084299D"/>
    <w:rsid w:val="00846AF7"/>
    <w:rsid w:val="00854E8B"/>
    <w:rsid w:val="00866753"/>
    <w:rsid w:val="008720DA"/>
    <w:rsid w:val="00874160"/>
    <w:rsid w:val="00880EA1"/>
    <w:rsid w:val="00890918"/>
    <w:rsid w:val="0089437D"/>
    <w:rsid w:val="00894665"/>
    <w:rsid w:val="008A684B"/>
    <w:rsid w:val="008B4FF4"/>
    <w:rsid w:val="008C0679"/>
    <w:rsid w:val="008C40D5"/>
    <w:rsid w:val="008D1028"/>
    <w:rsid w:val="008D43AE"/>
    <w:rsid w:val="008D716F"/>
    <w:rsid w:val="008E07B7"/>
    <w:rsid w:val="008E43A5"/>
    <w:rsid w:val="008E7191"/>
    <w:rsid w:val="008E7C4F"/>
    <w:rsid w:val="008F09EA"/>
    <w:rsid w:val="008F26B4"/>
    <w:rsid w:val="00901D01"/>
    <w:rsid w:val="00905A3C"/>
    <w:rsid w:val="009163CB"/>
    <w:rsid w:val="00921E5A"/>
    <w:rsid w:val="00926169"/>
    <w:rsid w:val="00930A71"/>
    <w:rsid w:val="00936A86"/>
    <w:rsid w:val="00942275"/>
    <w:rsid w:val="00945CBF"/>
    <w:rsid w:val="00946788"/>
    <w:rsid w:val="0095286A"/>
    <w:rsid w:val="00953A23"/>
    <w:rsid w:val="00964FA1"/>
    <w:rsid w:val="009704EA"/>
    <w:rsid w:val="00971905"/>
    <w:rsid w:val="009719EA"/>
    <w:rsid w:val="009773D0"/>
    <w:rsid w:val="00981648"/>
    <w:rsid w:val="009856FA"/>
    <w:rsid w:val="00991D40"/>
    <w:rsid w:val="009A0406"/>
    <w:rsid w:val="009A2C9B"/>
    <w:rsid w:val="009A5334"/>
    <w:rsid w:val="009B08C5"/>
    <w:rsid w:val="009B55DA"/>
    <w:rsid w:val="009B6388"/>
    <w:rsid w:val="009C5DFA"/>
    <w:rsid w:val="009D0A67"/>
    <w:rsid w:val="009D1310"/>
    <w:rsid w:val="009D16DA"/>
    <w:rsid w:val="009D2DCD"/>
    <w:rsid w:val="009D68C4"/>
    <w:rsid w:val="009D7AC0"/>
    <w:rsid w:val="009E2F96"/>
    <w:rsid w:val="009E771F"/>
    <w:rsid w:val="009F120A"/>
    <w:rsid w:val="009F1378"/>
    <w:rsid w:val="009F275A"/>
    <w:rsid w:val="00A0008F"/>
    <w:rsid w:val="00A02FA3"/>
    <w:rsid w:val="00A046A0"/>
    <w:rsid w:val="00A04C58"/>
    <w:rsid w:val="00A05379"/>
    <w:rsid w:val="00A11ED1"/>
    <w:rsid w:val="00A12061"/>
    <w:rsid w:val="00A1671F"/>
    <w:rsid w:val="00A20443"/>
    <w:rsid w:val="00A2374D"/>
    <w:rsid w:val="00A24517"/>
    <w:rsid w:val="00A25490"/>
    <w:rsid w:val="00A2613C"/>
    <w:rsid w:val="00A30CA3"/>
    <w:rsid w:val="00A31231"/>
    <w:rsid w:val="00A33790"/>
    <w:rsid w:val="00A40564"/>
    <w:rsid w:val="00A416C6"/>
    <w:rsid w:val="00A43226"/>
    <w:rsid w:val="00A45A7B"/>
    <w:rsid w:val="00A55A1B"/>
    <w:rsid w:val="00A66489"/>
    <w:rsid w:val="00A66BEB"/>
    <w:rsid w:val="00A74181"/>
    <w:rsid w:val="00A767A9"/>
    <w:rsid w:val="00A77B96"/>
    <w:rsid w:val="00A820D2"/>
    <w:rsid w:val="00A9490C"/>
    <w:rsid w:val="00AA3AFC"/>
    <w:rsid w:val="00AA4AD8"/>
    <w:rsid w:val="00AA6225"/>
    <w:rsid w:val="00AA6F16"/>
    <w:rsid w:val="00AB1556"/>
    <w:rsid w:val="00AC49E3"/>
    <w:rsid w:val="00AC78C7"/>
    <w:rsid w:val="00AD2557"/>
    <w:rsid w:val="00AD4562"/>
    <w:rsid w:val="00AD66EE"/>
    <w:rsid w:val="00AE75A2"/>
    <w:rsid w:val="00AF0557"/>
    <w:rsid w:val="00AF285F"/>
    <w:rsid w:val="00AF3BCA"/>
    <w:rsid w:val="00B055C6"/>
    <w:rsid w:val="00B07B58"/>
    <w:rsid w:val="00B1451C"/>
    <w:rsid w:val="00B15D34"/>
    <w:rsid w:val="00B22B1B"/>
    <w:rsid w:val="00B247EB"/>
    <w:rsid w:val="00B34D58"/>
    <w:rsid w:val="00B3663D"/>
    <w:rsid w:val="00B53090"/>
    <w:rsid w:val="00B5700D"/>
    <w:rsid w:val="00B61311"/>
    <w:rsid w:val="00B6595F"/>
    <w:rsid w:val="00B73135"/>
    <w:rsid w:val="00B8291C"/>
    <w:rsid w:val="00B842A5"/>
    <w:rsid w:val="00B93055"/>
    <w:rsid w:val="00B9470C"/>
    <w:rsid w:val="00BA01FA"/>
    <w:rsid w:val="00BA1456"/>
    <w:rsid w:val="00BB1DBC"/>
    <w:rsid w:val="00BB3048"/>
    <w:rsid w:val="00BB33B7"/>
    <w:rsid w:val="00BB3EB6"/>
    <w:rsid w:val="00BC018B"/>
    <w:rsid w:val="00BC045D"/>
    <w:rsid w:val="00BC411B"/>
    <w:rsid w:val="00BC6F5C"/>
    <w:rsid w:val="00BC6F7F"/>
    <w:rsid w:val="00BD426F"/>
    <w:rsid w:val="00BD5545"/>
    <w:rsid w:val="00BD6AB7"/>
    <w:rsid w:val="00BE3AB3"/>
    <w:rsid w:val="00BE41B7"/>
    <w:rsid w:val="00BF0A4C"/>
    <w:rsid w:val="00BF320F"/>
    <w:rsid w:val="00BF3274"/>
    <w:rsid w:val="00BF40C1"/>
    <w:rsid w:val="00BF72C5"/>
    <w:rsid w:val="00C04519"/>
    <w:rsid w:val="00C104F7"/>
    <w:rsid w:val="00C10CA1"/>
    <w:rsid w:val="00C10FA2"/>
    <w:rsid w:val="00C12A89"/>
    <w:rsid w:val="00C21AE2"/>
    <w:rsid w:val="00C30AD3"/>
    <w:rsid w:val="00C40B08"/>
    <w:rsid w:val="00C4422C"/>
    <w:rsid w:val="00C458AF"/>
    <w:rsid w:val="00C50F8F"/>
    <w:rsid w:val="00C531B5"/>
    <w:rsid w:val="00C63CB5"/>
    <w:rsid w:val="00C65458"/>
    <w:rsid w:val="00C658CC"/>
    <w:rsid w:val="00C671F9"/>
    <w:rsid w:val="00C736C2"/>
    <w:rsid w:val="00C755F3"/>
    <w:rsid w:val="00C758D6"/>
    <w:rsid w:val="00C7720B"/>
    <w:rsid w:val="00C77DE2"/>
    <w:rsid w:val="00C80859"/>
    <w:rsid w:val="00C902A9"/>
    <w:rsid w:val="00C93242"/>
    <w:rsid w:val="00C93900"/>
    <w:rsid w:val="00CA1343"/>
    <w:rsid w:val="00CA3912"/>
    <w:rsid w:val="00CC238D"/>
    <w:rsid w:val="00CC4906"/>
    <w:rsid w:val="00CC7B4A"/>
    <w:rsid w:val="00CC7FEE"/>
    <w:rsid w:val="00CD4D2C"/>
    <w:rsid w:val="00CE153F"/>
    <w:rsid w:val="00CE262F"/>
    <w:rsid w:val="00CF43EA"/>
    <w:rsid w:val="00CF65C4"/>
    <w:rsid w:val="00D0015C"/>
    <w:rsid w:val="00D02B57"/>
    <w:rsid w:val="00D05183"/>
    <w:rsid w:val="00D14B04"/>
    <w:rsid w:val="00D14B8F"/>
    <w:rsid w:val="00D16D4E"/>
    <w:rsid w:val="00D17BD9"/>
    <w:rsid w:val="00D22571"/>
    <w:rsid w:val="00D30694"/>
    <w:rsid w:val="00D352CE"/>
    <w:rsid w:val="00D37D0E"/>
    <w:rsid w:val="00D37FB4"/>
    <w:rsid w:val="00D41692"/>
    <w:rsid w:val="00D42B07"/>
    <w:rsid w:val="00D43BC0"/>
    <w:rsid w:val="00D46039"/>
    <w:rsid w:val="00D46F68"/>
    <w:rsid w:val="00D517A9"/>
    <w:rsid w:val="00D54ECF"/>
    <w:rsid w:val="00D56DFD"/>
    <w:rsid w:val="00D60363"/>
    <w:rsid w:val="00D628BA"/>
    <w:rsid w:val="00D62B41"/>
    <w:rsid w:val="00D637DB"/>
    <w:rsid w:val="00D645F5"/>
    <w:rsid w:val="00D720B5"/>
    <w:rsid w:val="00D730A0"/>
    <w:rsid w:val="00D73B21"/>
    <w:rsid w:val="00D74390"/>
    <w:rsid w:val="00D75BDB"/>
    <w:rsid w:val="00D768B5"/>
    <w:rsid w:val="00D77961"/>
    <w:rsid w:val="00D851DB"/>
    <w:rsid w:val="00D86057"/>
    <w:rsid w:val="00D86DF8"/>
    <w:rsid w:val="00DA3F0F"/>
    <w:rsid w:val="00DA6AE2"/>
    <w:rsid w:val="00DA7D5B"/>
    <w:rsid w:val="00DD0B53"/>
    <w:rsid w:val="00DD5D7B"/>
    <w:rsid w:val="00DF2282"/>
    <w:rsid w:val="00E018AA"/>
    <w:rsid w:val="00E13FB3"/>
    <w:rsid w:val="00E153AC"/>
    <w:rsid w:val="00E1661F"/>
    <w:rsid w:val="00E16AC6"/>
    <w:rsid w:val="00E175B8"/>
    <w:rsid w:val="00E216DB"/>
    <w:rsid w:val="00E23262"/>
    <w:rsid w:val="00E3164E"/>
    <w:rsid w:val="00E33BD8"/>
    <w:rsid w:val="00E340B5"/>
    <w:rsid w:val="00E36169"/>
    <w:rsid w:val="00E362F4"/>
    <w:rsid w:val="00E4048B"/>
    <w:rsid w:val="00E5101D"/>
    <w:rsid w:val="00E523BA"/>
    <w:rsid w:val="00E566E7"/>
    <w:rsid w:val="00E6604F"/>
    <w:rsid w:val="00E73BB4"/>
    <w:rsid w:val="00E74550"/>
    <w:rsid w:val="00E92C0F"/>
    <w:rsid w:val="00E936C9"/>
    <w:rsid w:val="00E955BE"/>
    <w:rsid w:val="00E975BF"/>
    <w:rsid w:val="00EA1406"/>
    <w:rsid w:val="00EA5D05"/>
    <w:rsid w:val="00EA7D12"/>
    <w:rsid w:val="00EB25DE"/>
    <w:rsid w:val="00EB4D46"/>
    <w:rsid w:val="00EB5E95"/>
    <w:rsid w:val="00EC03C0"/>
    <w:rsid w:val="00EC12C6"/>
    <w:rsid w:val="00EC2782"/>
    <w:rsid w:val="00EC4289"/>
    <w:rsid w:val="00EC44CC"/>
    <w:rsid w:val="00EC7790"/>
    <w:rsid w:val="00ED17A8"/>
    <w:rsid w:val="00ED6331"/>
    <w:rsid w:val="00EE545B"/>
    <w:rsid w:val="00EF55DC"/>
    <w:rsid w:val="00EF6F02"/>
    <w:rsid w:val="00F00971"/>
    <w:rsid w:val="00F0384A"/>
    <w:rsid w:val="00F06F99"/>
    <w:rsid w:val="00F104EE"/>
    <w:rsid w:val="00F1300E"/>
    <w:rsid w:val="00F14B03"/>
    <w:rsid w:val="00F233C3"/>
    <w:rsid w:val="00F24A64"/>
    <w:rsid w:val="00F2521E"/>
    <w:rsid w:val="00F260FB"/>
    <w:rsid w:val="00F3513B"/>
    <w:rsid w:val="00F35F2C"/>
    <w:rsid w:val="00F53055"/>
    <w:rsid w:val="00F5633E"/>
    <w:rsid w:val="00F622EB"/>
    <w:rsid w:val="00F623B7"/>
    <w:rsid w:val="00F6340D"/>
    <w:rsid w:val="00F634AF"/>
    <w:rsid w:val="00F6506D"/>
    <w:rsid w:val="00F710C2"/>
    <w:rsid w:val="00F77A20"/>
    <w:rsid w:val="00F82F68"/>
    <w:rsid w:val="00F8693E"/>
    <w:rsid w:val="00F86CB4"/>
    <w:rsid w:val="00F9596F"/>
    <w:rsid w:val="00FA13CA"/>
    <w:rsid w:val="00FA2615"/>
    <w:rsid w:val="00FB61F2"/>
    <w:rsid w:val="00FC014E"/>
    <w:rsid w:val="00FC2092"/>
    <w:rsid w:val="00FD0624"/>
    <w:rsid w:val="00FD11D1"/>
    <w:rsid w:val="00FD25D4"/>
    <w:rsid w:val="00FD4FDB"/>
    <w:rsid w:val="00FD4FFF"/>
    <w:rsid w:val="00FE0326"/>
    <w:rsid w:val="00FE23D8"/>
    <w:rsid w:val="00FE35AA"/>
    <w:rsid w:val="00FF0F66"/>
    <w:rsid w:val="00FF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C89F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240"/>
      <w:outlineLvl w:val="0"/>
    </w:pPr>
    <w:rPr>
      <w:b/>
      <w:sz w:val="40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before="240" w:after="240"/>
      <w:outlineLvl w:val="1"/>
    </w:pPr>
    <w:rPr>
      <w:b/>
      <w:sz w:val="24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240"/>
      <w:outlineLvl w:val="2"/>
    </w:pPr>
    <w:rPr>
      <w:rFonts w:ascii="Arial" w:hAnsi="Arial"/>
      <w:sz w:val="24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semiHidden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rpodeltesto">
    <w:name w:val="Corpo del testo"/>
    <w:basedOn w:val="Normale"/>
    <w:semiHidden/>
    <w:pPr>
      <w:jc w:val="both"/>
    </w:pPr>
    <w:rPr>
      <w:sz w:val="24"/>
    </w:rPr>
  </w:style>
  <w:style w:type="paragraph" w:styleId="Sommario1">
    <w:name w:val="toc 1"/>
    <w:basedOn w:val="Normale"/>
    <w:next w:val="Normale"/>
    <w:autoRedefine/>
    <w:uiPriority w:val="39"/>
  </w:style>
  <w:style w:type="paragraph" w:styleId="Sommario2">
    <w:name w:val="toc 2"/>
    <w:basedOn w:val="Normale"/>
    <w:next w:val="Normale"/>
    <w:autoRedefine/>
    <w:uiPriority w:val="39"/>
    <w:pPr>
      <w:ind w:left="200"/>
    </w:pPr>
  </w:style>
  <w:style w:type="paragraph" w:styleId="Sommario3">
    <w:name w:val="toc 3"/>
    <w:basedOn w:val="Normale"/>
    <w:next w:val="Normale"/>
    <w:autoRedefine/>
    <w:uiPriority w:val="39"/>
    <w:pPr>
      <w:ind w:left="400"/>
    </w:pPr>
  </w:style>
  <w:style w:type="character" w:styleId="Rimandocommento">
    <w:name w:val="annotation reference"/>
    <w:semiHidden/>
    <w:rPr>
      <w:sz w:val="16"/>
    </w:rPr>
  </w:style>
  <w:style w:type="paragraph" w:styleId="Rientrocorpodeltesto">
    <w:name w:val="Body Text Indent"/>
    <w:basedOn w:val="Normale"/>
    <w:semiHidden/>
    <w:pPr>
      <w:keepNext/>
      <w:keepLines/>
      <w:tabs>
        <w:tab w:val="left" w:pos="-1276"/>
        <w:tab w:val="left" w:pos="-1134"/>
        <w:tab w:val="left" w:pos="-709"/>
        <w:tab w:val="left" w:pos="840"/>
      </w:tabs>
      <w:ind w:firstLine="7"/>
      <w:jc w:val="both"/>
    </w:pPr>
    <w:rPr>
      <w:color w:val="0000FF"/>
      <w:sz w:val="24"/>
    </w:rPr>
  </w:style>
  <w:style w:type="character" w:styleId="Numeropagina">
    <w:name w:val="page number"/>
    <w:basedOn w:val="Carpredefinitoparagrafo"/>
    <w:semiHidden/>
  </w:style>
  <w:style w:type="paragraph" w:styleId="Testocommento">
    <w:name w:val="annotation text"/>
    <w:basedOn w:val="Normale"/>
    <w:semiHidden/>
  </w:style>
  <w:style w:type="paragraph" w:styleId="Testonotaapidipagina">
    <w:name w:val="footnote text"/>
    <w:basedOn w:val="Normale"/>
    <w:semiHidden/>
    <w:pPr>
      <w:jc w:val="both"/>
    </w:pPr>
    <w:rPr>
      <w:rFonts w:ascii="Arial" w:hAnsi="Arial"/>
    </w:rPr>
  </w:style>
  <w:style w:type="paragraph" w:styleId="Rientrocorpodeltesto3">
    <w:name w:val="Body Text Indent 3"/>
    <w:basedOn w:val="Normale"/>
    <w:semiHidden/>
    <w:pPr>
      <w:spacing w:line="360" w:lineRule="auto"/>
      <w:ind w:firstLine="432"/>
      <w:jc w:val="both"/>
    </w:pPr>
    <w:rPr>
      <w:sz w:val="24"/>
    </w:rPr>
  </w:style>
  <w:style w:type="paragraph" w:customStyle="1" w:styleId="Normale1">
    <w:name w:val="Normale 1"/>
    <w:aliases w:val="5"/>
    <w:basedOn w:val="Normale"/>
    <w:pPr>
      <w:spacing w:line="360" w:lineRule="auto"/>
      <w:jc w:val="both"/>
    </w:pPr>
    <w:rPr>
      <w:sz w:val="24"/>
    </w:rPr>
  </w:style>
  <w:style w:type="paragraph" w:styleId="Corpodeltesto2">
    <w:name w:val="Body Text 2"/>
    <w:basedOn w:val="Normale"/>
    <w:semiHidden/>
    <w:pPr>
      <w:spacing w:line="360" w:lineRule="auto"/>
    </w:pPr>
    <w:rPr>
      <w:rFonts w:ascii="Arial" w:hAnsi="Arial"/>
      <w:sz w:val="24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/>
    </w:rPr>
  </w:style>
  <w:style w:type="paragraph" w:styleId="Rientrocorpodeltesto2">
    <w:name w:val="Body Text Indent 2"/>
    <w:basedOn w:val="Normale"/>
    <w:semiHidden/>
    <w:pPr>
      <w:spacing w:line="360" w:lineRule="auto"/>
      <w:ind w:firstLine="426"/>
      <w:jc w:val="both"/>
    </w:pPr>
    <w:rPr>
      <w:rFonts w:ascii="Arial" w:hAnsi="Arial"/>
      <w:sz w:val="24"/>
    </w:rPr>
  </w:style>
  <w:style w:type="paragraph" w:customStyle="1" w:styleId="testoproger">
    <w:name w:val="testo proger"/>
    <w:basedOn w:val="Normale"/>
    <w:pPr>
      <w:spacing w:line="360" w:lineRule="auto"/>
      <w:ind w:firstLine="568"/>
      <w:jc w:val="both"/>
    </w:pPr>
    <w:rPr>
      <w:rFonts w:ascii="Arial" w:hAnsi="Arial"/>
      <w:sz w:val="24"/>
    </w:rPr>
  </w:style>
  <w:style w:type="paragraph" w:customStyle="1" w:styleId="Stile1">
    <w:name w:val="Stile1"/>
    <w:basedOn w:val="Normale"/>
    <w:pPr>
      <w:spacing w:line="360" w:lineRule="auto"/>
      <w:jc w:val="both"/>
    </w:pPr>
    <w:rPr>
      <w:sz w:val="24"/>
    </w:rPr>
  </w:style>
  <w:style w:type="paragraph" w:customStyle="1" w:styleId="testoprocedure">
    <w:name w:val="testo procedure"/>
    <w:basedOn w:val="Normale"/>
    <w:pPr>
      <w:spacing w:line="360" w:lineRule="atLeast"/>
      <w:ind w:right="-20" w:firstLine="380"/>
      <w:jc w:val="both"/>
    </w:pPr>
    <w:rPr>
      <w:rFonts w:ascii="Palatino" w:hAnsi="Palatino"/>
      <w:i/>
    </w:rPr>
  </w:style>
  <w:style w:type="paragraph" w:customStyle="1" w:styleId="rientratoprocedure">
    <w:name w:val="rientrato procedure"/>
    <w:basedOn w:val="testoprocedure"/>
    <w:pPr>
      <w:spacing w:line="280" w:lineRule="atLeast"/>
      <w:ind w:left="500" w:hanging="480"/>
    </w:pPr>
  </w:style>
  <w:style w:type="paragraph" w:styleId="Corpodeltesto3">
    <w:name w:val="Body Text 3"/>
    <w:basedOn w:val="Normale"/>
    <w:semiHidden/>
    <w:pPr>
      <w:jc w:val="both"/>
    </w:pPr>
    <w:rPr>
      <w:rFonts w:ascii="Arial" w:hAnsi="Arial"/>
      <w:color w:val="0000FF"/>
      <w:sz w:val="24"/>
    </w:rPr>
  </w:style>
  <w:style w:type="table" w:styleId="Grigliatabella">
    <w:name w:val="Table Grid"/>
    <w:basedOn w:val="Tabellanormale"/>
    <w:uiPriority w:val="59"/>
    <w:rsid w:val="00334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character" w:styleId="Collegamentoipertestuale">
    <w:name w:val="Hyperlink"/>
    <w:semiHidden/>
    <w:rPr>
      <w:color w:val="0000FF"/>
      <w:u w:val="single"/>
    </w:rPr>
  </w:style>
  <w:style w:type="character" w:styleId="Collegamentovisitato">
    <w:name w:val="FollowedHyperlink"/>
    <w:semiHidden/>
    <w:rPr>
      <w:color w:val="800080"/>
      <w:u w:val="single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customStyle="1" w:styleId="corpotesto">
    <w:name w:val="corpo testo"/>
    <w:basedOn w:val="Normale"/>
    <w:pPr>
      <w:tabs>
        <w:tab w:val="left" w:pos="1077"/>
      </w:tabs>
      <w:spacing w:line="360" w:lineRule="atLeast"/>
      <w:ind w:left="851" w:right="851"/>
    </w:pPr>
    <w:rPr>
      <w:sz w:val="24"/>
      <w:szCs w:val="24"/>
    </w:rPr>
  </w:style>
  <w:style w:type="character" w:customStyle="1" w:styleId="StileArial12pt">
    <w:name w:val="Stile Arial 12 pt"/>
    <w:rPr>
      <w:rFonts w:ascii="Arial" w:hAnsi="Arial"/>
      <w:sz w:val="24"/>
    </w:rPr>
  </w:style>
  <w:style w:type="character" w:customStyle="1" w:styleId="CorpodeltestoCarattere">
    <w:name w:val="Corpo del testo Carattere"/>
    <w:rPr>
      <w:sz w:val="24"/>
    </w:rPr>
  </w:style>
  <w:style w:type="character" w:customStyle="1" w:styleId="Titolo1Carattere">
    <w:name w:val="Titolo 1 Carattere"/>
    <w:rPr>
      <w:b/>
      <w:sz w:val="40"/>
    </w:rPr>
  </w:style>
  <w:style w:type="character" w:customStyle="1" w:styleId="Titolo2Carattere">
    <w:name w:val="Titolo 2 Carattere"/>
    <w:rPr>
      <w:b/>
      <w:sz w:val="24"/>
    </w:rPr>
  </w:style>
  <w:style w:type="character" w:customStyle="1" w:styleId="RientrocorpodeltestoCarattere">
    <w:name w:val="Rientro corpo del testo Carattere"/>
    <w:rPr>
      <w:color w:val="0000FF"/>
      <w:sz w:val="24"/>
    </w:rPr>
  </w:style>
  <w:style w:type="paragraph" w:customStyle="1" w:styleId="FR1">
    <w:name w:val="FR1"/>
    <w:rsid w:val="00573AF6"/>
    <w:pPr>
      <w:widowControl w:val="0"/>
      <w:autoSpaceDE w:val="0"/>
      <w:autoSpaceDN w:val="0"/>
      <w:adjustRightInd w:val="0"/>
    </w:pPr>
    <w:rPr>
      <w:b/>
      <w:bCs/>
      <w:sz w:val="44"/>
      <w:szCs w:val="44"/>
    </w:rPr>
  </w:style>
  <w:style w:type="paragraph" w:styleId="Titolo">
    <w:name w:val="Title"/>
    <w:basedOn w:val="Normale"/>
    <w:next w:val="Normale"/>
    <w:link w:val="TitoloCarattere"/>
    <w:qFormat/>
    <w:rsid w:val="00573AF6"/>
    <w:pPr>
      <w:widowControl w:val="0"/>
      <w:autoSpaceDE w:val="0"/>
      <w:autoSpaceDN w:val="0"/>
      <w:adjustRightInd w:val="0"/>
      <w:spacing w:before="240" w:after="60" w:line="360" w:lineRule="auto"/>
      <w:ind w:left="680"/>
      <w:jc w:val="center"/>
      <w:outlineLvl w:val="0"/>
    </w:pPr>
    <w:rPr>
      <w:rFonts w:ascii="Cambria" w:hAnsi="Cambria"/>
      <w:b/>
      <w:bCs/>
      <w:noProof/>
      <w:kern w:val="28"/>
      <w:sz w:val="32"/>
      <w:szCs w:val="32"/>
    </w:rPr>
  </w:style>
  <w:style w:type="character" w:customStyle="1" w:styleId="TitoloCarattere">
    <w:name w:val="Titolo Carattere"/>
    <w:link w:val="Titolo"/>
    <w:rsid w:val="00573AF6"/>
    <w:rPr>
      <w:rFonts w:ascii="Cambria" w:hAnsi="Cambria"/>
      <w:b/>
      <w:bCs/>
      <w:noProof/>
      <w:kern w:val="28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501783"/>
    <w:pPr>
      <w:ind w:left="708"/>
    </w:pPr>
  </w:style>
  <w:style w:type="character" w:customStyle="1" w:styleId="PidipaginaCarattere">
    <w:name w:val="Piè di pagina Carattere"/>
    <w:link w:val="Pidipagina"/>
    <w:rsid w:val="00A05379"/>
  </w:style>
  <w:style w:type="character" w:styleId="Menzionenonrisolta">
    <w:name w:val="Unresolved Mention"/>
    <w:basedOn w:val="Carpredefinitoparagrafo"/>
    <w:uiPriority w:val="99"/>
    <w:semiHidden/>
    <w:unhideWhenUsed/>
    <w:rsid w:val="00A66BEB"/>
    <w:rPr>
      <w:color w:val="605E5C"/>
      <w:shd w:val="clear" w:color="auto" w:fill="E1DFDD"/>
    </w:rPr>
  </w:style>
  <w:style w:type="character" w:styleId="Enfasicorsivo">
    <w:name w:val="Emphasis"/>
    <w:uiPriority w:val="20"/>
    <w:qFormat/>
    <w:rsid w:val="000B1FFC"/>
    <w:rPr>
      <w:i/>
      <w:iCs/>
    </w:rPr>
  </w:style>
  <w:style w:type="paragraph" w:customStyle="1" w:styleId="Default">
    <w:name w:val="Default"/>
    <w:rsid w:val="00D56DF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4553B9"/>
    <w:pPr>
      <w:spacing w:before="100" w:beforeAutospacing="1" w:after="100" w:afterAutospacing="1"/>
    </w:pPr>
    <w:rPr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455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b8893ad-3d69-41de-b649-d1bd51973bb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A6000DCC32BD40BF7E2C6365A4976E" ma:contentTypeVersion="12" ma:contentTypeDescription="Create a new document." ma:contentTypeScope="" ma:versionID="3983712bbe577450f467d727ee6303bb">
  <xsd:schema xmlns:xsd="http://www.w3.org/2001/XMLSchema" xmlns:xs="http://www.w3.org/2001/XMLSchema" xmlns:p="http://schemas.microsoft.com/office/2006/metadata/properties" xmlns:ns2="9b8893ad-3d69-41de-b649-d1bd51973bb4" xmlns:ns3="970dbe7f-c47a-49d3-a462-e49c963d10d9" targetNamespace="http://schemas.microsoft.com/office/2006/metadata/properties" ma:root="true" ma:fieldsID="179c91ad898e194ec87736bb89f10653" ns2:_="" ns3:_="">
    <xsd:import namespace="9b8893ad-3d69-41de-b649-d1bd51973bb4"/>
    <xsd:import namespace="970dbe7f-c47a-49d3-a462-e49c963d10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893ad-3d69-41de-b649-d1bd51973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dbe7f-c47a-49d3-a462-e49c963d10d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3B479A-1A52-4BAF-BEAE-EC45F50EDF58}">
  <ds:schemaRefs>
    <ds:schemaRef ds:uri="http://schemas.microsoft.com/office/2006/metadata/properties"/>
    <ds:schemaRef ds:uri="http://schemas.microsoft.com/office/infopath/2007/PartnerControls"/>
    <ds:schemaRef ds:uri="9b8893ad-3d69-41de-b649-d1bd51973bb4"/>
  </ds:schemaRefs>
</ds:datastoreItem>
</file>

<file path=customXml/itemProps2.xml><?xml version="1.0" encoding="utf-8"?>
<ds:datastoreItem xmlns:ds="http://schemas.openxmlformats.org/officeDocument/2006/customXml" ds:itemID="{74EA6528-AA1F-45C4-BF17-ED327115E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8893ad-3d69-41de-b649-d1bd51973bb4"/>
    <ds:schemaRef ds:uri="970dbe7f-c47a-49d3-a462-e49c963d10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E1CDA1-2D8A-473C-8C3B-C7A644EC97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2384</Words>
  <Characters>13593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15946</CharactersWithSpaces>
  <SharedDoc>false</SharedDoc>
  <HLinks>
    <vt:vector size="18" baseType="variant">
      <vt:variant>
        <vt:i4>6160472</vt:i4>
      </vt:variant>
      <vt:variant>
        <vt:i4>123</vt:i4>
      </vt:variant>
      <vt:variant>
        <vt:i4>0</vt:i4>
      </vt:variant>
      <vt:variant>
        <vt:i4>5</vt:i4>
      </vt:variant>
      <vt:variant>
        <vt:lpwstr>../../7/7.4.2/Modulo suggerimenti, segnalazioni, reclami.docx</vt:lpwstr>
      </vt:variant>
      <vt:variant>
        <vt:lpwstr/>
      </vt:variant>
      <vt:variant>
        <vt:i4>5242970</vt:i4>
      </vt:variant>
      <vt:variant>
        <vt:i4>120</vt:i4>
      </vt:variant>
      <vt:variant>
        <vt:i4>0</vt:i4>
      </vt:variant>
      <vt:variant>
        <vt:i4>5</vt:i4>
      </vt:variant>
      <vt:variant>
        <vt:lpwstr>../../8/8.1/istruzioni operative - raccolta/Istruzioni operative-elenco.xlsx</vt:lpwstr>
      </vt:variant>
      <vt:variant>
        <vt:lpwstr/>
      </vt:variant>
      <vt:variant>
        <vt:i4>3932223</vt:i4>
      </vt:variant>
      <vt:variant>
        <vt:i4>117</vt:i4>
      </vt:variant>
      <vt:variant>
        <vt:i4>0</vt:i4>
      </vt:variant>
      <vt:variant>
        <vt:i4>5</vt:i4>
      </vt:variant>
      <vt:variant>
        <vt:lpwstr>../../8/8.1/istruzioni operative - raccolta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2021-06-11T05:34:00Z</dcterms:created>
  <dcterms:modified xsi:type="dcterms:W3CDTF">2021-06-11T07:56:00Z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0x0101005AA6000DCC32BD40BF7E2C6365A4976E</vt:lpwstr>
  </property>
  <property fmtid="{D5CDD505-2E9C-101B-9397-08002B2CF9AE}" pid="3" name="ComplianceAssetId">
    <vt:lpwstr/>
  </property>
</Properties>
</file>