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DD0F" w14:textId="7862CCE9" w:rsidR="00825AF6" w:rsidRPr="00C71A53" w:rsidRDefault="00825AF6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sz w:val="18"/>
          <w:szCs w:val="18"/>
        </w:rPr>
      </w:pPr>
    </w:p>
    <w:p w14:paraId="015C1011" w14:textId="414C9895" w:rsidR="00A66BEB" w:rsidRPr="00C71A53" w:rsidRDefault="003B18FD" w:rsidP="003B18FD">
      <w:pPr>
        <w:pStyle w:val="Pidipagina"/>
        <w:tabs>
          <w:tab w:val="clear" w:pos="4819"/>
          <w:tab w:val="clear" w:pos="9638"/>
          <w:tab w:val="left" w:pos="33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ab/>
      </w:r>
    </w:p>
    <w:p w14:paraId="2CE5C28C" w14:textId="449A7335" w:rsidR="00A66BEB" w:rsidRPr="00C71A53" w:rsidRDefault="00AE1A3B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t>PROCESSO COMMERCIALE</w:t>
      </w:r>
    </w:p>
    <w:p w14:paraId="60D008DA" w14:textId="77777777" w:rsidR="00137976" w:rsidRPr="00C71A53" w:rsidRDefault="00137976" w:rsidP="00C71A53">
      <w:pPr>
        <w:pStyle w:val="Pidipagina"/>
        <w:tabs>
          <w:tab w:val="clear" w:pos="4819"/>
          <w:tab w:val="clear" w:pos="9638"/>
          <w:tab w:val="left" w:pos="622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C71A53" w14:paraId="2775B43F" w14:textId="77777777" w:rsidTr="00137976">
        <w:tc>
          <w:tcPr>
            <w:tcW w:w="704" w:type="dxa"/>
          </w:tcPr>
          <w:p w14:paraId="280923BA" w14:textId="5008CE95" w:rsidR="00137976" w:rsidRPr="00C71A53" w:rsidRDefault="00137976" w:rsidP="00C71A53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71A53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C71A53" w:rsidRDefault="00137976" w:rsidP="00C71A53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71A53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C71A53" w:rsidRDefault="00137976" w:rsidP="00C71A53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71A53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3B18FD" w:rsidRPr="00C71A53" w14:paraId="2E3A32D2" w14:textId="77777777" w:rsidTr="00137976">
        <w:tc>
          <w:tcPr>
            <w:tcW w:w="704" w:type="dxa"/>
          </w:tcPr>
          <w:p w14:paraId="4E032829" w14:textId="09BC7790" w:rsidR="003B18FD" w:rsidRPr="00C71A53" w:rsidRDefault="003B18FD" w:rsidP="003B18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71A53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6060E95D" w:rsidR="003B18FD" w:rsidRPr="00C71A53" w:rsidRDefault="003B18FD" w:rsidP="003B18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932" w:type="dxa"/>
          </w:tcPr>
          <w:p w14:paraId="2DAF0406" w14:textId="405A399C" w:rsidR="003B18FD" w:rsidRPr="00C71A53" w:rsidRDefault="003B18FD" w:rsidP="003B18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6EC0184" w14:textId="2B651B2B" w:rsidR="00A66BEB" w:rsidRPr="00C71A53" w:rsidRDefault="00A66BEB" w:rsidP="00C71A53">
      <w:pPr>
        <w:pStyle w:val="Pidipagina"/>
        <w:tabs>
          <w:tab w:val="clear" w:pos="4819"/>
          <w:tab w:val="clear" w:pos="9638"/>
          <w:tab w:val="left" w:pos="622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F931ECA" w14:textId="77777777" w:rsidR="00137976" w:rsidRPr="00C71A53" w:rsidRDefault="00137976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863EC4A" w14:textId="10F6FB2E" w:rsidR="00EA572F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="00EA572F" w:rsidRPr="001615FE">
        <w:rPr>
          <w:rFonts w:asciiTheme="majorHAnsi" w:hAnsiTheme="majorHAnsi" w:cstheme="majorHAnsi"/>
          <w:noProof/>
          <w:color w:val="0000FF"/>
        </w:rPr>
        <w:t>0.</w:t>
      </w:r>
      <w:r w:rsidR="00EA57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A572F" w:rsidRPr="001615FE">
        <w:rPr>
          <w:rFonts w:asciiTheme="majorHAnsi" w:hAnsiTheme="majorHAnsi" w:cstheme="majorHAnsi"/>
          <w:noProof/>
          <w:color w:val="0000FF"/>
        </w:rPr>
        <w:t>Scopo e campo di applicazione</w:t>
      </w:r>
      <w:r w:rsidR="00EA572F">
        <w:rPr>
          <w:noProof/>
        </w:rPr>
        <w:tab/>
      </w:r>
      <w:r w:rsidR="00EA572F">
        <w:rPr>
          <w:noProof/>
        </w:rPr>
        <w:fldChar w:fldCharType="begin"/>
      </w:r>
      <w:r w:rsidR="00EA572F">
        <w:rPr>
          <w:noProof/>
        </w:rPr>
        <w:instrText xml:space="preserve"> PAGEREF _Toc86064391 \h </w:instrText>
      </w:r>
      <w:r w:rsidR="00EA572F">
        <w:rPr>
          <w:noProof/>
        </w:rPr>
      </w:r>
      <w:r w:rsidR="00EA572F">
        <w:rPr>
          <w:noProof/>
        </w:rPr>
        <w:fldChar w:fldCharType="separate"/>
      </w:r>
      <w:r w:rsidR="00EA572F">
        <w:rPr>
          <w:noProof/>
        </w:rPr>
        <w:t>2</w:t>
      </w:r>
      <w:r w:rsidR="00EA572F">
        <w:rPr>
          <w:noProof/>
        </w:rPr>
        <w:fldChar w:fldCharType="end"/>
      </w:r>
    </w:p>
    <w:p w14:paraId="7C6C908C" w14:textId="03CF4A68" w:rsidR="00EA572F" w:rsidRDefault="00EA572F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15FE">
        <w:rPr>
          <w:rFonts w:asciiTheme="majorHAnsi" w:hAnsiTheme="majorHAnsi" w:cstheme="majorHAnsi"/>
          <w:noProof/>
          <w:color w:val="0000FF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15FE">
        <w:rPr>
          <w:rFonts w:asciiTheme="majorHAnsi" w:hAnsiTheme="majorHAnsi" w:cstheme="majorHAnsi"/>
          <w:noProof/>
          <w:color w:val="0000FF"/>
        </w:rPr>
        <w:t>Modalità operative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_Toc86064392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F23781" w14:textId="4C76D3C0" w:rsidR="00EA572F" w:rsidRDefault="00EA572F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15FE">
        <w:rPr>
          <w:rFonts w:asciiTheme="majorHAnsi" w:hAnsiTheme="majorHAnsi" w:cstheme="majorHAnsi"/>
          <w:noProof/>
          <w:color w:val="0000FF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15FE">
        <w:rPr>
          <w:rFonts w:asciiTheme="majorHAnsi" w:hAnsiTheme="majorHAnsi" w:cstheme="majorHAnsi"/>
          <w:noProof/>
          <w:color w:val="0000FF"/>
        </w:rPr>
        <w:t>Obblighi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_Toc86064393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483863" w14:textId="760DB59D" w:rsidR="00EA572F" w:rsidRDefault="00EA572F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15FE">
        <w:rPr>
          <w:rFonts w:asciiTheme="majorHAnsi" w:hAnsiTheme="majorHAnsi" w:cstheme="majorHAnsi"/>
          <w:noProof/>
          <w:color w:val="0000FF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15FE">
        <w:rPr>
          <w:rFonts w:asciiTheme="majorHAnsi" w:hAnsiTheme="majorHAnsi" w:cstheme="majorHAnsi"/>
          <w:noProof/>
          <w:color w:val="0000FF"/>
        </w:rPr>
        <w:t>Divieti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_Toc86064394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2E114F" w14:textId="5BA816CA" w:rsidR="00137976" w:rsidRPr="00C71A53" w:rsidRDefault="00137976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259FCF0A" w14:textId="01F8E5CC" w:rsidR="00137976" w:rsidRPr="00C71A53" w:rsidRDefault="00137976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C71A53">
        <w:rPr>
          <w:rFonts w:asciiTheme="majorHAnsi" w:hAnsiTheme="majorHAnsi" w:cstheme="majorHAnsi"/>
          <w:b/>
          <w:bCs/>
          <w:color w:val="0000FF"/>
          <w:sz w:val="18"/>
          <w:szCs w:val="18"/>
        </w:rPr>
        <w:br w:type="column"/>
      </w:r>
    </w:p>
    <w:p w14:paraId="35ED6656" w14:textId="6F7BCAC7" w:rsidR="00A66BEB" w:rsidRPr="00C71A53" w:rsidRDefault="00A66BEB" w:rsidP="00C71A53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vanish/>
          <w:color w:val="0000FF"/>
          <w:sz w:val="18"/>
          <w:szCs w:val="18"/>
          <w:specVanish/>
        </w:rPr>
      </w:pPr>
    </w:p>
    <w:p w14:paraId="7786D9F2" w14:textId="1CE0F90C" w:rsidR="00A66BEB" w:rsidRPr="00C71A53" w:rsidRDefault="005A7E75" w:rsidP="00C71A53">
      <w:pPr>
        <w:pStyle w:val="Titolo1"/>
        <w:jc w:val="both"/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Toc501634653"/>
      <w:r w:rsidRPr="00C71A53">
        <w:rPr>
          <w:rFonts w:asciiTheme="majorHAnsi" w:hAnsiTheme="majorHAnsi" w:cstheme="majorHAnsi"/>
          <w:color w:val="0000FF"/>
          <w:sz w:val="18"/>
          <w:szCs w:val="18"/>
        </w:rPr>
        <w:t xml:space="preserve"> </w:t>
      </w:r>
      <w:bookmarkStart w:id="1" w:name="_Toc86064391"/>
      <w:r w:rsidR="00A66BEB" w:rsidRPr="00C71A53">
        <w:rPr>
          <w:rFonts w:asciiTheme="majorHAnsi" w:hAnsiTheme="majorHAnsi" w:cstheme="majorHAnsi"/>
          <w:color w:val="0000FF"/>
          <w:sz w:val="18"/>
          <w:szCs w:val="18"/>
        </w:rPr>
        <w:t>Scopo e campo di applicazione</w:t>
      </w:r>
      <w:bookmarkEnd w:id="0"/>
      <w:bookmarkEnd w:id="1"/>
    </w:p>
    <w:p w14:paraId="0443F5E6" w14:textId="552C7643" w:rsidR="00AA0D61" w:rsidRPr="00C71A53" w:rsidRDefault="00D7294D" w:rsidP="00C71A53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ab/>
      </w:r>
      <w:r w:rsidR="00EA572F" w:rsidRPr="00EA572F">
        <w:rPr>
          <w:rFonts w:asciiTheme="majorHAnsi" w:hAnsiTheme="majorHAnsi" w:cstheme="majorHAnsi"/>
          <w:sz w:val="18"/>
          <w:szCs w:val="18"/>
        </w:rPr>
        <w:t xml:space="preserve">L'Organizzazione aderisce volontariamente alle norme </w:t>
      </w:r>
      <w:proofErr w:type="spellStart"/>
      <w:r w:rsidR="00A23614" w:rsidRPr="00A23614">
        <w:rPr>
          <w:rFonts w:asciiTheme="majorHAnsi" w:hAnsiTheme="majorHAnsi" w:cstheme="majorHAnsi"/>
          <w:color w:val="FF0000"/>
          <w:sz w:val="18"/>
          <w:szCs w:val="18"/>
          <w:highlight w:val="yellow"/>
        </w:rPr>
        <w:t>xxxxxxxxxxxxxxxxxxxxxxxxxxxxxxx</w:t>
      </w:r>
      <w:proofErr w:type="spellEnd"/>
      <w:r w:rsidR="00EA572F" w:rsidRPr="00EA572F">
        <w:rPr>
          <w:rFonts w:asciiTheme="majorHAnsi" w:hAnsiTheme="majorHAnsi" w:cstheme="majorHAnsi"/>
          <w:sz w:val="18"/>
          <w:szCs w:val="18"/>
        </w:rPr>
        <w:t>.</w:t>
      </w:r>
    </w:p>
    <w:p w14:paraId="44817079" w14:textId="31E10B2E" w:rsidR="00AA0D61" w:rsidRPr="00CC4F8B" w:rsidRDefault="00A66BEB" w:rsidP="00C71A53">
      <w:pPr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 xml:space="preserve">La presente procedura definisce 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le modalità di gestione delle attività commerciali precisando </w:t>
      </w:r>
      <w:r w:rsidR="00AA0D61" w:rsidRPr="00CC4F8B">
        <w:rPr>
          <w:rFonts w:asciiTheme="majorHAnsi" w:hAnsiTheme="majorHAnsi" w:cstheme="majorHAnsi"/>
          <w:b/>
          <w:bCs/>
          <w:sz w:val="18"/>
          <w:szCs w:val="18"/>
        </w:rPr>
        <w:t>che l’Organizzazione non ha una rete commerciale in quanto le sue attività si esplicano attraverso la partecipazione a bandi di gara e non è presente sul mercato “attraverso una rete di vendita”</w:t>
      </w:r>
      <w:r w:rsidR="00A23614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A23614" w:rsidRPr="00A23614">
        <w:rPr>
          <w:rFonts w:asciiTheme="majorHAnsi" w:hAnsiTheme="majorHAnsi" w:cstheme="majorHAnsi"/>
          <w:b/>
          <w:bCs/>
          <w:color w:val="FF0000"/>
          <w:sz w:val="18"/>
          <w:szCs w:val="18"/>
          <w:highlight w:val="yellow"/>
        </w:rPr>
        <w:t>verificare</w:t>
      </w:r>
      <w:r w:rsidR="00AA0D61" w:rsidRPr="00CC4F8B">
        <w:rPr>
          <w:rFonts w:asciiTheme="majorHAnsi" w:hAnsiTheme="majorHAnsi" w:cstheme="majorHAnsi"/>
          <w:b/>
          <w:bCs/>
          <w:sz w:val="18"/>
          <w:szCs w:val="18"/>
        </w:rPr>
        <w:t>.</w:t>
      </w:r>
    </w:p>
    <w:p w14:paraId="178DEE73" w14:textId="757B7DB6" w:rsidR="005A7E75" w:rsidRPr="00CC4F8B" w:rsidRDefault="005A7E75" w:rsidP="00C71A53">
      <w:pPr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3F6A4243" w14:textId="77777777" w:rsidR="00A66BEB" w:rsidRPr="00C71A53" w:rsidRDefault="00A66BEB" w:rsidP="00C71A53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A718379" w14:textId="6AD634BB" w:rsidR="00A66BEB" w:rsidRPr="00C71A53" w:rsidRDefault="00A66BEB" w:rsidP="00C71A53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2A6B014" w14:textId="2DEC7373" w:rsidR="00A66BEB" w:rsidRPr="00C71A53" w:rsidRDefault="00A66BEB" w:rsidP="00C71A53">
      <w:pPr>
        <w:pStyle w:val="Titolo1"/>
        <w:jc w:val="both"/>
        <w:rPr>
          <w:rFonts w:asciiTheme="majorHAnsi" w:hAnsiTheme="majorHAnsi" w:cstheme="majorHAnsi"/>
          <w:color w:val="0000FF"/>
          <w:sz w:val="18"/>
          <w:szCs w:val="18"/>
        </w:rPr>
      </w:pPr>
      <w:bookmarkStart w:id="2" w:name="_Toc86064392"/>
      <w:bookmarkStart w:id="3" w:name="_Hlk76388974"/>
      <w:r w:rsidRPr="00C71A53">
        <w:rPr>
          <w:rFonts w:asciiTheme="majorHAnsi" w:hAnsiTheme="majorHAnsi" w:cstheme="majorHAnsi"/>
          <w:color w:val="0000FF"/>
          <w:sz w:val="18"/>
          <w:szCs w:val="18"/>
        </w:rPr>
        <w:t>Modalità operative</w:t>
      </w:r>
      <w:bookmarkEnd w:id="2"/>
    </w:p>
    <w:bookmarkEnd w:id="3"/>
    <w:p w14:paraId="61680142" w14:textId="68F8B88D" w:rsidR="00AA0D61" w:rsidRPr="00C71A53" w:rsidRDefault="00D7294D" w:rsidP="00C71A53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ab/>
      </w:r>
      <w:r w:rsidR="00A66BEB" w:rsidRPr="00C71A53">
        <w:rPr>
          <w:rFonts w:asciiTheme="majorHAnsi" w:hAnsiTheme="majorHAnsi" w:cstheme="majorHAnsi"/>
          <w:sz w:val="18"/>
          <w:szCs w:val="18"/>
        </w:rPr>
        <w:t xml:space="preserve">Come meglio illustrato 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in premessa, l’Organizzazione non ha agenti di vendita </w:t>
      </w:r>
      <w:r w:rsidRPr="00C71A53">
        <w:rPr>
          <w:rFonts w:asciiTheme="majorHAnsi" w:hAnsiTheme="majorHAnsi" w:cstheme="majorHAnsi"/>
          <w:sz w:val="18"/>
          <w:szCs w:val="18"/>
        </w:rPr>
        <w:t>né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 un settore commerciale inteso come tale, in quanto </w:t>
      </w:r>
      <w:r w:rsidRPr="00C71A53">
        <w:rPr>
          <w:rFonts w:asciiTheme="majorHAnsi" w:hAnsiTheme="majorHAnsi" w:cstheme="majorHAnsi"/>
          <w:sz w:val="18"/>
          <w:szCs w:val="18"/>
        </w:rPr>
        <w:t>la propria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 attività e la ricerca di nuove commesse si esplica attraverso la partecipazione a bandi di gara pubblici</w:t>
      </w:r>
      <w:r w:rsidR="00BB3C8C" w:rsidRPr="00C71A53">
        <w:rPr>
          <w:rFonts w:asciiTheme="majorHAnsi" w:hAnsiTheme="majorHAnsi" w:cstheme="majorHAnsi"/>
          <w:sz w:val="18"/>
          <w:szCs w:val="18"/>
        </w:rPr>
        <w:t xml:space="preserve"> il cui requisito fondamentale è il possesso di specifici requisiti che, se non posseduti, impediscono all’Organizzazione di partecipare</w:t>
      </w:r>
      <w:r w:rsidR="00AA0D61" w:rsidRPr="00C71A53">
        <w:rPr>
          <w:rFonts w:asciiTheme="majorHAnsi" w:hAnsiTheme="majorHAnsi" w:cstheme="majorHAnsi"/>
          <w:sz w:val="18"/>
          <w:szCs w:val="18"/>
        </w:rPr>
        <w:t>.</w:t>
      </w:r>
    </w:p>
    <w:p w14:paraId="2E181808" w14:textId="7D47CA2A" w:rsidR="00D7294D" w:rsidRPr="00C71A53" w:rsidRDefault="00D7294D" w:rsidP="00C71A53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ab/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L’acquisizione di nuove commesse quindi deriva dalla capacità imprenditoriale di offrire le migliori condizioni di qualità/prezzo in occasione della emissione delle offerte a seguito della partecipazione ai bandi, tuttavia </w:t>
      </w:r>
      <w:r w:rsidR="00496935" w:rsidRPr="00C71A53">
        <w:rPr>
          <w:rFonts w:asciiTheme="majorHAnsi" w:hAnsiTheme="majorHAnsi" w:cstheme="majorHAnsi"/>
          <w:sz w:val="18"/>
          <w:szCs w:val="18"/>
        </w:rPr>
        <w:t>è prevedibile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 che</w:t>
      </w:r>
      <w:r w:rsidR="00496935" w:rsidRPr="00C71A53">
        <w:rPr>
          <w:rFonts w:asciiTheme="majorHAnsi" w:hAnsiTheme="majorHAnsi" w:cstheme="majorHAnsi"/>
          <w:sz w:val="18"/>
          <w:szCs w:val="18"/>
        </w:rPr>
        <w:t>,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 per chiarire aspetti del ban</w:t>
      </w:r>
      <w:r w:rsidRPr="00C71A53">
        <w:rPr>
          <w:rFonts w:asciiTheme="majorHAnsi" w:hAnsiTheme="majorHAnsi" w:cstheme="majorHAnsi"/>
          <w:sz w:val="18"/>
          <w:szCs w:val="18"/>
        </w:rPr>
        <w:t>d</w:t>
      </w:r>
      <w:r w:rsidR="00AA0D61" w:rsidRPr="00C71A53">
        <w:rPr>
          <w:rFonts w:asciiTheme="majorHAnsi" w:hAnsiTheme="majorHAnsi" w:cstheme="majorHAnsi"/>
          <w:sz w:val="18"/>
          <w:szCs w:val="18"/>
        </w:rPr>
        <w:t>o al quale si pa</w:t>
      </w:r>
      <w:r w:rsidRPr="00C71A53">
        <w:rPr>
          <w:rFonts w:asciiTheme="majorHAnsi" w:hAnsiTheme="majorHAnsi" w:cstheme="majorHAnsi"/>
          <w:sz w:val="18"/>
          <w:szCs w:val="18"/>
        </w:rPr>
        <w:t>r</w:t>
      </w:r>
      <w:r w:rsidR="00AA0D61" w:rsidRPr="00C71A53">
        <w:rPr>
          <w:rFonts w:asciiTheme="majorHAnsi" w:hAnsiTheme="majorHAnsi" w:cstheme="majorHAnsi"/>
          <w:sz w:val="18"/>
          <w:szCs w:val="18"/>
        </w:rPr>
        <w:t>tecipa</w:t>
      </w:r>
      <w:r w:rsidR="00496935" w:rsidRPr="00C71A53">
        <w:rPr>
          <w:rFonts w:asciiTheme="majorHAnsi" w:hAnsiTheme="majorHAnsi" w:cstheme="majorHAnsi"/>
          <w:sz w:val="18"/>
          <w:szCs w:val="18"/>
        </w:rPr>
        <w:t>, possa essere</w:t>
      </w:r>
      <w:r w:rsidRPr="00C71A53">
        <w:rPr>
          <w:rFonts w:asciiTheme="majorHAnsi" w:hAnsiTheme="majorHAnsi" w:cstheme="majorHAnsi"/>
          <w:sz w:val="18"/>
          <w:szCs w:val="18"/>
        </w:rPr>
        <w:t xml:space="preserve"> necessario </w:t>
      </w:r>
      <w:r w:rsidR="00AA0D61" w:rsidRPr="00C71A53">
        <w:rPr>
          <w:rFonts w:asciiTheme="majorHAnsi" w:hAnsiTheme="majorHAnsi" w:cstheme="majorHAnsi"/>
          <w:sz w:val="18"/>
          <w:szCs w:val="18"/>
        </w:rPr>
        <w:t>intraprender</w:t>
      </w:r>
      <w:r w:rsidRPr="00C71A53">
        <w:rPr>
          <w:rFonts w:asciiTheme="majorHAnsi" w:hAnsiTheme="majorHAnsi" w:cstheme="majorHAnsi"/>
          <w:sz w:val="18"/>
          <w:szCs w:val="18"/>
        </w:rPr>
        <w:t>e</w:t>
      </w:r>
      <w:r w:rsidR="00AA0D61" w:rsidRPr="00C71A53">
        <w:rPr>
          <w:rFonts w:asciiTheme="majorHAnsi" w:hAnsiTheme="majorHAnsi" w:cstheme="majorHAnsi"/>
          <w:sz w:val="18"/>
          <w:szCs w:val="18"/>
        </w:rPr>
        <w:t xml:space="preserve"> contatti con i committenti per chiarire</w:t>
      </w:r>
      <w:r w:rsidRPr="00C71A53">
        <w:rPr>
          <w:rFonts w:asciiTheme="majorHAnsi" w:hAnsiTheme="majorHAnsi" w:cstheme="majorHAnsi"/>
          <w:sz w:val="18"/>
          <w:szCs w:val="18"/>
        </w:rPr>
        <w:t xml:space="preserve"> specifici aspetti che risultino non sufficientemente chiari nella redazione del bando, o magari</w:t>
      </w:r>
      <w:r w:rsidR="00BB3C8C" w:rsidRPr="00C71A53">
        <w:rPr>
          <w:rFonts w:asciiTheme="majorHAnsi" w:hAnsiTheme="majorHAnsi" w:cstheme="majorHAnsi"/>
          <w:sz w:val="18"/>
          <w:szCs w:val="18"/>
        </w:rPr>
        <w:t>,</w:t>
      </w:r>
      <w:r w:rsidRPr="00C71A53">
        <w:rPr>
          <w:rFonts w:asciiTheme="majorHAnsi" w:hAnsiTheme="majorHAnsi" w:cstheme="majorHAnsi"/>
          <w:sz w:val="18"/>
          <w:szCs w:val="18"/>
        </w:rPr>
        <w:t xml:space="preserve"> per proporre soluzione tecniche alternative e più innovative ai fini del miglioramento dell’opera oggetto del bando.</w:t>
      </w:r>
    </w:p>
    <w:p w14:paraId="017C7F96" w14:textId="1BDB93DB" w:rsidR="00D7294D" w:rsidRPr="00C71A53" w:rsidRDefault="00D7294D" w:rsidP="00C71A53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ab/>
        <w:t>A tal fine si dovranno seguire le sottostanti regole di comportamento.</w:t>
      </w:r>
    </w:p>
    <w:p w14:paraId="51C3FED7" w14:textId="77777777" w:rsidR="00D7294D" w:rsidRPr="00C71A53" w:rsidRDefault="00D7294D" w:rsidP="00C71A53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7B1F36D1" w14:textId="2B784BBB" w:rsidR="00A66BEB" w:rsidRPr="00C71A53" w:rsidRDefault="00AA0D61" w:rsidP="00C71A53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Theme="majorHAnsi" w:hAnsiTheme="majorHAnsi" w:cstheme="majorHAnsi"/>
          <w:sz w:val="18"/>
          <w:szCs w:val="18"/>
        </w:rPr>
        <w:t xml:space="preserve">  </w:t>
      </w:r>
      <w:r w:rsidR="00D7294D" w:rsidRPr="00C71A53">
        <w:rPr>
          <w:rFonts w:asciiTheme="majorHAnsi" w:hAnsiTheme="majorHAnsi" w:cstheme="majorHAnsi"/>
          <w:sz w:val="18"/>
          <w:szCs w:val="18"/>
        </w:rPr>
        <w:t xml:space="preserve">La gestione delle attività commerciali potrebbe presentare profili di rischio in relazione ai </w:t>
      </w:r>
      <w:r w:rsidR="00D7294D" w:rsidRPr="00C71A53">
        <w:rPr>
          <w:rFonts w:asciiTheme="majorHAnsi" w:hAnsiTheme="majorHAnsi" w:cstheme="majorHAnsi"/>
          <w:b/>
          <w:bCs/>
          <w:sz w:val="18"/>
          <w:szCs w:val="18"/>
        </w:rPr>
        <w:t>reati contro la Pubblica Amministrazione</w:t>
      </w:r>
      <w:r w:rsidR="00D7294D" w:rsidRPr="00C71A53">
        <w:rPr>
          <w:rFonts w:asciiTheme="majorHAnsi" w:hAnsiTheme="majorHAnsi" w:cstheme="majorHAnsi"/>
          <w:sz w:val="18"/>
          <w:szCs w:val="18"/>
        </w:rPr>
        <w:t xml:space="preserve"> ed il suo patrimonio, </w:t>
      </w:r>
      <w:r w:rsidR="00A23614">
        <w:rPr>
          <w:rFonts w:asciiTheme="majorHAnsi" w:hAnsiTheme="majorHAnsi" w:cstheme="majorHAnsi"/>
          <w:sz w:val="18"/>
          <w:szCs w:val="18"/>
        </w:rPr>
        <w:t xml:space="preserve">o </w:t>
      </w:r>
      <w:r w:rsidR="00A23614" w:rsidRPr="00A23614">
        <w:rPr>
          <w:rFonts w:asciiTheme="majorHAnsi" w:hAnsiTheme="majorHAnsi" w:cstheme="majorHAnsi"/>
          <w:b/>
          <w:bCs/>
          <w:sz w:val="18"/>
          <w:szCs w:val="18"/>
        </w:rPr>
        <w:t>reati di corruzione</w:t>
      </w:r>
      <w:r w:rsidR="00A23614" w:rsidRPr="00C71A53">
        <w:rPr>
          <w:rFonts w:asciiTheme="majorHAnsi" w:hAnsiTheme="majorHAnsi" w:cstheme="majorHAnsi"/>
          <w:sz w:val="18"/>
          <w:szCs w:val="18"/>
        </w:rPr>
        <w:t xml:space="preserve"> </w:t>
      </w:r>
      <w:r w:rsidR="00D7294D" w:rsidRPr="00C71A53">
        <w:rPr>
          <w:rFonts w:asciiTheme="majorHAnsi" w:hAnsiTheme="majorHAnsi" w:cstheme="majorHAnsi"/>
          <w:sz w:val="18"/>
          <w:szCs w:val="18"/>
        </w:rPr>
        <w:t>nell’ipotesi in cui un soggetto sottoposto o apicale della Società:</w:t>
      </w:r>
    </w:p>
    <w:p w14:paraId="3A1BC6E9" w14:textId="6CEF5AB8" w:rsidR="00D7294D" w:rsidRPr="00C71A53" w:rsidRDefault="00D7294D" w:rsidP="00C71A53">
      <w:pPr>
        <w:ind w:left="567"/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 xml:space="preserve">- offra o prometta denaro od </w:t>
      </w:r>
      <w:proofErr w:type="spellStart"/>
      <w:r w:rsidRPr="00C71A53">
        <w:rPr>
          <w:rFonts w:asciiTheme="majorHAnsi" w:hAnsiTheme="majorHAnsi" w:cstheme="majorHAnsi"/>
          <w:bCs/>
          <w:sz w:val="18"/>
          <w:szCs w:val="18"/>
        </w:rPr>
        <w:t>altra</w:t>
      </w:r>
      <w:proofErr w:type="spell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utilità ad un pubblico ufficiale, ad un incaricato di pubblico servizio o a soggetti da questi indicati, al fine di compiere un’azione corruttiva o comunque per ottenere trattamenti di favore nell’ambito della procedura di gara o nella negoziazione privata;</w:t>
      </w:r>
    </w:p>
    <w:p w14:paraId="51C1CBE4" w14:textId="5A6CDD90" w:rsidR="00D7294D" w:rsidRPr="00C71A53" w:rsidRDefault="00D7294D" w:rsidP="00C71A53">
      <w:pPr>
        <w:ind w:left="567"/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>- induca in errore un pubblico ufficiale mediante artifizi o raggiri (quali, ad esempio, la falsificazione o l’alterazione dei documenti predisposti per la PA al fine di ottenere un ingiusto profitto con danno della PA.</w:t>
      </w:r>
    </w:p>
    <w:p w14:paraId="05BC1752" w14:textId="1BD74696" w:rsidR="006E470A" w:rsidRPr="00C71A53" w:rsidRDefault="006E470A" w:rsidP="00C71A53">
      <w:pPr>
        <w:ind w:left="567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0AAFC5C3" w14:textId="410906DE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 xml:space="preserve">La gestione delle attività commerciali potrebbe presentare profili di rischio in relazione al reato di </w:t>
      </w:r>
      <w:r w:rsidRPr="00C71A53">
        <w:rPr>
          <w:rFonts w:asciiTheme="majorHAnsi" w:hAnsiTheme="majorHAnsi" w:cstheme="majorHAnsi"/>
          <w:b/>
          <w:sz w:val="18"/>
          <w:szCs w:val="18"/>
        </w:rPr>
        <w:t>corruzione fra privati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, nell’ipotesi in cui un soggetto sottoposto o apicale della Società offra o prometta denaro od </w:t>
      </w:r>
      <w:proofErr w:type="spellStart"/>
      <w:r w:rsidRPr="00C71A53">
        <w:rPr>
          <w:rFonts w:asciiTheme="majorHAnsi" w:hAnsiTheme="majorHAnsi" w:cstheme="majorHAnsi"/>
          <w:bCs/>
          <w:sz w:val="18"/>
          <w:szCs w:val="18"/>
        </w:rPr>
        <w:t>altra</w:t>
      </w:r>
      <w:proofErr w:type="spell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utilità al responsabile del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Committente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al fine di ottenere 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>vantaggi per l’Organizzazione</w:t>
      </w:r>
      <w:r w:rsidRPr="00C71A53">
        <w:rPr>
          <w:rFonts w:asciiTheme="majorHAnsi" w:hAnsiTheme="majorHAnsi" w:cstheme="majorHAnsi"/>
          <w:bCs/>
          <w:sz w:val="18"/>
          <w:szCs w:val="18"/>
        </w:rPr>
        <w:t>.</w:t>
      </w:r>
    </w:p>
    <w:p w14:paraId="1442882F" w14:textId="125951E3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>Con riferimento alle attività sopra previste, di seguito si indicano i principi specifici di comportamento.</w:t>
      </w:r>
    </w:p>
    <w:p w14:paraId="07A71FC6" w14:textId="2B07ED67" w:rsidR="00BB3C8C" w:rsidRPr="00C71A53" w:rsidRDefault="00BB3C8C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12A9FCB5" w14:textId="35A49560" w:rsidR="00496935" w:rsidRPr="00C71A53" w:rsidRDefault="00FB7812" w:rsidP="00C71A53">
      <w:pPr>
        <w:pStyle w:val="Titolo2"/>
        <w:ind w:left="1701"/>
        <w:jc w:val="both"/>
        <w:rPr>
          <w:rFonts w:asciiTheme="majorHAnsi" w:hAnsiTheme="majorHAnsi" w:cstheme="majorHAnsi"/>
          <w:color w:val="0000FF"/>
          <w:sz w:val="18"/>
          <w:szCs w:val="18"/>
        </w:rPr>
      </w:pPr>
      <w:bookmarkStart w:id="4" w:name="_Toc86064393"/>
      <w:r w:rsidRPr="00C71A53">
        <w:rPr>
          <w:rFonts w:asciiTheme="majorHAnsi" w:hAnsiTheme="majorHAnsi" w:cstheme="majorHAnsi"/>
          <w:color w:val="0000FF"/>
          <w:sz w:val="18"/>
          <w:szCs w:val="18"/>
        </w:rPr>
        <w:t>Obblighi</w:t>
      </w:r>
      <w:bookmarkEnd w:id="4"/>
    </w:p>
    <w:p w14:paraId="6A2B41A9" w14:textId="1882E7E8" w:rsidR="00496935" w:rsidRPr="00C71A53" w:rsidRDefault="00496935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71077E41" w14:textId="77777777" w:rsidR="00496935" w:rsidRPr="00C71A53" w:rsidRDefault="00496935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5EDEB89E" w14:textId="17846569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/>
          <w:sz w:val="18"/>
          <w:szCs w:val="18"/>
        </w:rPr>
        <w:t>Ai destinatari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che, per ragione del proprio incarico o della propria funzione, siano coinvolti nella gestione delle </w:t>
      </w:r>
      <w:proofErr w:type="gramStart"/>
      <w:r w:rsidRPr="00C71A53">
        <w:rPr>
          <w:rFonts w:asciiTheme="majorHAnsi" w:hAnsiTheme="majorHAnsi" w:cstheme="majorHAnsi"/>
          <w:bCs/>
          <w:sz w:val="18"/>
          <w:szCs w:val="18"/>
        </w:rPr>
        <w:t>predette</w:t>
      </w:r>
      <w:proofErr w:type="gram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attività </w:t>
      </w:r>
      <w:r w:rsidRPr="00C71A53">
        <w:rPr>
          <w:rFonts w:asciiTheme="majorHAnsi" w:hAnsiTheme="majorHAnsi" w:cstheme="majorHAnsi"/>
          <w:b/>
          <w:sz w:val="18"/>
          <w:szCs w:val="18"/>
        </w:rPr>
        <w:t>è fatto obbligo di</w:t>
      </w:r>
      <w:r w:rsidRPr="00C71A53">
        <w:rPr>
          <w:rFonts w:asciiTheme="majorHAnsi" w:hAnsiTheme="majorHAnsi" w:cstheme="majorHAnsi"/>
          <w:bCs/>
          <w:sz w:val="18"/>
          <w:szCs w:val="18"/>
        </w:rPr>
        <w:t>:</w:t>
      </w:r>
    </w:p>
    <w:p w14:paraId="215D6396" w14:textId="317C3D97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>applicare le regole previste dalle procedure aziendali in materia;</w:t>
      </w:r>
    </w:p>
    <w:p w14:paraId="32EB5A6E" w14:textId="7848CFBF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adeguata separazione delle funzioni fra chi gestisce i rapporti con i clienti e chi definisce i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prezzi di 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>offerta di gara</w:t>
      </w:r>
      <w:r w:rsidRPr="00C71A53">
        <w:rPr>
          <w:rFonts w:asciiTheme="majorHAnsi" w:hAnsiTheme="majorHAnsi" w:cstheme="majorHAnsi"/>
          <w:bCs/>
          <w:sz w:val="18"/>
          <w:szCs w:val="18"/>
        </w:rPr>
        <w:t>, nonché le condizioni e i termini di pagamento;</w:t>
      </w:r>
    </w:p>
    <w:p w14:paraId="2D7165E7" w14:textId="486F8CE6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la tracciabilità di tutte le fasi del processo commerciale, anche mediante l’utilizzo dei sistemi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informativi previsti;</w:t>
      </w:r>
    </w:p>
    <w:p w14:paraId="44B76E29" w14:textId="2D9140E5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le offerte commerciali siano sottoposte alla valutazione di tutte le funzioni preposte,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nelle modalità previste dalle procedure aziendali;</w:t>
      </w:r>
    </w:p>
    <w:p w14:paraId="366311EF" w14:textId="7F3600D6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tutte le offerte commerciali ai clienti siano approvate da soggetti dotati di appositi poteri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e secondo l’iter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approvativo previsto dalle procedure aziendali;</w:t>
      </w:r>
    </w:p>
    <w:p w14:paraId="7EDF12C1" w14:textId="5EF8F204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nel caso in cui i servizi erogati ai clienti siano svolti ‐ in tutto o in parte ‐ con il supporto di soggetti terzi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(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sub appaltatori</w:t>
      </w:r>
      <w:r w:rsidRPr="00C71A53">
        <w:rPr>
          <w:rFonts w:asciiTheme="majorHAnsi" w:hAnsiTheme="majorHAnsi" w:cstheme="majorHAnsi"/>
          <w:bCs/>
          <w:sz w:val="18"/>
          <w:szCs w:val="18"/>
        </w:rPr>
        <w:t>), garantire che la selezione degli stessi avvenga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sempre nel rispetto di quanto disciplinato nella 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procedura di qualificazione definite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dall’Organizzazione</w:t>
      </w:r>
      <w:r w:rsidRPr="00C71A53">
        <w:rPr>
          <w:rFonts w:asciiTheme="majorHAnsi" w:hAnsiTheme="majorHAnsi" w:cstheme="majorHAnsi"/>
          <w:bCs/>
          <w:sz w:val="18"/>
          <w:szCs w:val="18"/>
        </w:rPr>
        <w:t>;</w:t>
      </w:r>
    </w:p>
    <w:p w14:paraId="2CBB98E6" w14:textId="20D80879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garantire, nella partecipazione a gare indette dalla PA 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o da privati, </w:t>
      </w:r>
      <w:r w:rsidRPr="00C71A53">
        <w:rPr>
          <w:rFonts w:asciiTheme="majorHAnsi" w:hAnsiTheme="majorHAnsi" w:cstheme="majorHAnsi"/>
          <w:bCs/>
          <w:sz w:val="18"/>
          <w:szCs w:val="18"/>
        </w:rPr>
        <w:t>ed in generale in ogni trattativa con quest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>i</w:t>
      </w:r>
      <w:r w:rsidRPr="00C71A53">
        <w:rPr>
          <w:rFonts w:asciiTheme="majorHAnsi" w:hAnsiTheme="majorHAnsi" w:cstheme="majorHAnsi"/>
          <w:bCs/>
          <w:sz w:val="18"/>
          <w:szCs w:val="18"/>
        </w:rPr>
        <w:t>, che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tutti i dipendenti operino nel rispetto delle leggi, dei regolamenti vigenti e della corretta pratica commerciale</w:t>
      </w:r>
    </w:p>
    <w:p w14:paraId="7D6A17A1" w14:textId="78385167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i rapporti con la PA 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o con privati, </w:t>
      </w:r>
      <w:r w:rsidRPr="00C71A53">
        <w:rPr>
          <w:rFonts w:asciiTheme="majorHAnsi" w:hAnsiTheme="majorHAnsi" w:cstheme="majorHAnsi"/>
          <w:bCs/>
          <w:sz w:val="18"/>
          <w:szCs w:val="18"/>
        </w:rPr>
        <w:t>per fini commerciali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>,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siano intrattenuti esclusivamente da soggetti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preventivamente identificati e autorizzati dalla Società e muniti di idonei poteri;</w:t>
      </w:r>
    </w:p>
    <w:p w14:paraId="70AAB006" w14:textId="13A477EA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i soggetti autorizzati riportino 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al responsabile gerarchico e funzionale, 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gli incontri 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e gli elementi chiave emersi durante gli incontri </w:t>
      </w:r>
      <w:r w:rsidRPr="00C71A53">
        <w:rPr>
          <w:rFonts w:asciiTheme="majorHAnsi" w:hAnsiTheme="majorHAnsi" w:cstheme="majorHAnsi"/>
          <w:bCs/>
          <w:sz w:val="18"/>
          <w:szCs w:val="18"/>
        </w:rPr>
        <w:t>intrattenuti con rappresentati della PA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 o privati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;  </w:t>
      </w:r>
    </w:p>
    <w:p w14:paraId="2ED2D096" w14:textId="786016F1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lastRenderedPageBreak/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identificare, ad opera del responsabile interno per l’attuazione dell’operazione, gli strumenti più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adeguati </w:t>
      </w:r>
      <w:proofErr w:type="gramStart"/>
      <w:r w:rsidRPr="00C71A53">
        <w:rPr>
          <w:rFonts w:asciiTheme="majorHAnsi" w:hAnsiTheme="majorHAnsi" w:cstheme="majorHAnsi"/>
          <w:bCs/>
          <w:sz w:val="18"/>
          <w:szCs w:val="18"/>
        </w:rPr>
        <w:t>per</w:t>
      </w:r>
      <w:proofErr w:type="gram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i rapporti tenuti dalla propria funzione con la PA</w:t>
      </w:r>
      <w:r w:rsidR="00C71A53">
        <w:rPr>
          <w:rFonts w:asciiTheme="majorHAnsi" w:hAnsiTheme="majorHAnsi" w:cstheme="majorHAnsi"/>
          <w:bCs/>
          <w:sz w:val="18"/>
          <w:szCs w:val="18"/>
        </w:rPr>
        <w:t xml:space="preserve"> o con privati,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siano sempre trasparenti,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documentati e verificabili, nel rispetto delle leggi e dei regolamenti vigenti, nonché della corretta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pratica commerciale;</w:t>
      </w:r>
    </w:p>
    <w:p w14:paraId="317578F8" w14:textId="7477BE24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che qualsiasi impegno contrattuale che genera diritti e/o obblighi in capo alla Società, sia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firmato dal rappresentante legale d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ell’Organizzazione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o da suo delegato o da persona autorizzata attraverso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procura aziendale a prescindere dalla natura, durata o costo dell’operazione.</w:t>
      </w:r>
    </w:p>
    <w:p w14:paraId="6F27B900" w14:textId="69725CF8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nel caso in cui siano riscontrate differenze tra gli ordini ed i dati inseriti nel sistema informativo,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garantire il blocco a sistema del relativo ordine;</w:t>
      </w:r>
    </w:p>
    <w:p w14:paraId="0C01950A" w14:textId="3B3D4E16" w:rsidR="006E470A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comunicare, senza ritardo, al proprio responsabile gerarchico o al management della Società e,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contestualmente, all’Organismo di Vigilanza eventuali comportamenti posti in essere da quanti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operano per la controparte, rivolti ad ottenere favori, elargizioni illecite</w:t>
      </w:r>
      <w:r w:rsidR="00BB3C8C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di danaro od altre utilità,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anche nei confronti dei terzi, nonché qualunque criticità o conflitto di interesse sorga nell’ambito del</w:t>
      </w:r>
      <w:r w:rsidR="00496935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rapporto.</w:t>
      </w:r>
    </w:p>
    <w:p w14:paraId="4CB67242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che i soggetti autorizzati riportino gli incontri intrattenuti con rappresentati della controparte e gli elementi chiave emersi durante gli incontri al responsabile gerarchico e funzionale;  </w:t>
      </w:r>
    </w:p>
    <w:p w14:paraId="0E4A2D5D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il rispetto delle regole e procedure aziendali in materia di interazioni con la controparte e presidi anticorruzione;</w:t>
      </w:r>
    </w:p>
    <w:p w14:paraId="4EBB0507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tutti gli atti, le richieste, le comunicazioni formali che hanno con la controparte siano predisposti dalle persone competenti in materia e preventivamente autorizzati e successivamente sottoscritti secondo quanto previsto dalle deleghe interne, dalle procure e dalle procedure aziendali;</w:t>
      </w:r>
    </w:p>
    <w:p w14:paraId="77BCB8E1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che il responsabile interno per l’attuazione dell’operazione identifichi gli strumenti più adeguati </w:t>
      </w:r>
      <w:proofErr w:type="gramStart"/>
      <w:r w:rsidRPr="00C71A53">
        <w:rPr>
          <w:rFonts w:asciiTheme="majorHAnsi" w:hAnsiTheme="majorHAnsi" w:cstheme="majorHAnsi"/>
          <w:bCs/>
          <w:sz w:val="18"/>
          <w:szCs w:val="18"/>
        </w:rPr>
        <w:t>per</w:t>
      </w:r>
      <w:proofErr w:type="gram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i rapporti tenuti dalla propria funzione con la controparte siano sempre trasparenti, documentati e verificabili, nel rispetto delle leggi e dei regolamenti vigenti, nonché della corretta pratica commerciale;</w:t>
      </w:r>
    </w:p>
    <w:p w14:paraId="1E0D79B0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che il responsabile interno dell’attività sensibile </w:t>
      </w:r>
      <w:proofErr w:type="gramStart"/>
      <w:r w:rsidRPr="00C71A53">
        <w:rPr>
          <w:rFonts w:asciiTheme="majorHAnsi" w:hAnsiTheme="majorHAnsi" w:cstheme="majorHAnsi"/>
          <w:bCs/>
          <w:sz w:val="18"/>
          <w:szCs w:val="18"/>
        </w:rPr>
        <w:t>ponga in essere</w:t>
      </w:r>
      <w:proofErr w:type="gram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dei controlli, diretti e indiretti, atti a garantire la correttezza, la veridicità e l’aggiornamento del dato o informazione che riguarda la Società e che deve essere comunicato alla controparte;</w:t>
      </w:r>
    </w:p>
    <w:p w14:paraId="060228C9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provvedere agli obblighi di trasmissione alle Autorità competenti dei dati e documenti previsti dalla normativa di riferimento ovvero specificamente richiesti dalle suddette Autorità;</w:t>
      </w:r>
    </w:p>
    <w:p w14:paraId="1BE36450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comunicare tempestivamente alla Pubblica Amministrazione ogni variazione significativa che potrebbe avere impatto sull’ottenimento, rinnovo o mantenimento di autorizzazioni, licenze, </w:t>
      </w:r>
      <w:proofErr w:type="spellStart"/>
      <w:r w:rsidRPr="00C71A53">
        <w:rPr>
          <w:rFonts w:asciiTheme="majorHAnsi" w:hAnsiTheme="majorHAnsi" w:cstheme="majorHAnsi"/>
          <w:bCs/>
          <w:sz w:val="18"/>
          <w:szCs w:val="18"/>
        </w:rPr>
        <w:t>ecc</w:t>
      </w:r>
      <w:proofErr w:type="spellEnd"/>
      <w:r w:rsidRPr="00C71A53">
        <w:rPr>
          <w:rFonts w:asciiTheme="majorHAnsi" w:hAnsiTheme="majorHAnsi" w:cstheme="majorHAnsi"/>
          <w:bCs/>
          <w:sz w:val="18"/>
          <w:szCs w:val="18"/>
        </w:rPr>
        <w:t>;</w:t>
      </w:r>
    </w:p>
    <w:p w14:paraId="7D8C1ADD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garantire la corretta gestione ed archiviazione delle segnalazioni degli eventi avversi in conformità a quanto stabilito dalla normativa e dalle regole di riferimento;</w:t>
      </w:r>
    </w:p>
    <w:p w14:paraId="02EF8D45" w14:textId="2BA85CF4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prevedere specifiche sessioni formative </w:t>
      </w:r>
      <w:r w:rsidR="00A23614">
        <w:rPr>
          <w:rFonts w:asciiTheme="majorHAnsi" w:hAnsiTheme="majorHAnsi" w:cstheme="majorHAnsi"/>
          <w:bCs/>
          <w:sz w:val="18"/>
          <w:szCs w:val="18"/>
        </w:rPr>
        <w:t>del</w:t>
      </w:r>
      <w:r>
        <w:rPr>
          <w:rFonts w:asciiTheme="majorHAnsi" w:hAnsiTheme="majorHAnsi" w:cstheme="majorHAnsi"/>
          <w:bCs/>
          <w:sz w:val="18"/>
          <w:szCs w:val="18"/>
        </w:rPr>
        <w:t xml:space="preserve"> presente protocollo </w:t>
      </w:r>
      <w:r w:rsidRPr="00C71A53">
        <w:rPr>
          <w:rFonts w:asciiTheme="majorHAnsi" w:hAnsiTheme="majorHAnsi" w:cstheme="majorHAnsi"/>
          <w:bCs/>
          <w:sz w:val="18"/>
          <w:szCs w:val="18"/>
        </w:rPr>
        <w:t>in favore di tutto il personale dipendente</w:t>
      </w:r>
      <w:r>
        <w:rPr>
          <w:rFonts w:asciiTheme="majorHAnsi" w:hAnsiTheme="majorHAnsi" w:cstheme="majorHAnsi"/>
          <w:bCs/>
          <w:sz w:val="18"/>
          <w:szCs w:val="18"/>
        </w:rPr>
        <w:t xml:space="preserve"> coinvolto nella sua applicazione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e garantire la tracciabilità delle attività di training;</w:t>
      </w:r>
    </w:p>
    <w:p w14:paraId="3B0B42A5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ove si faccia ricorso a terze parti, garantire che le stesse siano soggette a processo di qualifica e che i rapporti con le stesse siano formalizzati tramite contratti scritti tra le parti contenenti clausole che specifichino:</w:t>
      </w:r>
    </w:p>
    <w:p w14:paraId="3A087EB9" w14:textId="0710B3B3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>- che la terza parte dichiari di rispettare i principi di cui al D.lgs. 231/2001, nonché di attenersi ai principi del Codice Etico</w:t>
      </w:r>
      <w:r w:rsidR="00A23614">
        <w:rPr>
          <w:rFonts w:asciiTheme="majorHAnsi" w:hAnsiTheme="majorHAnsi" w:cstheme="majorHAnsi"/>
          <w:bCs/>
          <w:sz w:val="18"/>
          <w:szCs w:val="18"/>
        </w:rPr>
        <w:t>;</w:t>
      </w:r>
    </w:p>
    <w:p w14:paraId="72F25453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>- che la terza parte dichiari di aver posto in essere tutti i necessari adempimenti e cautele finalizzati alla prevenzione dei reati sopra indicati, avendo dotato – ove possibile – la propria struttura aziendale di procedure interne e di sistemi del tutto adeguati a tale prevenzione;</w:t>
      </w:r>
    </w:p>
    <w:p w14:paraId="5599DB2E" w14:textId="7777777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Theme="majorHAnsi" w:hAnsiTheme="majorHAnsi" w:cstheme="majorHAnsi"/>
          <w:bCs/>
          <w:sz w:val="18"/>
          <w:szCs w:val="18"/>
        </w:rPr>
        <w:t>- che la non veridicità delle suddette dichiarazioni potrebbe costituire causa di risoluzione del contratto ai sensi dell’art. 1456 c.c.;</w:t>
      </w:r>
    </w:p>
    <w:p w14:paraId="0A7A4443" w14:textId="1E43C767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assicurare che la selezione delle terze parti avvenga nel rispetto di quanto disciplinato nella sezione </w:t>
      </w:r>
      <w:hyperlink r:id="rId11" w:history="1">
        <w:r w:rsidR="002726C2">
          <w:rPr>
            <w:rStyle w:val="Collegamentoipertestuale"/>
            <w:rFonts w:asciiTheme="majorHAnsi" w:hAnsiTheme="majorHAnsi" w:cstheme="majorHAnsi"/>
            <w:bCs/>
            <w:sz w:val="18"/>
            <w:szCs w:val="18"/>
          </w:rPr>
          <w:t>8\8.4\QUALIFICAZIONE DEI FORNITORI.docx</w:t>
        </w:r>
      </w:hyperlink>
      <w:r w:rsidRPr="00C71A53">
        <w:rPr>
          <w:rFonts w:asciiTheme="majorHAnsi" w:hAnsiTheme="majorHAnsi" w:cstheme="majorHAnsi"/>
          <w:bCs/>
          <w:sz w:val="18"/>
          <w:szCs w:val="18"/>
        </w:rPr>
        <w:t>;</w:t>
      </w:r>
    </w:p>
    <w:p w14:paraId="0F997BEF" w14:textId="4CF9A454" w:rsidR="00216473" w:rsidRPr="00C71A53" w:rsidRDefault="00216473" w:rsidP="0021647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assicurarsi che tali terze parti siano dotate di apposite procure che le autorizzino ad interfacciarsi e rappresentare la Società nei rapporti diretti con </w:t>
      </w:r>
      <w:r w:rsidR="002B1E5B">
        <w:rPr>
          <w:rFonts w:asciiTheme="majorHAnsi" w:hAnsiTheme="majorHAnsi" w:cstheme="majorHAnsi"/>
          <w:bCs/>
          <w:sz w:val="18"/>
          <w:szCs w:val="18"/>
        </w:rPr>
        <w:t>L’Organizzazione</w:t>
      </w:r>
      <w:r w:rsidRPr="00C71A53">
        <w:rPr>
          <w:rFonts w:asciiTheme="majorHAnsi" w:hAnsiTheme="majorHAnsi" w:cstheme="majorHAnsi"/>
          <w:bCs/>
          <w:sz w:val="18"/>
          <w:szCs w:val="18"/>
        </w:rPr>
        <w:t>, con la Pubblica Amministrazione o con qualsiasi altro “socio in affari”;</w:t>
      </w:r>
    </w:p>
    <w:p w14:paraId="4C55E86E" w14:textId="7E1BB9B2" w:rsidR="00FB7812" w:rsidRPr="00C71A53" w:rsidRDefault="00FB7812" w:rsidP="00C71A53">
      <w:pPr>
        <w:pStyle w:val="Titolo2"/>
        <w:numPr>
          <w:ilvl w:val="1"/>
          <w:numId w:val="17"/>
        </w:numPr>
        <w:jc w:val="both"/>
        <w:rPr>
          <w:rFonts w:asciiTheme="majorHAnsi" w:hAnsiTheme="majorHAnsi" w:cstheme="majorHAnsi"/>
          <w:color w:val="0000FF"/>
          <w:sz w:val="18"/>
          <w:szCs w:val="18"/>
        </w:rPr>
      </w:pPr>
      <w:bookmarkStart w:id="5" w:name="_Toc86064394"/>
      <w:r w:rsidRPr="00C71A53">
        <w:rPr>
          <w:rFonts w:asciiTheme="majorHAnsi" w:hAnsiTheme="majorHAnsi" w:cstheme="majorHAnsi"/>
          <w:color w:val="0000FF"/>
          <w:sz w:val="18"/>
          <w:szCs w:val="18"/>
        </w:rPr>
        <w:t>Divieti</w:t>
      </w:r>
      <w:bookmarkEnd w:id="5"/>
    </w:p>
    <w:p w14:paraId="33BF4EA4" w14:textId="77777777" w:rsidR="006E470A" w:rsidRPr="00C71A53" w:rsidRDefault="006E470A" w:rsidP="00C71A53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71A53">
        <w:rPr>
          <w:rFonts w:asciiTheme="majorHAnsi" w:hAnsiTheme="majorHAnsi" w:cstheme="majorHAnsi"/>
          <w:b/>
          <w:sz w:val="18"/>
          <w:szCs w:val="18"/>
        </w:rPr>
        <w:t>Nell’ambito dei citati comportamenti è fatto divieto di:</w:t>
      </w:r>
    </w:p>
    <w:p w14:paraId="2554387E" w14:textId="77777777" w:rsidR="00496935" w:rsidRPr="00C71A53" w:rsidRDefault="00496935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04F0E159" w14:textId="34185A7D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effettuare promesse o indebite elargizioni di denaro o </w:t>
      </w:r>
      <w:proofErr w:type="spellStart"/>
      <w:r w:rsidRPr="00C71A53">
        <w:rPr>
          <w:rFonts w:asciiTheme="majorHAnsi" w:hAnsiTheme="majorHAnsi" w:cstheme="majorHAnsi"/>
          <w:bCs/>
          <w:sz w:val="18"/>
          <w:szCs w:val="18"/>
        </w:rPr>
        <w:t>altra</w:t>
      </w:r>
      <w:proofErr w:type="spellEnd"/>
      <w:r w:rsidRPr="00C71A53">
        <w:rPr>
          <w:rFonts w:asciiTheme="majorHAnsi" w:hAnsiTheme="majorHAnsi" w:cstheme="majorHAnsi"/>
          <w:bCs/>
          <w:sz w:val="18"/>
          <w:szCs w:val="18"/>
        </w:rPr>
        <w:t xml:space="preserve"> utilità (a titolo esemplificativo: assunzioni,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conferimenti di incarichi di natura professionale, commerciale o tecnica) a pubblici funzionari,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incaricati di pubblico servizio, soggetti privati o persone a questi ultimi vicini;</w:t>
      </w:r>
    </w:p>
    <w:p w14:paraId="177A33B5" w14:textId="62BF1778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effettuare prestazioni o pagamenti in favore di agenti, distributori o altri soggetti terzi che operino per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conto della Società nell’ambito delle attività disciplinate dal presente protocollo, che non trovino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adeguata giustificazione nel contesto del rapporto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contrattuale costituito con gli stessi;</w:t>
      </w:r>
    </w:p>
    <w:p w14:paraId="461E6851" w14:textId="15344C95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presentare offerte non sottoposte all’iter approvativo previsto dalle procedure aziendali;</w:t>
      </w:r>
    </w:p>
    <w:p w14:paraId="4101B7A5" w14:textId="50B6042E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stipulare contratti con condizioni stabilite secondo parametri non oggettivi e/o in violazione di quanto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previsto dalle procedure aziendali;</w:t>
      </w:r>
    </w:p>
    <w:p w14:paraId="6067DF3C" w14:textId="1E9AF7A7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presentare dichiarazioni non veritiere esibendo documenti in tutto o in parte non corrispondenti alla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C71A53">
        <w:rPr>
          <w:rFonts w:asciiTheme="majorHAnsi" w:hAnsiTheme="majorHAnsi" w:cstheme="majorHAnsi"/>
          <w:bCs/>
          <w:sz w:val="18"/>
          <w:szCs w:val="18"/>
        </w:rPr>
        <w:t>realtà od omettendo l'esibizione di documenti veri;</w:t>
      </w:r>
    </w:p>
    <w:p w14:paraId="04F45688" w14:textId="6CDD3F03" w:rsidR="006E470A" w:rsidRPr="00C71A53" w:rsidRDefault="006E470A" w:rsidP="00C71A53">
      <w:pPr>
        <w:jc w:val="both"/>
        <w:rPr>
          <w:rFonts w:asciiTheme="majorHAnsi" w:hAnsiTheme="majorHAnsi" w:cstheme="majorHAnsi"/>
          <w:bCs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tenere condotte ingannevoli nei confronti della Pubblica Amministrazione.</w:t>
      </w:r>
    </w:p>
    <w:p w14:paraId="05F1489C" w14:textId="34C6F8DA" w:rsidR="004E2A22" w:rsidRPr="004E2A22" w:rsidRDefault="0074235C" w:rsidP="008D7F1C">
      <w:pPr>
        <w:jc w:val="both"/>
        <w:rPr>
          <w:rFonts w:asciiTheme="majorHAnsi" w:hAnsiTheme="majorHAnsi" w:cstheme="majorHAnsi"/>
          <w:sz w:val="18"/>
          <w:szCs w:val="18"/>
        </w:rPr>
      </w:pPr>
      <w:r w:rsidRPr="00C71A53">
        <w:rPr>
          <w:rFonts w:ascii="Arial" w:hAnsi="Arial" w:cs="Arial"/>
          <w:bCs/>
          <w:sz w:val="18"/>
          <w:szCs w:val="18"/>
        </w:rPr>
        <w:t>►</w:t>
      </w:r>
      <w:r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garantire la completa e corretta archiviazione, a cura delle funzioni coinvolte, della documentazione</w:t>
      </w:r>
      <w:r w:rsidR="00FB7812" w:rsidRPr="00C71A53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F16B9E" w:rsidRPr="00C71A53">
        <w:rPr>
          <w:rFonts w:asciiTheme="majorHAnsi" w:hAnsiTheme="majorHAnsi" w:cstheme="majorHAnsi"/>
          <w:bCs/>
          <w:sz w:val="18"/>
          <w:szCs w:val="18"/>
        </w:rPr>
        <w:t>prodotta nell’ambito dei succitati processi;</w:t>
      </w:r>
      <w:r w:rsidR="004E2A22">
        <w:rPr>
          <w:rFonts w:asciiTheme="majorHAnsi" w:hAnsiTheme="majorHAnsi" w:cstheme="majorHAnsi"/>
          <w:sz w:val="18"/>
          <w:szCs w:val="18"/>
        </w:rPr>
        <w:tab/>
      </w:r>
    </w:p>
    <w:sectPr w:rsidR="004E2A22" w:rsidRPr="004E2A22" w:rsidSect="008D7F1C">
      <w:headerReference w:type="default" r:id="rId12"/>
      <w:pgSz w:w="11906" w:h="16838" w:code="9"/>
      <w:pgMar w:top="1202" w:right="1134" w:bottom="1134" w:left="1134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F28ED" w14:textId="77777777" w:rsidR="00877CEC" w:rsidRDefault="00877CEC">
      <w:r>
        <w:separator/>
      </w:r>
    </w:p>
  </w:endnote>
  <w:endnote w:type="continuationSeparator" w:id="0">
    <w:p w14:paraId="0F8F467B" w14:textId="77777777" w:rsidR="00877CEC" w:rsidRDefault="00877CEC">
      <w:r>
        <w:continuationSeparator/>
      </w:r>
    </w:p>
  </w:endnote>
  <w:endnote w:type="continuationNotice" w:id="1">
    <w:p w14:paraId="4CE22355" w14:textId="77777777" w:rsidR="00877CEC" w:rsidRDefault="00877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0670A" w14:textId="77777777" w:rsidR="00877CEC" w:rsidRDefault="00877CEC">
      <w:r>
        <w:separator/>
      </w:r>
    </w:p>
  </w:footnote>
  <w:footnote w:type="continuationSeparator" w:id="0">
    <w:p w14:paraId="2A67D9EC" w14:textId="77777777" w:rsidR="00877CEC" w:rsidRDefault="00877CEC">
      <w:r>
        <w:continuationSeparator/>
      </w:r>
    </w:p>
  </w:footnote>
  <w:footnote w:type="continuationNotice" w:id="1">
    <w:p w14:paraId="7F44CF74" w14:textId="77777777" w:rsidR="00877CEC" w:rsidRDefault="00877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49"/>
      <w:gridCol w:w="5548"/>
      <w:gridCol w:w="1631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66250419" w:rsidR="005A7E75" w:rsidRDefault="005A7E75">
          <w:pPr>
            <w:pStyle w:val="Intestazione"/>
          </w:pP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4766738D" w:rsidR="005A7E75" w:rsidRPr="009F1378" w:rsidRDefault="00AE1A3B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r>
            <w:rPr>
              <w:b/>
              <w:bCs/>
              <w:color w:val="0000FF"/>
              <w:sz w:val="18"/>
              <w:szCs w:val="18"/>
            </w:rPr>
            <w:t>PROCESSO COMMERCIALE</w:t>
          </w:r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3F4B21BE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5A7E75" w:rsidRDefault="005A7E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57630679">
    <w:abstractNumId w:val="6"/>
  </w:num>
  <w:num w:numId="2" w16cid:durableId="1551184941">
    <w:abstractNumId w:val="4"/>
  </w:num>
  <w:num w:numId="3" w16cid:durableId="950625474">
    <w:abstractNumId w:val="5"/>
  </w:num>
  <w:num w:numId="4" w16cid:durableId="1630164273">
    <w:abstractNumId w:val="7"/>
  </w:num>
  <w:num w:numId="5" w16cid:durableId="1907640746">
    <w:abstractNumId w:val="3"/>
  </w:num>
  <w:num w:numId="6" w16cid:durableId="1452047636">
    <w:abstractNumId w:val="0"/>
  </w:num>
  <w:num w:numId="7" w16cid:durableId="1781945580">
    <w:abstractNumId w:val="1"/>
  </w:num>
  <w:num w:numId="8" w16cid:durableId="2039577577">
    <w:abstractNumId w:val="6"/>
  </w:num>
  <w:num w:numId="9" w16cid:durableId="1587154356">
    <w:abstractNumId w:val="6"/>
  </w:num>
  <w:num w:numId="10" w16cid:durableId="581449868">
    <w:abstractNumId w:val="2"/>
  </w:num>
  <w:num w:numId="11" w16cid:durableId="18516772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448387">
    <w:abstractNumId w:val="6"/>
  </w:num>
  <w:num w:numId="13" w16cid:durableId="1854419371">
    <w:abstractNumId w:val="6"/>
  </w:num>
  <w:num w:numId="14" w16cid:durableId="1849903811">
    <w:abstractNumId w:val="6"/>
  </w:num>
  <w:num w:numId="15" w16cid:durableId="88483206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8222127">
    <w:abstractNumId w:val="6"/>
  </w:num>
  <w:num w:numId="17" w16cid:durableId="152104590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4098"/>
    <w:rsid w:val="0003668B"/>
    <w:rsid w:val="00041A9A"/>
    <w:rsid w:val="00056EB3"/>
    <w:rsid w:val="00060287"/>
    <w:rsid w:val="00063132"/>
    <w:rsid w:val="0006501A"/>
    <w:rsid w:val="00095226"/>
    <w:rsid w:val="000B0363"/>
    <w:rsid w:val="000B19D8"/>
    <w:rsid w:val="000B1FFC"/>
    <w:rsid w:val="000C0508"/>
    <w:rsid w:val="000F5AC8"/>
    <w:rsid w:val="001060BC"/>
    <w:rsid w:val="00137976"/>
    <w:rsid w:val="001464BC"/>
    <w:rsid w:val="0015096C"/>
    <w:rsid w:val="00157652"/>
    <w:rsid w:val="0015768E"/>
    <w:rsid w:val="00173375"/>
    <w:rsid w:val="001909E9"/>
    <w:rsid w:val="001B7D69"/>
    <w:rsid w:val="001C03F9"/>
    <w:rsid w:val="001D24A1"/>
    <w:rsid w:val="001E7840"/>
    <w:rsid w:val="0020450B"/>
    <w:rsid w:val="00216473"/>
    <w:rsid w:val="002228A2"/>
    <w:rsid w:val="00230AF5"/>
    <w:rsid w:val="00237A5F"/>
    <w:rsid w:val="00261C6B"/>
    <w:rsid w:val="00263D75"/>
    <w:rsid w:val="00265741"/>
    <w:rsid w:val="00265B4A"/>
    <w:rsid w:val="002726C2"/>
    <w:rsid w:val="00281BFC"/>
    <w:rsid w:val="002864F7"/>
    <w:rsid w:val="00293691"/>
    <w:rsid w:val="0029765F"/>
    <w:rsid w:val="002B1E5B"/>
    <w:rsid w:val="002C1051"/>
    <w:rsid w:val="002C506F"/>
    <w:rsid w:val="002F3F1F"/>
    <w:rsid w:val="002F4574"/>
    <w:rsid w:val="0030384D"/>
    <w:rsid w:val="00304BB8"/>
    <w:rsid w:val="00334EF9"/>
    <w:rsid w:val="00335C34"/>
    <w:rsid w:val="00375971"/>
    <w:rsid w:val="00380007"/>
    <w:rsid w:val="00386590"/>
    <w:rsid w:val="00386817"/>
    <w:rsid w:val="0038793E"/>
    <w:rsid w:val="00390F14"/>
    <w:rsid w:val="003932D9"/>
    <w:rsid w:val="003A3BCC"/>
    <w:rsid w:val="003A79D6"/>
    <w:rsid w:val="003B18FD"/>
    <w:rsid w:val="003B551F"/>
    <w:rsid w:val="003B5C71"/>
    <w:rsid w:val="003C34E6"/>
    <w:rsid w:val="003E5F5C"/>
    <w:rsid w:val="004219ED"/>
    <w:rsid w:val="00431981"/>
    <w:rsid w:val="0043478F"/>
    <w:rsid w:val="00451327"/>
    <w:rsid w:val="00456E78"/>
    <w:rsid w:val="004867FC"/>
    <w:rsid w:val="00491747"/>
    <w:rsid w:val="00496935"/>
    <w:rsid w:val="00497DFE"/>
    <w:rsid w:val="004A4E88"/>
    <w:rsid w:val="004B2323"/>
    <w:rsid w:val="004E2A22"/>
    <w:rsid w:val="00501783"/>
    <w:rsid w:val="005366D9"/>
    <w:rsid w:val="00544BAB"/>
    <w:rsid w:val="005619BA"/>
    <w:rsid w:val="005656BD"/>
    <w:rsid w:val="00573AF6"/>
    <w:rsid w:val="00587E76"/>
    <w:rsid w:val="005919AF"/>
    <w:rsid w:val="005A4511"/>
    <w:rsid w:val="005A7E75"/>
    <w:rsid w:val="005B76FE"/>
    <w:rsid w:val="005C2495"/>
    <w:rsid w:val="005D195F"/>
    <w:rsid w:val="005D709E"/>
    <w:rsid w:val="006022DB"/>
    <w:rsid w:val="00617BCD"/>
    <w:rsid w:val="0063115F"/>
    <w:rsid w:val="0064751F"/>
    <w:rsid w:val="00683DFD"/>
    <w:rsid w:val="00684D02"/>
    <w:rsid w:val="006934EF"/>
    <w:rsid w:val="006A28C0"/>
    <w:rsid w:val="006B2A4D"/>
    <w:rsid w:val="006D1404"/>
    <w:rsid w:val="006E470A"/>
    <w:rsid w:val="006E6B26"/>
    <w:rsid w:val="00703809"/>
    <w:rsid w:val="00704C48"/>
    <w:rsid w:val="00733CAC"/>
    <w:rsid w:val="00741248"/>
    <w:rsid w:val="0074235C"/>
    <w:rsid w:val="0075197D"/>
    <w:rsid w:val="00782540"/>
    <w:rsid w:val="0078792E"/>
    <w:rsid w:val="007958DB"/>
    <w:rsid w:val="007B5284"/>
    <w:rsid w:val="007C11D0"/>
    <w:rsid w:val="007C186F"/>
    <w:rsid w:val="007C1E2F"/>
    <w:rsid w:val="007C2CC4"/>
    <w:rsid w:val="0080237B"/>
    <w:rsid w:val="00825AF6"/>
    <w:rsid w:val="008332ED"/>
    <w:rsid w:val="00877CEC"/>
    <w:rsid w:val="008933FF"/>
    <w:rsid w:val="0089437D"/>
    <w:rsid w:val="008D1028"/>
    <w:rsid w:val="008D43AE"/>
    <w:rsid w:val="008D7F1C"/>
    <w:rsid w:val="008E07B7"/>
    <w:rsid w:val="008E7191"/>
    <w:rsid w:val="008F09EA"/>
    <w:rsid w:val="00953A23"/>
    <w:rsid w:val="00964FA1"/>
    <w:rsid w:val="00991D40"/>
    <w:rsid w:val="009A59D6"/>
    <w:rsid w:val="009B08C5"/>
    <w:rsid w:val="009B6388"/>
    <w:rsid w:val="009C5DFA"/>
    <w:rsid w:val="009D0A67"/>
    <w:rsid w:val="009E2F96"/>
    <w:rsid w:val="009E771F"/>
    <w:rsid w:val="009F1378"/>
    <w:rsid w:val="009F275A"/>
    <w:rsid w:val="00A04C58"/>
    <w:rsid w:val="00A05379"/>
    <w:rsid w:val="00A11ED1"/>
    <w:rsid w:val="00A20443"/>
    <w:rsid w:val="00A23614"/>
    <w:rsid w:val="00A2374D"/>
    <w:rsid w:val="00A30CA3"/>
    <w:rsid w:val="00A33790"/>
    <w:rsid w:val="00A40564"/>
    <w:rsid w:val="00A45A7B"/>
    <w:rsid w:val="00A66BEB"/>
    <w:rsid w:val="00A820D2"/>
    <w:rsid w:val="00AA0D61"/>
    <w:rsid w:val="00AB13FD"/>
    <w:rsid w:val="00AB1556"/>
    <w:rsid w:val="00AC1EE3"/>
    <w:rsid w:val="00AC78C7"/>
    <w:rsid w:val="00AD2557"/>
    <w:rsid w:val="00AD4562"/>
    <w:rsid w:val="00AD66EE"/>
    <w:rsid w:val="00AE1A3B"/>
    <w:rsid w:val="00B07B58"/>
    <w:rsid w:val="00B15D34"/>
    <w:rsid w:val="00B22B1B"/>
    <w:rsid w:val="00B247EB"/>
    <w:rsid w:val="00B34D58"/>
    <w:rsid w:val="00B6595F"/>
    <w:rsid w:val="00B73135"/>
    <w:rsid w:val="00B8291C"/>
    <w:rsid w:val="00B842A5"/>
    <w:rsid w:val="00BA1456"/>
    <w:rsid w:val="00BB3C8C"/>
    <w:rsid w:val="00BB3EB6"/>
    <w:rsid w:val="00BC045D"/>
    <w:rsid w:val="00BC411B"/>
    <w:rsid w:val="00BF0A4C"/>
    <w:rsid w:val="00BF3274"/>
    <w:rsid w:val="00BF40C1"/>
    <w:rsid w:val="00C04519"/>
    <w:rsid w:val="00C10FA2"/>
    <w:rsid w:val="00C21AE2"/>
    <w:rsid w:val="00C30AD3"/>
    <w:rsid w:val="00C40B08"/>
    <w:rsid w:val="00C4422C"/>
    <w:rsid w:val="00C50F8F"/>
    <w:rsid w:val="00C531B5"/>
    <w:rsid w:val="00C63CB5"/>
    <w:rsid w:val="00C71A53"/>
    <w:rsid w:val="00C755F3"/>
    <w:rsid w:val="00C7720B"/>
    <w:rsid w:val="00C80859"/>
    <w:rsid w:val="00C93900"/>
    <w:rsid w:val="00CA1343"/>
    <w:rsid w:val="00CA3912"/>
    <w:rsid w:val="00CC4F8B"/>
    <w:rsid w:val="00CC7FEE"/>
    <w:rsid w:val="00CD2FC6"/>
    <w:rsid w:val="00D0015C"/>
    <w:rsid w:val="00D14B04"/>
    <w:rsid w:val="00D14B8F"/>
    <w:rsid w:val="00D17BD9"/>
    <w:rsid w:val="00D352CE"/>
    <w:rsid w:val="00D37FB4"/>
    <w:rsid w:val="00D41692"/>
    <w:rsid w:val="00D43BC0"/>
    <w:rsid w:val="00D46F68"/>
    <w:rsid w:val="00D62B41"/>
    <w:rsid w:val="00D637DB"/>
    <w:rsid w:val="00D7294D"/>
    <w:rsid w:val="00D74390"/>
    <w:rsid w:val="00D75BDB"/>
    <w:rsid w:val="00D851DB"/>
    <w:rsid w:val="00DD0B53"/>
    <w:rsid w:val="00E1661F"/>
    <w:rsid w:val="00E175B8"/>
    <w:rsid w:val="00E3164E"/>
    <w:rsid w:val="00E36169"/>
    <w:rsid w:val="00E5101D"/>
    <w:rsid w:val="00E52F7D"/>
    <w:rsid w:val="00EA572F"/>
    <w:rsid w:val="00EB25DE"/>
    <w:rsid w:val="00EC03C0"/>
    <w:rsid w:val="00EE545B"/>
    <w:rsid w:val="00EF55DC"/>
    <w:rsid w:val="00F00971"/>
    <w:rsid w:val="00F06F99"/>
    <w:rsid w:val="00F16B9E"/>
    <w:rsid w:val="00F24A64"/>
    <w:rsid w:val="00F5633E"/>
    <w:rsid w:val="00F622EB"/>
    <w:rsid w:val="00F77A20"/>
    <w:rsid w:val="00F8693E"/>
    <w:rsid w:val="00FA13CA"/>
    <w:rsid w:val="00FB7812"/>
    <w:rsid w:val="00FC2092"/>
    <w:rsid w:val="00FD11D1"/>
    <w:rsid w:val="00FD25D4"/>
    <w:rsid w:val="00FE23D8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C89F08"/>
  <w15:chartTrackingRefBased/>
  <w15:docId w15:val="{EE066AAE-8338-4259-8E54-95FCD073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H:\Il%20mio%20Drive\SGI%20MODELLO\8\8.4\QUALIFICAZIONE%20DEI%20FORNITORI.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3B479A-1A52-4BAF-BEAE-EC45F50EDF58}">
  <ds:schemaRefs>
    <ds:schemaRef ds:uri="http://schemas.microsoft.com/office/2006/documentManagement/types"/>
    <ds:schemaRef ds:uri="9b8893ad-3d69-41de-b649-d1bd51973bb4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970dbe7f-c47a-49d3-a462-e49c963d10d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9C89275-2104-4E79-A89B-44B89A5A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1467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Base>X</HyperlinkBase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FP@francopiermartini.onmicrosoft.com</dc:creator>
  <cp:keywords/>
  <cp:lastModifiedBy>Franco Piermartini</cp:lastModifiedBy>
  <cp:revision>3</cp:revision>
  <dcterms:created xsi:type="dcterms:W3CDTF">2021-03-23T14:03:00Z</dcterms:created>
  <dcterms:modified xsi:type="dcterms:W3CDTF">2024-08-07T07:39:00Z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