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3B"/>
          <w:sz w:val="40"/>
          <w:szCs w:val="40"/>
        </w:rPr>
        <w:t xml:space="preserve">GreenBite — Informe de Persistencia de Datos</w:t>
      </w:r>
    </w:p>
    <w:p>
      <w:pPr>
        <w:spacing w:after="200"/>
      </w:pPr>
      <w:r>
        <w:rPr>
          <w:color w:val="808080"/>
          <w:sz w:val="18"/>
          <w:szCs w:val="18"/>
        </w:rPr>
        <w:t xml:space="preserve">Desarrollo Fullstack III · Evaluación Parcial N°3</w:t>
      </w:r>
    </w:p>
    <w:p>
      <w:pPr>
        <w:pBdr>
          <w:bottom w:val="single" w:color="1F5C3B" w:sz="12" w:space="1"/>
        </w:pBdr>
        <w:spacing w:after="160"/>
      </w:pPr>
    </w:p>
    <w:p>
      <w:pPr>
        <w:pStyle w:val="Heading1"/>
      </w:pPr>
      <w:r>
        <w:t xml:space="preserve">1. Estrategia de persistencia: Database per Service</w:t>
      </w:r>
    </w:p>
    <w:p>
      <w:pPr>
        <w:spacing w:after="120"/>
      </w:pPr>
      <w:r>
        <w:t xml:space="preserve">GreenBite aplica el patrón </w:t>
      </w:r>
      <w:r>
        <w:rPr>
          <w:b/>
          <w:bCs/>
        </w:rPr>
        <w:t xml:space="preserve">Database per Service</w:t>
      </w:r>
      <w:r>
        <w:t xml:space="preserve">: cada microservicio posee su propia base de datos </w:t>
      </w:r>
      <w:r>
        <w:rPr>
          <w:b/>
          <w:bCs/>
        </w:rPr>
        <w:t xml:space="preserve">PostgreSQL</w:t>
      </w:r>
      <w:r>
        <w:t xml:space="preserve">, aislada del resto. Ningún servicio accede a la base de datos de otro; la comunicación es siempre vía API REST a través del BFF. Esto garantiza autonomía, aislamiento de fallas y evolución independiente del esquema.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Microservicio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ms-usuarios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ms-pedidos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5434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Ambas instancias se levantan con Docker Compose, cada una con su propio volumen persistente (</w:t>
      </w:r>
      <w:r>
        <w:rPr>
          <w:rFonts w:ascii="Consolas" w:cs="Consolas" w:eastAsia="Consolas" w:hAnsi="Consolas"/>
          <w:sz w:val="18"/>
          <w:szCs w:val="18"/>
        </w:rPr>
        <w:t xml:space="preserve">usuarios_data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pedidos_data</w:t>
      </w:r>
      <w:r>
        <w:t xml:space="preserve">), de modo que los datos sobreviven al reinicio de los contenedores.</w:t>
      </w:r>
    </w:p>
    <w:p>
      <w:pPr>
        <w:pStyle w:val="Heading1"/>
      </w:pPr>
      <w:r>
        <w:t xml:space="preserve">2. Tecnología: JPA / Hibernate (Spring Data JPA)</w:t>
      </w:r>
    </w:p>
    <w:p>
      <w:pPr>
        <w:spacing w:after="120"/>
      </w:pPr>
      <w:r>
        <w:t xml:space="preserve">La persistencia se implementa con </w:t>
      </w:r>
      <w:r>
        <w:rPr>
          <w:b/>
          <w:bCs/>
        </w:rPr>
        <w:t xml:space="preserve">JPA (Jakarta Persistence API)</w:t>
      </w:r>
      <w:r>
        <w:t xml:space="preserve">, usando </w:t>
      </w:r>
      <w:r>
        <w:rPr>
          <w:b/>
          <w:bCs/>
        </w:rPr>
        <w:t xml:space="preserve">Hibernate</w:t>
      </w:r>
      <w:r>
        <w:t xml:space="preserve"> como proveedor a través de </w:t>
      </w:r>
      <w:r>
        <w:rPr>
          <w:b/>
          <w:bCs/>
        </w:rPr>
        <w:t xml:space="preserve">Spring Data JPA</w:t>
      </w:r>
      <w:r>
        <w:t xml:space="preserve">. JPA es un estándar de mapeo objeto-relacional (ORM): las clases Java anotadas con </w:t>
      </w:r>
      <w:r>
        <w:rPr>
          <w:rFonts w:ascii="Consolas" w:cs="Consolas" w:eastAsia="Consolas" w:hAnsi="Consolas"/>
          <w:sz w:val="18"/>
          <w:szCs w:val="18"/>
        </w:rPr>
        <w:t xml:space="preserve">@Entity</w:t>
      </w:r>
      <w:r>
        <w:t xml:space="preserve"> se mapean a tablas y sus atributos a columnas. No se escribe SQL manual: Hibernate genera las sentencias y los repositorios derivan las consultas del nombre de sus métodos.</w:t>
      </w:r>
    </w:p>
    <w:p>
      <w:pPr>
        <w:pStyle w:val="Heading1"/>
      </w:pPr>
      <w:r>
        <w:t xml:space="preserve">3. Configuración de la conexión</w:t>
      </w:r>
    </w:p>
    <w:p>
      <w:pPr>
        <w:spacing w:after="120"/>
      </w:pPr>
      <w:r>
        <w:t xml:space="preserve">Cada microservicio define su datasource en </w:t>
      </w:r>
      <w:r>
        <w:rPr>
          <w:rFonts w:ascii="Consolas" w:cs="Consolas" w:eastAsia="Consolas" w:hAnsi="Consolas"/>
          <w:sz w:val="18"/>
          <w:szCs w:val="18"/>
        </w:rPr>
        <w:t xml:space="preserve">src/main/resources/application.properties</w:t>
      </w:r>
      <w:r>
        <w:t xml:space="preserve">. Ejemplo de ms-usuarios: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server.port=4001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spring.datasource.url=jdbc:postgresql://localhost:5433/usuarios_db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spring.datasource.username=postgres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spring.datasource.password=postgres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spring.jpa.hibernate.ddl-auto=update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spring.jpa.open-in-view=false</w:t>
      </w:r>
    </w:p>
    <w:p>
      <w:pPr>
        <w:spacing w:after="120"/>
      </w:pPr>
      <w:r>
        <w:t xml:space="preserve">El pool de conexiones (</w:t>
      </w:r>
      <w:r>
        <w:rPr>
          <w:b/>
          <w:bCs/>
        </w:rPr>
        <w:t xml:space="preserve">HikariCP</w:t>
      </w:r>
      <w:r>
        <w:t xml:space="preserve">) lo autoconfigura Spring Boot. La propiedad </w:t>
      </w:r>
      <w:r>
        <w:rPr>
          <w:rFonts w:ascii="Consolas" w:cs="Consolas" w:eastAsia="Consolas" w:hAnsi="Consolas"/>
          <w:sz w:val="18"/>
          <w:szCs w:val="18"/>
        </w:rPr>
        <w:t xml:space="preserve">ddl-auto=update</w:t>
      </w:r>
      <w:r>
        <w:t xml:space="preserve"> hace que Hibernate cree o actualice las tablas automáticamente al arrancar, a partir de las entidades.</w:t>
      </w:r>
    </w:p>
    <w:p>
      <w:pPr>
        <w:pStyle w:val="Heading1"/>
      </w:pPr>
      <w:r>
        <w:t xml:space="preserve">4. Modelo de datos (entidades)</w:t>
      </w:r>
    </w:p>
    <w:p>
      <w:pPr>
        <w:spacing w:after="120"/>
      </w:pPr>
      <w:r>
        <w:t xml:space="preserve">Entidad </w:t>
      </w:r>
      <w:r>
        <w:rPr>
          <w:b/>
          <w:bCs/>
        </w:rPr>
        <w:t xml:space="preserve">Usuario</w:t>
      </w:r>
      <w:r>
        <w:t xml:space="preserve"> → tabla </w:t>
      </w:r>
      <w:r>
        <w:rPr>
          <w:rFonts w:ascii="Consolas" w:cs="Consolas" w:eastAsia="Consolas" w:hAnsi="Consolas"/>
          <w:sz w:val="18"/>
          <w:szCs w:val="18"/>
        </w:rPr>
        <w:t xml:space="preserve">usuarios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PK (generado en @PrePersist)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 (BCrypt)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Entidad </w:t>
      </w:r>
      <w:r>
        <w:rPr>
          <w:b/>
          <w:bCs/>
        </w:rPr>
        <w:t xml:space="preserve">Pedido</w:t>
      </w:r>
      <w:r>
        <w:t xml:space="preserve"> → tabla </w:t>
      </w:r>
      <w:r>
        <w:rPr>
          <w:rFonts w:ascii="Consolas" w:cs="Consolas" w:eastAsia="Consolas" w:hAnsi="Consolas"/>
          <w:sz w:val="18"/>
          <w:szCs w:val="18"/>
        </w:rPr>
        <w:t xml:space="preserve">pedidos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PK (generado en @PrePersist)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 (1, 2 o 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 (ej. PENDIENTE)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 (calculado por plan)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Ejemplo del mapeo con anotaciones JPA: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@Entity @Table(name = "usuarios")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class Usuario {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@Id @Column(name="id") private UUID id;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@Column(nullable=false) private String nombre;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@Column(unique=true, nullable=false) private String email;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@Column(name="password_hash") private String passwordHash;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@Column(name="created_at") private Instant createdAt;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@PrePersist void onCreate() { if (id==null) id=UUID.randomUUID(); }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5. Acceso a datos: Repository Pattern con Spring Data JPA</w:t>
      </w:r>
    </w:p>
    <w:p>
      <w:pPr>
        <w:spacing w:after="120"/>
      </w:pPr>
      <w:r>
        <w:t xml:space="preserve">Los repositorios son interfaces que extienden </w:t>
      </w:r>
      <w:r>
        <w:rPr>
          <w:rFonts w:ascii="Consolas" w:cs="Consolas" w:eastAsia="Consolas" w:hAnsi="Consolas"/>
          <w:sz w:val="18"/>
          <w:szCs w:val="18"/>
        </w:rPr>
        <w:t xml:space="preserve">JpaRepository</w:t>
      </w:r>
      <w:r>
        <w:t xml:space="preserve">. Spring genera la implementación en tiempo de ejecución, incluyendo CRUD (save, findById, findAll, deleteById) y las query methods derivadas del nombre: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public interface UsuarioRepository extends JpaRepository&lt;Usuario, UUID&gt; {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Optional&lt;Usuario&gt; findByEmail(String email);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boolean existsByEmail(String email);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List&lt;Usuario&gt; findAllByOrderByCreatedAtDesc();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6. Garantías de integridad y persistencia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Transaccionalidad: </w:t>
      </w:r>
      <w:r>
        <w:t xml:space="preserve">las escrituras de Spring Data JPA (save, deleteById) se ejecutan dentro de una transacción gestionada por Spring, asegurando atomicidad.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Integridad: </w:t>
      </w:r>
      <w:r>
        <w:t xml:space="preserve">restricciones de columna (NOT NULL, UNIQUE en email) impiden datos inconsistentes; el email duplicado se rechaza con HTTP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Identificadores: </w:t>
      </w:r>
      <w:r>
        <w:t xml:space="preserve">cada registro usa un UUID generado por la aplicación antes de persistir (@PrePersist), evitando colisiones entre servicios.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Aislamiento por servicio: </w:t>
      </w:r>
      <w:r>
        <w:t xml:space="preserve">al tener bases separadas, un fallo en pedidos_db no afecta a usuarios_db.</w:t>
      </w:r>
    </w:p>
    <w:p>
      <w:pPr>
        <w:pStyle w:val="Heading1"/>
      </w:pPr>
      <w:r>
        <w:t xml:space="preserve">7. Evidencia de persistencia</w:t>
      </w:r>
    </w:p>
    <w:p>
      <w:pPr>
        <w:spacing w:after="120"/>
      </w:pPr>
      <w:r>
        <w:t xml:space="preserve">Tras ejecutar el flujo completo (registro de usuarios y creación de pedidos a través del BFF), se verificó que Hibernate creó las tablas y que los datos quedaron almacenados de forma persistente en PostgreSQL: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$ docker compose exec usuarios_db psql -U postgres -d usuarios_db -c "\dt"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public | usuarios | table | postgres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$ docker compose exec pedidos_db psql -U postgres -d pedidos_db -c "\dt"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  public | pedidos | table | postgres</w:t>
      </w:r>
    </w:p>
    <w:p>
      <w:pPr>
        <w:pStyle w:val="Heading1"/>
      </w:pPr>
      <w:r>
        <w:t xml:space="preserve">8. Conclusión</w:t>
      </w:r>
    </w:p>
    <w:p>
      <w:pPr>
        <w:spacing w:after="120"/>
      </w:pPr>
      <w:r>
        <w:t xml:space="preserve">La persistencia de GreenBite combina el patrón arquitectónico </w:t>
      </w:r>
      <w:r>
        <w:rPr>
          <w:b/>
          <w:bCs/>
        </w:rPr>
        <w:t xml:space="preserve">Database per Service</w:t>
      </w:r>
      <w:r>
        <w:t xml:space="preserve"> con el patrón de diseño </w:t>
      </w:r>
      <w:r>
        <w:rPr>
          <w:b/>
          <w:bCs/>
        </w:rPr>
        <w:t xml:space="preserve">Repository</w:t>
      </w:r>
      <w:r>
        <w:t xml:space="preserve"> sobre </w:t>
      </w:r>
      <w:r>
        <w:rPr>
          <w:b/>
          <w:bCs/>
        </w:rPr>
        <w:t xml:space="preserve">JPA/Hibernate</w:t>
      </w:r>
      <w:r>
        <w:t xml:space="preserve">. Esto desacopla la lógica de negocio del acceso a datos, centraliza el mapeo objeto-relacional en las entidades y garantiza integridad, transaccionalidad y autonomía de cada microservicio.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5C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2026-06-16T00:55:01.020Z</dcterms:created>
  <dcterms:modified xsi:type="dcterms:W3CDTF">2026-06-16T00:55:01.020Z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