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5C3B"/>
          <w:sz w:val="40"/>
          <w:szCs w:val="40"/>
        </w:rPr>
        <w:t xml:space="preserve">GreenBite — Informe de Pruebas Unitarias</w:t>
      </w:r>
    </w:p>
    <w:p>
      <w:pPr>
        <w:spacing w:after="200"/>
      </w:pPr>
      <w:r>
        <w:rPr>
          <w:color w:val="808080"/>
          <w:sz w:val="18"/>
          <w:szCs w:val="18"/>
        </w:rPr>
        <w:t xml:space="preserve">Desarrollo Fullstack III · Evaluación Parcial N°3</w:t>
      </w:r>
    </w:p>
    <w:p>
      <w:pPr>
        <w:pBdr>
          <w:bottom w:val="single" w:color="1F5C3B" w:sz="12" w:space="1"/>
        </w:pBdr>
        <w:spacing w:after="160"/>
      </w:pP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Los microservicios </w:t>
      </w:r>
      <w:r>
        <w:rPr>
          <w:b/>
          <w:bCs/>
        </w:rPr>
        <w:t xml:space="preserve">ms-usuarios</w:t>
      </w:r>
      <w:r>
        <w:t xml:space="preserve"> y </w:t>
      </w:r>
      <w:r>
        <w:rPr>
          <w:b/>
          <w:bCs/>
        </w:rPr>
        <w:t xml:space="preserve">ms-pedidos</w:t>
      </w:r>
      <w:r>
        <w:t xml:space="preserve"> (Java 17 + Spring Boot) se prueban con </w:t>
      </w:r>
      <w:r>
        <w:rPr>
          <w:b/>
          <w:bCs/>
        </w:rPr>
        <w:t xml:space="preserve">JUnit 5</w:t>
      </w:r>
      <w:r>
        <w:t xml:space="preserve"> y </w:t>
      </w:r>
      <w:r>
        <w:rPr>
          <w:b/>
          <w:bCs/>
        </w:rPr>
        <w:t xml:space="preserve">Mockito</w:t>
      </w:r>
      <w:r>
        <w:t xml:space="preserve">. Las pruebas son unitarias: se mockean los repositorios (Spring Data JPA) y demás dependencias para validar la lógica de negocio de forma aislada, sin base de datos. La cobertura se mide con </w:t>
      </w:r>
      <w:r>
        <w:rPr>
          <w:b/>
          <w:bCs/>
        </w:rPr>
        <w:t xml:space="preserve">JaCoCo</w:t>
      </w:r>
      <w:r>
        <w:t xml:space="preserve">, que genera reportes HTML y CSV en </w:t>
      </w:r>
      <w:r>
        <w:rPr>
          <w:rFonts w:ascii="Consolas" w:cs="Consolas" w:eastAsia="Consolas" w:hAnsi="Consolas"/>
          <w:sz w:val="18"/>
          <w:szCs w:val="18"/>
        </w:rPr>
        <w:t xml:space="preserve">target/site/jacoco/</w:t>
      </w:r>
      <w:r>
        <w:t xml:space="preserve">.</w:t>
      </w:r>
    </w:p>
    <w:p>
      <w:pPr>
        <w:pStyle w:val="Heading1"/>
      </w:pPr>
      <w:r>
        <w:t xml:space="preserve">2. Resumen de resultados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400"/>
        <w:gridCol w:w="1400"/>
        <w:gridCol w:w="1266"/>
        <w:gridCol w:w="1266"/>
        <w:gridCol w:w="1268"/>
      </w:tblGrid>
      <w:tr>
        <w:trPr>
          <w:tblHeader/>
        </w:trP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Microservicio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 pruebas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Instr.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Ramas</w:t>
            </w:r>
          </w:p>
        </w:tc>
        <w:tc>
          <w:tcPr>
            <w:tcW w:type="dxa" w:w="1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Líneas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ms-usuarios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OK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82.5%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73.3%</w:t>
            </w:r>
          </w:p>
        </w:tc>
        <w:tc>
          <w:tcPr>
            <w:tcW w:type="dxa" w:w="1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81.3%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ms-pedidos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OK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78.7%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70.0%</w:t>
            </w:r>
          </w:p>
        </w:tc>
        <w:tc>
          <w:tcPr>
            <w:tcW w:type="dxa" w:w="1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78.5%</w:t>
            </w:r>
          </w:p>
        </w:tc>
      </w:tr>
      <w:tr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 OK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Se ejecutaron </w:t>
      </w:r>
      <w:r>
        <w:rPr>
          <w:b/>
          <w:bCs/>
        </w:rPr>
        <w:t xml:space="preserve">45 pruebas unitarias</w:t>
      </w:r>
      <w:r>
        <w:t xml:space="preserve"> en total (24 en ms-usuarios y 21 en ms-pedidos), todas exitosas. Ambos microservicios </w:t>
      </w:r>
      <w:r>
        <w:rPr>
          <w:b/>
          <w:bCs/>
        </w:rPr>
        <w:t xml:space="preserve">superan el mínimo del 60%</w:t>
      </w:r>
      <w:r>
        <w:t xml:space="preserve"> de cobertura exigido por la rúbrica.</w:t>
      </w:r>
    </w:p>
    <w:p>
      <w:pPr>
        <w:pStyle w:val="Heading1"/>
      </w:pPr>
      <w:r>
        <w:t xml:space="preserve">3. Gráfico de cobertura</w:t>
      </w:r>
    </w:p>
    <w:p>
      <w:pPr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cobertura" descr="Grafico de cobertura JaCoCo" title="Cober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4. Cobertura por clase</w:t>
      </w:r>
    </w:p>
    <w:p>
      <w:pPr>
        <w:spacing w:after="120"/>
      </w:pPr>
      <w:r>
        <w:rPr>
          <w:b/>
          <w:bCs/>
        </w:rPr>
        <w:t xml:space="preserve">ms-usuarios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1200"/>
        <w:gridCol w:w="1526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207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UsuarioController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GlobalExceptionHandler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JwtService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ApiException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OpenApiConfig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UserResponse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UpdateRequest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RegisterRequest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LoginRequest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MsUsuariosApplication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HealthController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usuarios.web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ms-pedidos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400"/>
        <w:gridCol w:w="1200"/>
        <w:gridCol w:w="1526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Instr.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36B3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Cobertura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PedidoService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pedidos.entity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GlobalExceptionHandler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PedidoController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OpenApiConfig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ApiException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pedidos.exception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UpdatePedidoRequest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CreatePedidoRequest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MsPedidosApplication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HealthController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pedidos.web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color w:val="808080"/>
          <w:sz w:val="18"/>
          <w:szCs w:val="18"/>
        </w:rPr>
        <w:t xml:space="preserve">Nota: la lógica de negocio (clases Service) supera el 95% de cobertura. El resto corresponde a configuración (CORS, OpenAPI), clase main y entidades, que no son objeto de pruebas unitarias.</w:t>
      </w:r>
    </w:p>
    <w:p>
      <w:pPr>
        <w:pStyle w:val="Heading1"/>
      </w:pPr>
      <w:r>
        <w:t xml:space="preserve">5. Ejemplos de pruebas</w:t>
      </w:r>
    </w:p>
    <w:p>
      <w:pPr>
        <w:spacing w:after="120"/>
      </w:pPr>
      <w:r>
        <w:t xml:space="preserve">Validación de regla de negocio (precio por plan) en ms-pedidos: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@Test void createOk() {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when(repository.save(any())).thenAnswer(i -&gt; i.getArgument(0));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PedidoResponse r = service.create(new CreatePedidoRequest(userId, 4));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assertThat(r.total()).isEqualTo(59990);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assertThat(r.status()).isEqualTo("PENDIENTE");</w:t>
      </w:r>
    </w:p>
    <w:p>
      <w:pPr>
        <w:shd w:fill="EEF3EE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t xml:space="preserve">Manejo de credenciales inválidas en ms-usuarios: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@Test void loginWrongPassword() {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when(repository.findByEmail(...)).thenReturn(Optional.of(usuario));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when(passwordEncoder.matches("mala", "hash")).thenReturn(false);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assertThatThrownBy(() -&gt; service.login(req))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.isInstanceOf(ApiException.class); // HTTP 401</w:t>
      </w:r>
    </w:p>
    <w:p>
      <w:pPr>
        <w:shd w:fill="EEF3EE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1"/>
      </w:pPr>
      <w:r>
        <w:t xml:space="preserve">6. Cómo ejecutar las pruebas y generar el reporte</w:t>
      </w:r>
    </w:p>
    <w:p>
      <w:pPr>
        <w:spacing w:after="120"/>
      </w:pPr>
      <w:r>
        <w:t xml:space="preserve">Desde la carpeta de cada microservicio (no requiere instalar Maven, se usa el Maven Wrapper):</w:t>
      </w:r>
    </w:p>
    <w:p>
      <w:pPr>
        <w:shd w:fill="EEF3EE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cd ms-usuarios   # o ms-pedidos</w:t>
      </w:r>
    </w:p>
    <w:p>
      <w:pPr>
        <w:shd w:fill="EEF3EE" w:val="clear"/>
        <w:spacing w:after="140" w:line="240"/>
      </w:pPr>
      <w:r>
        <w:rPr>
          <w:rFonts w:ascii="Consolas" w:cs="Consolas" w:eastAsia="Consolas" w:hAnsi="Consolas"/>
          <w:sz w:val="16"/>
          <w:szCs w:val="16"/>
        </w:rPr>
        <w:t xml:space="preserve">.\mvnw.cmd test   # Windows  (./mvnw test en Linux/Mac)</w:t>
      </w:r>
    </w:p>
    <w:p>
      <w:pPr>
        <w:spacing w:after="120"/>
      </w:pPr>
      <w:r>
        <w:t xml:space="preserve">El reporte de cobertura HTML queda en </w:t>
      </w:r>
      <w:r>
        <w:rPr>
          <w:rFonts w:ascii="Consolas" w:cs="Consolas" w:eastAsia="Consolas" w:hAnsi="Consolas"/>
          <w:sz w:val="18"/>
          <w:szCs w:val="18"/>
        </w:rPr>
        <w:t xml:space="preserve">target/site/jacoco/index.html</w:t>
      </w:r>
      <w:r>
        <w:t xml:space="preserve">.</w:t>
      </w:r>
    </w:p>
    <w:p>
      <w:pPr>
        <w:pStyle w:val="Heading1"/>
      </w:pPr>
      <w:r>
        <w:t xml:space="preserve">7. Evidencia de ejecución de las pruebas</w:t>
      </w:r>
    </w:p>
    <w:p>
      <w:pPr>
        <w:spacing w:after="120"/>
      </w:pPr>
      <w:r>
        <w:t xml:space="preserve">Capturas de la ejecución real de las pruebas con el Maven Wrapper en cada microservicio (BUILD SUCCESS y reporte JaCoCo generado):</w:t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ms-usuarios — 24 pruebas, 0 fallos</w:t>
      </w:r>
    </w:p>
    <w:p>
      <w:pPr>
        <w:spacing w:after="160"/>
      </w:pPr>
      <w:r>
        <w:drawing>
          <wp:inline distT="0" distB="0" distL="0" distR="0">
            <wp:extent cx="4762500" cy="1838325"/>
            <wp:effectExtent t="0" r="0" b="0" l="0"/>
            <wp:docPr id="1" name="tests-ms-usuarios.png" descr="Ejecucion de pruebas" title="ms-usuarios — 24 pruebas, 0 fal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</w:pPr>
      <w:r>
        <w:rPr>
          <w:b/>
          <w:bCs/>
          <w:sz w:val="18"/>
          <w:szCs w:val="18"/>
        </w:rPr>
        <w:t xml:space="preserve">ms-pedidos — 21 pruebas, 0 fallos</w:t>
      </w:r>
    </w:p>
    <w:p>
      <w:pPr>
        <w:spacing w:after="160"/>
      </w:pPr>
      <w:r>
        <w:drawing>
          <wp:inline distT="0" distB="0" distL="0" distR="0">
            <wp:extent cx="5143500" cy="1247775"/>
            <wp:effectExtent t="0" r="0" b="0" l="0"/>
            <wp:docPr id="1" name="tests-ms-pedidos.png" descr="Ejecucion de pruebas" title="ms-pedidos — 21 pruebas, 0 fal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Conclusión</w:t>
      </w:r>
    </w:p>
    <w:p>
      <w:pPr>
        <w:spacing w:after="120"/>
      </w:pPr>
      <w:r>
        <w:t xml:space="preserve">El sistema cuenta con 45 pruebas unitarias que cubren la lógica de negocio, la capa web y el manejo de errores de ambos microservicios. La cobertura global (</w:t>
      </w:r>
      <w:r>
        <w:rPr>
          <w:b/>
          <w:bCs/>
        </w:rPr>
        <w:t xml:space="preserve">83%</w:t>
      </w:r>
      <w:r>
        <w:t xml:space="preserve"> y </w:t>
      </w:r>
      <w:r>
        <w:rPr>
          <w:b/>
          <w:bCs/>
        </w:rPr>
        <w:t xml:space="preserve">79%</w:t>
      </w:r>
      <w:r>
        <w:t xml:space="preserve"> de instrucciones) supera el umbral del 60%, garantizando la calidad y mantenibilidad del código mediante el uso de mocks que aíslan cada componente.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5C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210619fdf926fcb7bdb60734d1f74face04f85.png"/><Relationship Id="rId8" Type="http://schemas.openxmlformats.org/officeDocument/2006/relationships/image" Target="media/b900853df29fc68c1848569062ae444eeee8d59d.png"/><Relationship Id="rId9" Type="http://schemas.openxmlformats.org/officeDocument/2006/relationships/image" Target="media/c549f296087c928d5c5671fc1132c4692a37f98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2026-06-16T00:55:01.070Z</dcterms:created>
  <dcterms:modified xsi:type="dcterms:W3CDTF">2026-06-16T00:55:01.070Z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