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Rubrica de Writing — A2</w:t>
      </w:r>
    </w:p>
    <w:p>
      <w:pPr>
        <w:spacing w:after="40"/>
      </w:pPr>
      <w:r>
        <w:rPr>
          <w:color w:val="595959"/>
          <w:sz w:val="23"/>
          <w:szCs w:val="23"/>
        </w:rPr>
        <w:t xml:space="preserve">Referência unificada Cambridge A2 Key for Schools + Descritores Togethere</w:t>
      </w:r>
    </w:p>
    <w:p>
      <w:pPr>
        <w:pBdr>
          <w:bottom w:val="single" w:color="2E75B6" w:sz="6" w:space="4"/>
        </w:pBdr>
        <w:spacing w:after="220"/>
      </w:pPr>
      <w:r>
        <w:rPr>
          <w:color w:val="595959"/>
          <w:sz w:val="18"/>
          <w:szCs w:val="18"/>
        </w:rPr>
        <w:t xml:space="preserve">Versão 0.1 · 10/07/2026 · Uso: motor de avaliação + professores · Segmentos: A2 Junior / A2 Teens / A2 Adults</w:t>
      </w:r>
    </w:p>
    <w:p>
      <w:pPr>
        <w:spacing w:after="100"/>
      </w:pPr>
      <w:r>
        <w:rPr>
          <w:b/>
          <w:bCs/>
          <w:color w:val="1F3864"/>
          <w:sz w:val="24"/>
          <w:szCs w:val="24"/>
        </w:rP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Para que serve esta rubrica</w:t>
      </w:r>
    </w:p>
    <w:p>
      <w:pPr>
        <w:spacing w:after="120" w:line="276"/>
      </w:pPr>
      <w:r>
        <w:t xml:space="preserve">Esta é a rubrica única de avaliação de produção escrita no nível A2. Ela funde os critérios oficiais do Cambridge A2 Key for Schools (Assessing Writing Guide) com os descritores de desempenho da Togethere (DISTINCTION / MERIT / PASS / UNSATISFACTORY). É a fonte de verdade que o motor de avaliação usa para pontuar e que o professor usa para revisar.</w:t>
      </w:r>
    </w:p>
    <w:p>
      <w:pPr>
        <w:spacing w:after="120" w:line="276"/>
      </w:pPr>
      <w:r>
        <w:rPr>
          <w:b/>
          <w:bCs/>
        </w:rPr>
        <w:t xml:space="preserve">Regra de ouro do A2: </w:t>
      </w:r>
      <w:r>
        <w:t xml:space="preserve">um texto é avaliado em três subescalas — Content, Organisation e Language — cada uma de 0 a 5. A soma máxima por tarefa é 15. Uma banda geral 3 ou mais indica desempenho no nível A2; bandas 1–2 ficam abaixo de A2.</w:t>
      </w:r>
    </w:p>
    <w:p>
      <w:pPr>
        <w:pStyle w:val="Heading1"/>
      </w:pPr>
      <w:r>
        <w:t xml:space="preserve">2. Tarefas de escrita no A2</w:t>
      </w:r>
    </w:p>
    <w:p>
      <w:pPr>
        <w:spacing w:after="120" w:line="276"/>
      </w:pPr>
      <w:r>
        <w:t xml:space="preserve">O A2 Key for Schools tem dois gêneros de escrita. O motor deve saber qual gênero está avaliando, pois as expectativas de conteúdo mudam.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760"/>
        <w:gridCol w:w="3600"/>
      </w:tblGrid>
      <w:tr>
        <w:trPr>
          <w:tblHeader/>
        </w:trPr>
        <w:tc>
          <w:tcPr>
            <w:tcW w:type="dxa" w:w="11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Tarefa</w:t>
            </w:r>
          </w:p>
        </w:tc>
        <w:tc>
          <w:tcPr>
            <w:tcW w:type="dxa" w:w="1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Gênero</w:t>
            </w:r>
          </w:p>
        </w:tc>
        <w:tc>
          <w:tcPr>
            <w:tcW w:type="dxa" w:w="27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Requisito</w:t>
            </w:r>
          </w:p>
        </w:tc>
        <w:tc>
          <w:tcPr>
            <w:tcW w:type="dxa" w:w="36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O que avaliar no Conteúdo</w:t>
            </w:r>
          </w:p>
        </w:tc>
      </w:tr>
      <w:tr>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Part 6</w:t>
            </w:r>
          </w:p>
        </w:tc>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E-mail curto</w:t>
            </w:r>
          </w:p>
        </w:tc>
        <w:tc>
          <w:tcPr>
            <w:tcW w:type="dxa" w:w="2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25+ palavras; responder aos 3 prompts do enunciado</w:t>
            </w:r>
          </w:p>
        </w:tc>
        <w:tc>
          <w:tcPr>
            <w:tcW w:type="dxa" w:w="3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Os 3 pontos pedidos foram cobertos? Formato de e-mail (saudação + despedida)?</w:t>
            </w:r>
          </w:p>
        </w:tc>
      </w:tr>
      <w:tr>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Part 7</w:t>
            </w:r>
          </w:p>
        </w:tc>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História curta</w:t>
            </w:r>
          </w:p>
        </w:tc>
        <w:tc>
          <w:tcPr>
            <w:tcW w:type="dxa" w:w="2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35+ palavras; baseada nas 3 imagens do enunciado</w:t>
            </w:r>
          </w:p>
        </w:tc>
        <w:tc>
          <w:tcPr>
            <w:tcW w:type="dxa" w:w="3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A história cobre as 3 imagens? É a história pedida (não outra)?</w:t>
            </w:r>
          </w:p>
        </w:tc>
      </w:tr>
    </w:tbl>
    <w:p>
      <w:pPr>
        <w:spacing w:after="120" w:line="276"/>
      </w:pPr>
      <w:r>
        <w:rPr>
          <w:b/>
          <w:bCs/>
        </w:rPr>
        <w:t xml:space="preserve">Nota para o motor: </w:t>
      </w:r>
      <w:r>
        <w:t xml:space="preserve">contar palavras e comparar com o mínimo é um sinal objetivo. Abaixo do mínimo, o Conteúdo tende a cair porque nem todos os pontos cabem — mas a contagem sozinha não define a nota.</w:t>
      </w:r>
    </w:p>
    <w:p>
      <w:pPr>
        <w:pStyle w:val="Heading1"/>
      </w:pPr>
      <w:r>
        <w:t xml:space="preserve">3. Subescalas Cambridge A2 — descritores de banda</w:t>
      </w:r>
    </w:p>
    <w:p>
      <w:pPr>
        <w:spacing w:after="120" w:line="276"/>
      </w:pPr>
      <w:r>
        <w:t xml:space="preserve">As bandas 5, 3 e 1 são descritas; 4 combina traços de 3 e 5, e 2 combina traços de 1 e 3. Banda 0 fica abaixo da 1. Os descritores abaixo são os oficiais Cambridge (mantidos em inglês para fidelidade).</w:t>
      </w:r>
    </w:p>
    <w:p>
      <w:pPr>
        <w:pStyle w:val="Heading2"/>
      </w:pPr>
      <w:r>
        <w:t xml:space="preserve">3.1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Banda</w:t>
            </w:r>
          </w:p>
        </w:tc>
        <w:tc>
          <w:tcPr>
            <w:tcW w:type="dxa" w:w="84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Descritor Cambridge (Content)</w:t>
            </w:r>
          </w:p>
        </w:tc>
      </w:tr>
      <w:tr>
        <w:tc>
          <w:tcPr>
            <w:tcW w:type="dxa" w:w="900"/>
            <w:tcBorders>
              <w:top w:val="single" w:color="BFBFBF" w:sz="1"/>
              <w:left w:val="single" w:color="BFBFBF" w:sz="1"/>
              <w:bottom w:val="single" w:color="BFBFBF" w:sz="1"/>
              <w:right w:val="single" w:color="BFBFBF" w:sz="1"/>
            </w:tcBorders>
            <w:shd w:fill="D5E8D0" w:val="clear"/>
            <w:tcMar>
              <w:top w:type="dxa" w:w="70"/>
              <w:left w:type="dxa" w:w="110"/>
              <w:bottom w:type="dxa" w:w="70"/>
              <w:right w:type="dxa" w:w="110"/>
            </w:tcMar>
          </w:tcPr>
          <w:p>
            <w:r>
              <w:rPr>
                <w:b w:val="false"/>
                <w:bCs w:val="false"/>
                <w:color w:val="000000"/>
                <w:sz w:val="18"/>
                <w:szCs w:val="18"/>
              </w:rPr>
              <w:t xml:space="preserve">5</w:t>
            </w:r>
          </w:p>
        </w:tc>
        <w:tc>
          <w:tcPr>
            <w:tcW w:type="dxa" w:w="8460"/>
            <w:tcBorders>
              <w:top w:val="single" w:color="BFBFBF" w:sz="1"/>
              <w:left w:val="single" w:color="BFBFBF" w:sz="1"/>
              <w:bottom w:val="single" w:color="BFBFBF" w:sz="1"/>
              <w:right w:val="single" w:color="BFBFBF" w:sz="1"/>
            </w:tcBorders>
            <w:shd w:fill="D5E8D0" w:val="clear"/>
            <w:tcMar>
              <w:top w:type="dxa" w:w="70"/>
              <w:left w:type="dxa" w:w="110"/>
              <w:bottom w:type="dxa" w:w="70"/>
              <w:right w:type="dxa" w:w="110"/>
            </w:tcMar>
          </w:tcPr>
          <w:p>
            <w:r>
              <w:rPr>
                <w:b w:val="false"/>
                <w:bCs w:val="false"/>
                <w:color w:val="000000"/>
                <w:sz w:val="18"/>
                <w:szCs w:val="18"/>
              </w:rPr>
              <w:t xml:space="preserve">All content is relevant to the task. Target reader is fully informed.</w:t>
            </w:r>
          </w:p>
        </w:tc>
      </w:tr>
      <w:tr>
        <w:tc>
          <w:tcPr>
            <w:tcW w:type="dxa" w:w="900"/>
            <w:tcBorders>
              <w:top w:val="single" w:color="BFBFBF" w:sz="1"/>
              <w:left w:val="single" w:color="BFBFBF" w:sz="1"/>
              <w:bottom w:val="single" w:color="BFBFBF" w:sz="1"/>
              <w:right w:val="single" w:color="BFBFBF" w:sz="1"/>
            </w:tcBorders>
            <w:shd w:fill="EDF3E8" w:val="clear"/>
            <w:tcMar>
              <w:top w:type="dxa" w:w="70"/>
              <w:left w:type="dxa" w:w="110"/>
              <w:bottom w:type="dxa" w:w="70"/>
              <w:right w:type="dxa" w:w="110"/>
            </w:tcMar>
          </w:tcPr>
          <w:p>
            <w:r>
              <w:rPr>
                <w:b w:val="false"/>
                <w:bCs w:val="false"/>
                <w:color w:val="000000"/>
                <w:sz w:val="18"/>
                <w:szCs w:val="18"/>
              </w:rPr>
              <w:t xml:space="preserve">4</w:t>
            </w:r>
          </w:p>
        </w:tc>
        <w:tc>
          <w:tcPr>
            <w:tcW w:type="dxa" w:w="8460"/>
            <w:tcBorders>
              <w:top w:val="single" w:color="BFBFBF" w:sz="1"/>
              <w:left w:val="single" w:color="BFBFBF" w:sz="1"/>
              <w:bottom w:val="single" w:color="BFBFBF" w:sz="1"/>
              <w:right w:val="single" w:color="BFBFBF" w:sz="1"/>
            </w:tcBorders>
            <w:shd w:fill="EDF3E8" w:val="clear"/>
            <w:tcMar>
              <w:top w:type="dxa" w:w="70"/>
              <w:left w:type="dxa" w:w="110"/>
              <w:bottom w:type="dxa" w:w="70"/>
              <w:right w:type="dxa" w:w="110"/>
            </w:tcMar>
          </w:tcPr>
          <w:p>
            <w:r>
              <w:rPr>
                <w:b w:val="false"/>
                <w:bCs w:val="false"/>
                <w:color w:val="000000"/>
                <w:sz w:val="18"/>
                <w:szCs w:val="18"/>
              </w:rPr>
              <w:t xml:space="preserve">Performance shares features of Bands 3 and 5.</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3</w:t>
            </w:r>
          </w:p>
        </w:tc>
        <w:tc>
          <w:tcPr>
            <w:tcW w:type="dxa" w:w="84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Minor irrelevances and/or omissions may be present. Target reader is on the whole informed.</w:t>
            </w:r>
          </w:p>
        </w:tc>
      </w:tr>
      <w:tr>
        <w:tc>
          <w:tcPr>
            <w:tcW w:type="dxa" w:w="900"/>
            <w:tcBorders>
              <w:top w:val="single" w:color="BFBFBF" w:sz="1"/>
              <w:left w:val="single" w:color="BFBFBF" w:sz="1"/>
              <w:bottom w:val="single" w:color="BFBFBF" w:sz="1"/>
              <w:right w:val="single" w:color="BFBFBF" w:sz="1"/>
            </w:tcBorders>
            <w:shd w:fill="F5F5F5" w:val="clear"/>
            <w:tcMar>
              <w:top w:type="dxa" w:w="70"/>
              <w:left w:type="dxa" w:w="110"/>
              <w:bottom w:type="dxa" w:w="70"/>
              <w:right w:type="dxa" w:w="110"/>
            </w:tcMar>
          </w:tcPr>
          <w:p>
            <w:r>
              <w:rPr>
                <w:b w:val="false"/>
                <w:bCs w:val="false"/>
                <w:color w:val="000000"/>
                <w:sz w:val="18"/>
                <w:szCs w:val="18"/>
              </w:rPr>
              <w:t xml:space="preserve">2</w:t>
            </w:r>
          </w:p>
        </w:tc>
        <w:tc>
          <w:tcPr>
            <w:tcW w:type="dxa" w:w="8460"/>
            <w:tcBorders>
              <w:top w:val="single" w:color="BFBFBF" w:sz="1"/>
              <w:left w:val="single" w:color="BFBFBF" w:sz="1"/>
              <w:bottom w:val="single" w:color="BFBFBF" w:sz="1"/>
              <w:right w:val="single" w:color="BFBFBF" w:sz="1"/>
            </w:tcBorders>
            <w:shd w:fill="F5F5F5" w:val="clear"/>
            <w:tcMar>
              <w:top w:type="dxa" w:w="70"/>
              <w:left w:type="dxa" w:w="110"/>
              <w:bottom w:type="dxa" w:w="70"/>
              <w:right w:type="dxa" w:w="110"/>
            </w:tcMar>
          </w:tcPr>
          <w:p>
            <w:r>
              <w:rPr>
                <w:b w:val="false"/>
                <w:bCs w:val="false"/>
                <w:color w:val="000000"/>
                <w:sz w:val="18"/>
                <w:szCs w:val="18"/>
              </w:rPr>
              <w:t xml:space="preserve">Performance shares features of Bands 1 and 3.</w:t>
            </w:r>
          </w:p>
        </w:tc>
      </w:tr>
      <w:tr>
        <w:tc>
          <w:tcPr>
            <w:tcW w:type="dxa" w:w="900"/>
            <w:tcBorders>
              <w:top w:val="single" w:color="BFBFBF" w:sz="1"/>
              <w:left w:val="single" w:color="BFBFBF" w:sz="1"/>
              <w:bottom w:val="single" w:color="BFBFBF" w:sz="1"/>
              <w:right w:val="single" w:color="BFBFBF" w:sz="1"/>
            </w:tcBorders>
            <w:shd w:fill="FBE9E7" w:val="clear"/>
            <w:tcMar>
              <w:top w:type="dxa" w:w="70"/>
              <w:left w:type="dxa" w:w="110"/>
              <w:bottom w:type="dxa" w:w="70"/>
              <w:right w:type="dxa" w:w="110"/>
            </w:tcMar>
          </w:tcPr>
          <w:p>
            <w:r>
              <w:rPr>
                <w:b w:val="false"/>
                <w:bCs w:val="false"/>
                <w:color w:val="000000"/>
                <w:sz w:val="18"/>
                <w:szCs w:val="18"/>
              </w:rPr>
              <w:t xml:space="preserve">1</w:t>
            </w:r>
          </w:p>
        </w:tc>
        <w:tc>
          <w:tcPr>
            <w:tcW w:type="dxa" w:w="8460"/>
            <w:tcBorders>
              <w:top w:val="single" w:color="BFBFBF" w:sz="1"/>
              <w:left w:val="single" w:color="BFBFBF" w:sz="1"/>
              <w:bottom w:val="single" w:color="BFBFBF" w:sz="1"/>
              <w:right w:val="single" w:color="BFBFBF" w:sz="1"/>
            </w:tcBorders>
            <w:shd w:fill="FBE9E7" w:val="clear"/>
            <w:tcMar>
              <w:top w:type="dxa" w:w="70"/>
              <w:left w:type="dxa" w:w="110"/>
              <w:bottom w:type="dxa" w:w="70"/>
              <w:right w:type="dxa" w:w="110"/>
            </w:tcMar>
          </w:tcPr>
          <w:p>
            <w:r>
              <w:rPr>
                <w:b w:val="false"/>
                <w:bCs w:val="false"/>
                <w:color w:val="000000"/>
                <w:sz w:val="18"/>
                <w:szCs w:val="18"/>
              </w:rPr>
              <w:t xml:space="preserve">Irrelevances and misinterpretation of task may be present. Target reader is minimally informed.</w:t>
            </w:r>
          </w:p>
        </w:tc>
      </w:tr>
      <w:tr>
        <w:tc>
          <w:tcPr>
            <w:tcW w:type="dxa" w:w="900"/>
            <w:tcBorders>
              <w:top w:val="single" w:color="BFBFBF" w:sz="1"/>
              <w:left w:val="single" w:color="BFBFBF" w:sz="1"/>
              <w:bottom w:val="single" w:color="BFBFBF" w:sz="1"/>
              <w:right w:val="single" w:color="BFBFBF" w:sz="1"/>
            </w:tcBorders>
            <w:shd w:fill="F5C6BE" w:val="clear"/>
            <w:tcMar>
              <w:top w:type="dxa" w:w="70"/>
              <w:left w:type="dxa" w:w="110"/>
              <w:bottom w:type="dxa" w:w="70"/>
              <w:right w:type="dxa" w:w="110"/>
            </w:tcMar>
          </w:tcPr>
          <w:p>
            <w:r>
              <w:rPr>
                <w:b w:val="false"/>
                <w:bCs w:val="false"/>
                <w:color w:val="000000"/>
                <w:sz w:val="18"/>
                <w:szCs w:val="18"/>
              </w:rPr>
              <w:t xml:space="preserve">0</w:t>
            </w:r>
          </w:p>
        </w:tc>
        <w:tc>
          <w:tcPr>
            <w:tcW w:type="dxa" w:w="8460"/>
            <w:tcBorders>
              <w:top w:val="single" w:color="BFBFBF" w:sz="1"/>
              <w:left w:val="single" w:color="BFBFBF" w:sz="1"/>
              <w:bottom w:val="single" w:color="BFBFBF" w:sz="1"/>
              <w:right w:val="single" w:color="BFBFBF" w:sz="1"/>
            </w:tcBorders>
            <w:shd w:fill="F5C6BE" w:val="clear"/>
            <w:tcMar>
              <w:top w:type="dxa" w:w="70"/>
              <w:left w:type="dxa" w:w="110"/>
              <w:bottom w:type="dxa" w:w="70"/>
              <w:right w:type="dxa" w:w="110"/>
            </w:tcMar>
          </w:tcPr>
          <w:p>
            <w:r>
              <w:rPr>
                <w:b w:val="false"/>
                <w:bCs w:val="false"/>
                <w:color w:val="000000"/>
                <w:sz w:val="18"/>
                <w:szCs w:val="18"/>
              </w:rPr>
              <w:t xml:space="preserve">Content is totally irrelevant. Target reader is not informed.</w:t>
            </w:r>
          </w:p>
        </w:tc>
      </w:tr>
    </w:tbl>
    <w:p>
      <w:pPr>
        <w:pStyle w:val="Heading2"/>
      </w:pPr>
      <w:r>
        <w:t xml:space="preserve">3.2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Banda</w:t>
            </w:r>
          </w:p>
        </w:tc>
        <w:tc>
          <w:tcPr>
            <w:tcW w:type="dxa" w:w="84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Descritor Cambridge (Organisation)</w:t>
            </w:r>
          </w:p>
        </w:tc>
      </w:tr>
      <w:tr>
        <w:tc>
          <w:tcPr>
            <w:tcW w:type="dxa" w:w="900"/>
            <w:tcBorders>
              <w:top w:val="single" w:color="BFBFBF" w:sz="1"/>
              <w:left w:val="single" w:color="BFBFBF" w:sz="1"/>
              <w:bottom w:val="single" w:color="BFBFBF" w:sz="1"/>
              <w:right w:val="single" w:color="BFBFBF" w:sz="1"/>
            </w:tcBorders>
            <w:shd w:fill="D5E8D0" w:val="clear"/>
            <w:tcMar>
              <w:top w:type="dxa" w:w="70"/>
              <w:left w:type="dxa" w:w="110"/>
              <w:bottom w:type="dxa" w:w="70"/>
              <w:right w:type="dxa" w:w="110"/>
            </w:tcMar>
          </w:tcPr>
          <w:p>
            <w:r>
              <w:rPr>
                <w:b w:val="false"/>
                <w:bCs w:val="false"/>
                <w:color w:val="000000"/>
                <w:sz w:val="18"/>
                <w:szCs w:val="18"/>
              </w:rPr>
              <w:t xml:space="preserve">5</w:t>
            </w:r>
          </w:p>
        </w:tc>
        <w:tc>
          <w:tcPr>
            <w:tcW w:type="dxa" w:w="8460"/>
            <w:tcBorders>
              <w:top w:val="single" w:color="BFBFBF" w:sz="1"/>
              <w:left w:val="single" w:color="BFBFBF" w:sz="1"/>
              <w:bottom w:val="single" w:color="BFBFBF" w:sz="1"/>
              <w:right w:val="single" w:color="BFBFBF" w:sz="1"/>
            </w:tcBorders>
            <w:shd w:fill="D5E8D0" w:val="clear"/>
            <w:tcMar>
              <w:top w:type="dxa" w:w="70"/>
              <w:left w:type="dxa" w:w="110"/>
              <w:bottom w:type="dxa" w:w="70"/>
              <w:right w:type="dxa" w:w="110"/>
            </w:tcMar>
          </w:tcPr>
          <w:p>
            <w:r>
              <w:rPr>
                <w:b w:val="false"/>
                <w:bCs w:val="false"/>
                <w:color w:val="000000"/>
                <w:sz w:val="18"/>
                <w:szCs w:val="18"/>
              </w:rPr>
              <w:t xml:space="preserve">Text is connected and coherent, using basic linking words and a limited number of cohesive devices.</w:t>
            </w:r>
          </w:p>
        </w:tc>
      </w:tr>
      <w:tr>
        <w:tc>
          <w:tcPr>
            <w:tcW w:type="dxa" w:w="900"/>
            <w:tcBorders>
              <w:top w:val="single" w:color="BFBFBF" w:sz="1"/>
              <w:left w:val="single" w:color="BFBFBF" w:sz="1"/>
              <w:bottom w:val="single" w:color="BFBFBF" w:sz="1"/>
              <w:right w:val="single" w:color="BFBFBF" w:sz="1"/>
            </w:tcBorders>
            <w:shd w:fill="EDF3E8" w:val="clear"/>
            <w:tcMar>
              <w:top w:type="dxa" w:w="70"/>
              <w:left w:type="dxa" w:w="110"/>
              <w:bottom w:type="dxa" w:w="70"/>
              <w:right w:type="dxa" w:w="110"/>
            </w:tcMar>
          </w:tcPr>
          <w:p>
            <w:r>
              <w:rPr>
                <w:b w:val="false"/>
                <w:bCs w:val="false"/>
                <w:color w:val="000000"/>
                <w:sz w:val="18"/>
                <w:szCs w:val="18"/>
              </w:rPr>
              <w:t xml:space="preserve">4</w:t>
            </w:r>
          </w:p>
        </w:tc>
        <w:tc>
          <w:tcPr>
            <w:tcW w:type="dxa" w:w="8460"/>
            <w:tcBorders>
              <w:top w:val="single" w:color="BFBFBF" w:sz="1"/>
              <w:left w:val="single" w:color="BFBFBF" w:sz="1"/>
              <w:bottom w:val="single" w:color="BFBFBF" w:sz="1"/>
              <w:right w:val="single" w:color="BFBFBF" w:sz="1"/>
            </w:tcBorders>
            <w:shd w:fill="EDF3E8" w:val="clear"/>
            <w:tcMar>
              <w:top w:type="dxa" w:w="70"/>
              <w:left w:type="dxa" w:w="110"/>
              <w:bottom w:type="dxa" w:w="70"/>
              <w:right w:type="dxa" w:w="110"/>
            </w:tcMar>
          </w:tcPr>
          <w:p>
            <w:r>
              <w:rPr>
                <w:b w:val="false"/>
                <w:bCs w:val="false"/>
                <w:color w:val="000000"/>
                <w:sz w:val="18"/>
                <w:szCs w:val="18"/>
              </w:rPr>
              <w:t xml:space="preserve">Performance shares features of Bands 3 and 5.</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3</w:t>
            </w:r>
          </w:p>
        </w:tc>
        <w:tc>
          <w:tcPr>
            <w:tcW w:type="dxa" w:w="84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Text is connected using basic, high-frequency linking words.</w:t>
            </w:r>
          </w:p>
        </w:tc>
      </w:tr>
      <w:tr>
        <w:tc>
          <w:tcPr>
            <w:tcW w:type="dxa" w:w="900"/>
            <w:tcBorders>
              <w:top w:val="single" w:color="BFBFBF" w:sz="1"/>
              <w:left w:val="single" w:color="BFBFBF" w:sz="1"/>
              <w:bottom w:val="single" w:color="BFBFBF" w:sz="1"/>
              <w:right w:val="single" w:color="BFBFBF" w:sz="1"/>
            </w:tcBorders>
            <w:shd w:fill="F5F5F5" w:val="clear"/>
            <w:tcMar>
              <w:top w:type="dxa" w:w="70"/>
              <w:left w:type="dxa" w:w="110"/>
              <w:bottom w:type="dxa" w:w="70"/>
              <w:right w:type="dxa" w:w="110"/>
            </w:tcMar>
          </w:tcPr>
          <w:p>
            <w:r>
              <w:rPr>
                <w:b w:val="false"/>
                <w:bCs w:val="false"/>
                <w:color w:val="000000"/>
                <w:sz w:val="18"/>
                <w:szCs w:val="18"/>
              </w:rPr>
              <w:t xml:space="preserve">2</w:t>
            </w:r>
          </w:p>
        </w:tc>
        <w:tc>
          <w:tcPr>
            <w:tcW w:type="dxa" w:w="8460"/>
            <w:tcBorders>
              <w:top w:val="single" w:color="BFBFBF" w:sz="1"/>
              <w:left w:val="single" w:color="BFBFBF" w:sz="1"/>
              <w:bottom w:val="single" w:color="BFBFBF" w:sz="1"/>
              <w:right w:val="single" w:color="BFBFBF" w:sz="1"/>
            </w:tcBorders>
            <w:shd w:fill="F5F5F5" w:val="clear"/>
            <w:tcMar>
              <w:top w:type="dxa" w:w="70"/>
              <w:left w:type="dxa" w:w="110"/>
              <w:bottom w:type="dxa" w:w="70"/>
              <w:right w:type="dxa" w:w="110"/>
            </w:tcMar>
          </w:tcPr>
          <w:p>
            <w:r>
              <w:rPr>
                <w:b w:val="false"/>
                <w:bCs w:val="false"/>
                <w:color w:val="000000"/>
                <w:sz w:val="18"/>
                <w:szCs w:val="18"/>
              </w:rPr>
              <w:t xml:space="preserve">Performance shares features of Bands 1 and 3.</w:t>
            </w:r>
          </w:p>
        </w:tc>
      </w:tr>
      <w:tr>
        <w:tc>
          <w:tcPr>
            <w:tcW w:type="dxa" w:w="900"/>
            <w:tcBorders>
              <w:top w:val="single" w:color="BFBFBF" w:sz="1"/>
              <w:left w:val="single" w:color="BFBFBF" w:sz="1"/>
              <w:bottom w:val="single" w:color="BFBFBF" w:sz="1"/>
              <w:right w:val="single" w:color="BFBFBF" w:sz="1"/>
            </w:tcBorders>
            <w:shd w:fill="FBE9E7" w:val="clear"/>
            <w:tcMar>
              <w:top w:type="dxa" w:w="70"/>
              <w:left w:type="dxa" w:w="110"/>
              <w:bottom w:type="dxa" w:w="70"/>
              <w:right w:type="dxa" w:w="110"/>
            </w:tcMar>
          </w:tcPr>
          <w:p>
            <w:r>
              <w:rPr>
                <w:b w:val="false"/>
                <w:bCs w:val="false"/>
                <w:color w:val="000000"/>
                <w:sz w:val="18"/>
                <w:szCs w:val="18"/>
              </w:rPr>
              <w:t xml:space="preserve">1</w:t>
            </w:r>
          </w:p>
        </w:tc>
        <w:tc>
          <w:tcPr>
            <w:tcW w:type="dxa" w:w="8460"/>
            <w:tcBorders>
              <w:top w:val="single" w:color="BFBFBF" w:sz="1"/>
              <w:left w:val="single" w:color="BFBFBF" w:sz="1"/>
              <w:bottom w:val="single" w:color="BFBFBF" w:sz="1"/>
              <w:right w:val="single" w:color="BFBFBF" w:sz="1"/>
            </w:tcBorders>
            <w:shd w:fill="FBE9E7" w:val="clear"/>
            <w:tcMar>
              <w:top w:type="dxa" w:w="70"/>
              <w:left w:type="dxa" w:w="110"/>
              <w:bottom w:type="dxa" w:w="70"/>
              <w:right w:type="dxa" w:w="110"/>
            </w:tcMar>
          </w:tcPr>
          <w:p>
            <w:r>
              <w:rPr>
                <w:b w:val="false"/>
                <w:bCs w:val="false"/>
                <w:color w:val="000000"/>
                <w:sz w:val="18"/>
                <w:szCs w:val="18"/>
              </w:rPr>
              <w:t xml:space="preserve">Production unlikely to be connected, though punctuation and simple connectors (e.g. 'and') may on occasion be used.</w:t>
            </w:r>
          </w:p>
        </w:tc>
      </w:tr>
      <w:tr>
        <w:tc>
          <w:tcPr>
            <w:tcW w:type="dxa" w:w="900"/>
            <w:tcBorders>
              <w:top w:val="single" w:color="BFBFBF" w:sz="1"/>
              <w:left w:val="single" w:color="BFBFBF" w:sz="1"/>
              <w:bottom w:val="single" w:color="BFBFBF" w:sz="1"/>
              <w:right w:val="single" w:color="BFBFBF" w:sz="1"/>
            </w:tcBorders>
            <w:shd w:fill="F5C6BE" w:val="clear"/>
            <w:tcMar>
              <w:top w:type="dxa" w:w="70"/>
              <w:left w:type="dxa" w:w="110"/>
              <w:bottom w:type="dxa" w:w="70"/>
              <w:right w:type="dxa" w:w="110"/>
            </w:tcMar>
          </w:tcPr>
          <w:p>
            <w:r>
              <w:rPr>
                <w:b w:val="false"/>
                <w:bCs w:val="false"/>
                <w:color w:val="000000"/>
                <w:sz w:val="18"/>
                <w:szCs w:val="18"/>
              </w:rPr>
              <w:t xml:space="preserve">0</w:t>
            </w:r>
          </w:p>
        </w:tc>
        <w:tc>
          <w:tcPr>
            <w:tcW w:type="dxa" w:w="8460"/>
            <w:tcBorders>
              <w:top w:val="single" w:color="BFBFBF" w:sz="1"/>
              <w:left w:val="single" w:color="BFBFBF" w:sz="1"/>
              <w:bottom w:val="single" w:color="BFBFBF" w:sz="1"/>
              <w:right w:val="single" w:color="BFBFBF" w:sz="1"/>
            </w:tcBorders>
            <w:shd w:fill="F5C6BE" w:val="clear"/>
            <w:tcMar>
              <w:top w:type="dxa" w:w="70"/>
              <w:left w:type="dxa" w:w="110"/>
              <w:bottom w:type="dxa" w:w="70"/>
              <w:right w:type="dxa" w:w="110"/>
            </w:tcMar>
          </w:tcPr>
          <w:p>
            <w:r>
              <w:rPr>
                <w:b w:val="false"/>
                <w:bCs w:val="false"/>
                <w:color w:val="000000"/>
                <w:sz w:val="18"/>
                <w:szCs w:val="18"/>
              </w:rPr>
              <w:t xml:space="preserve">Performance below Band 1.</w:t>
            </w:r>
          </w:p>
        </w:tc>
      </w:tr>
    </w:tbl>
    <w:p>
      <w:pPr>
        <w:pStyle w:val="Heading2"/>
      </w:pPr>
      <w:r>
        <w:t xml:space="preserve">3.3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Banda</w:t>
            </w:r>
          </w:p>
        </w:tc>
        <w:tc>
          <w:tcPr>
            <w:tcW w:type="dxa" w:w="84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Descritor Cambridge (Language)</w:t>
            </w:r>
          </w:p>
        </w:tc>
      </w:tr>
      <w:tr>
        <w:tc>
          <w:tcPr>
            <w:tcW w:type="dxa" w:w="900"/>
            <w:tcBorders>
              <w:top w:val="single" w:color="BFBFBF" w:sz="1"/>
              <w:left w:val="single" w:color="BFBFBF" w:sz="1"/>
              <w:bottom w:val="single" w:color="BFBFBF" w:sz="1"/>
              <w:right w:val="single" w:color="BFBFBF" w:sz="1"/>
            </w:tcBorders>
            <w:shd w:fill="D5E8D0" w:val="clear"/>
            <w:tcMar>
              <w:top w:type="dxa" w:w="70"/>
              <w:left w:type="dxa" w:w="110"/>
              <w:bottom w:type="dxa" w:w="70"/>
              <w:right w:type="dxa" w:w="110"/>
            </w:tcMar>
          </w:tcPr>
          <w:p>
            <w:r>
              <w:rPr>
                <w:b w:val="false"/>
                <w:bCs w:val="false"/>
                <w:color w:val="000000"/>
                <w:sz w:val="18"/>
                <w:szCs w:val="18"/>
              </w:rPr>
              <w:t xml:space="preserve">5</w:t>
            </w:r>
          </w:p>
        </w:tc>
        <w:tc>
          <w:tcPr>
            <w:tcW w:type="dxa" w:w="8460"/>
            <w:tcBorders>
              <w:top w:val="single" w:color="BFBFBF" w:sz="1"/>
              <w:left w:val="single" w:color="BFBFBF" w:sz="1"/>
              <w:bottom w:val="single" w:color="BFBFBF" w:sz="1"/>
              <w:right w:val="single" w:color="BFBFBF" w:sz="1"/>
            </w:tcBorders>
            <w:shd w:fill="D5E8D0" w:val="clear"/>
            <w:tcMar>
              <w:top w:type="dxa" w:w="70"/>
              <w:left w:type="dxa" w:w="110"/>
              <w:bottom w:type="dxa" w:w="70"/>
              <w:right w:type="dxa" w:w="110"/>
            </w:tcMar>
          </w:tcPr>
          <w:p>
            <w:r>
              <w:rPr>
                <w:b w:val="false"/>
                <w:bCs w:val="false"/>
                <w:color w:val="000000"/>
                <w:sz w:val="18"/>
                <w:szCs w:val="18"/>
              </w:rPr>
              <w:t xml:space="preserve">Uses everyday vocabulary generally appropriately, while occasionally overusing certain lexis. Uses simple grammatical forms with a good degree of control. While errors are noticeable, meaning can still be determined.</w:t>
            </w:r>
          </w:p>
        </w:tc>
      </w:tr>
      <w:tr>
        <w:tc>
          <w:tcPr>
            <w:tcW w:type="dxa" w:w="900"/>
            <w:tcBorders>
              <w:top w:val="single" w:color="BFBFBF" w:sz="1"/>
              <w:left w:val="single" w:color="BFBFBF" w:sz="1"/>
              <w:bottom w:val="single" w:color="BFBFBF" w:sz="1"/>
              <w:right w:val="single" w:color="BFBFBF" w:sz="1"/>
            </w:tcBorders>
            <w:shd w:fill="EDF3E8" w:val="clear"/>
            <w:tcMar>
              <w:top w:type="dxa" w:w="70"/>
              <w:left w:type="dxa" w:w="110"/>
              <w:bottom w:type="dxa" w:w="70"/>
              <w:right w:type="dxa" w:w="110"/>
            </w:tcMar>
          </w:tcPr>
          <w:p>
            <w:r>
              <w:rPr>
                <w:b w:val="false"/>
                <w:bCs w:val="false"/>
                <w:color w:val="000000"/>
                <w:sz w:val="18"/>
                <w:szCs w:val="18"/>
              </w:rPr>
              <w:t xml:space="preserve">4</w:t>
            </w:r>
          </w:p>
        </w:tc>
        <w:tc>
          <w:tcPr>
            <w:tcW w:type="dxa" w:w="8460"/>
            <w:tcBorders>
              <w:top w:val="single" w:color="BFBFBF" w:sz="1"/>
              <w:left w:val="single" w:color="BFBFBF" w:sz="1"/>
              <w:bottom w:val="single" w:color="BFBFBF" w:sz="1"/>
              <w:right w:val="single" w:color="BFBFBF" w:sz="1"/>
            </w:tcBorders>
            <w:shd w:fill="EDF3E8" w:val="clear"/>
            <w:tcMar>
              <w:top w:type="dxa" w:w="70"/>
              <w:left w:type="dxa" w:w="110"/>
              <w:bottom w:type="dxa" w:w="70"/>
              <w:right w:type="dxa" w:w="110"/>
            </w:tcMar>
          </w:tcPr>
          <w:p>
            <w:r>
              <w:rPr>
                <w:b w:val="false"/>
                <w:bCs w:val="false"/>
                <w:color w:val="000000"/>
                <w:sz w:val="18"/>
                <w:szCs w:val="18"/>
              </w:rPr>
              <w:t xml:space="preserve">Performance shares features of Bands 3 and 5.</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3</w:t>
            </w:r>
          </w:p>
        </w:tc>
        <w:tc>
          <w:tcPr>
            <w:tcW w:type="dxa" w:w="84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Uses basic vocabulary reasonably appropriately. Uses simple grammatical forms with some degree of control. Errors may impede meaning at times.</w:t>
            </w:r>
          </w:p>
        </w:tc>
      </w:tr>
      <w:tr>
        <w:tc>
          <w:tcPr>
            <w:tcW w:type="dxa" w:w="900"/>
            <w:tcBorders>
              <w:top w:val="single" w:color="BFBFBF" w:sz="1"/>
              <w:left w:val="single" w:color="BFBFBF" w:sz="1"/>
              <w:bottom w:val="single" w:color="BFBFBF" w:sz="1"/>
              <w:right w:val="single" w:color="BFBFBF" w:sz="1"/>
            </w:tcBorders>
            <w:shd w:fill="F5F5F5" w:val="clear"/>
            <w:tcMar>
              <w:top w:type="dxa" w:w="70"/>
              <w:left w:type="dxa" w:w="110"/>
              <w:bottom w:type="dxa" w:w="70"/>
              <w:right w:type="dxa" w:w="110"/>
            </w:tcMar>
          </w:tcPr>
          <w:p>
            <w:r>
              <w:rPr>
                <w:b w:val="false"/>
                <w:bCs w:val="false"/>
                <w:color w:val="000000"/>
                <w:sz w:val="18"/>
                <w:szCs w:val="18"/>
              </w:rPr>
              <w:t xml:space="preserve">2</w:t>
            </w:r>
          </w:p>
        </w:tc>
        <w:tc>
          <w:tcPr>
            <w:tcW w:type="dxa" w:w="8460"/>
            <w:tcBorders>
              <w:top w:val="single" w:color="BFBFBF" w:sz="1"/>
              <w:left w:val="single" w:color="BFBFBF" w:sz="1"/>
              <w:bottom w:val="single" w:color="BFBFBF" w:sz="1"/>
              <w:right w:val="single" w:color="BFBFBF" w:sz="1"/>
            </w:tcBorders>
            <w:shd w:fill="F5F5F5" w:val="clear"/>
            <w:tcMar>
              <w:top w:type="dxa" w:w="70"/>
              <w:left w:type="dxa" w:w="110"/>
              <w:bottom w:type="dxa" w:w="70"/>
              <w:right w:type="dxa" w:w="110"/>
            </w:tcMar>
          </w:tcPr>
          <w:p>
            <w:r>
              <w:rPr>
                <w:b w:val="false"/>
                <w:bCs w:val="false"/>
                <w:color w:val="000000"/>
                <w:sz w:val="18"/>
                <w:szCs w:val="18"/>
              </w:rPr>
              <w:t xml:space="preserve">Performance shares features of Bands 1 and 3.</w:t>
            </w:r>
          </w:p>
        </w:tc>
      </w:tr>
      <w:tr>
        <w:tc>
          <w:tcPr>
            <w:tcW w:type="dxa" w:w="900"/>
            <w:tcBorders>
              <w:top w:val="single" w:color="BFBFBF" w:sz="1"/>
              <w:left w:val="single" w:color="BFBFBF" w:sz="1"/>
              <w:bottom w:val="single" w:color="BFBFBF" w:sz="1"/>
              <w:right w:val="single" w:color="BFBFBF" w:sz="1"/>
            </w:tcBorders>
            <w:shd w:fill="FBE9E7" w:val="clear"/>
            <w:tcMar>
              <w:top w:type="dxa" w:w="70"/>
              <w:left w:type="dxa" w:w="110"/>
              <w:bottom w:type="dxa" w:w="70"/>
              <w:right w:type="dxa" w:w="110"/>
            </w:tcMar>
          </w:tcPr>
          <w:p>
            <w:r>
              <w:rPr>
                <w:b w:val="false"/>
                <w:bCs w:val="false"/>
                <w:color w:val="000000"/>
                <w:sz w:val="18"/>
                <w:szCs w:val="18"/>
              </w:rPr>
              <w:t xml:space="preserve">1</w:t>
            </w:r>
          </w:p>
        </w:tc>
        <w:tc>
          <w:tcPr>
            <w:tcW w:type="dxa" w:w="8460"/>
            <w:tcBorders>
              <w:top w:val="single" w:color="BFBFBF" w:sz="1"/>
              <w:left w:val="single" w:color="BFBFBF" w:sz="1"/>
              <w:bottom w:val="single" w:color="BFBFBF" w:sz="1"/>
              <w:right w:val="single" w:color="BFBFBF" w:sz="1"/>
            </w:tcBorders>
            <w:shd w:fill="FBE9E7" w:val="clear"/>
            <w:tcMar>
              <w:top w:type="dxa" w:w="70"/>
              <w:left w:type="dxa" w:w="110"/>
              <w:bottom w:type="dxa" w:w="70"/>
              <w:right w:type="dxa" w:w="110"/>
            </w:tcMar>
          </w:tcPr>
          <w:p>
            <w:r>
              <w:rPr>
                <w:b w:val="false"/>
                <w:bCs w:val="false"/>
                <w:color w:val="000000"/>
                <w:sz w:val="18"/>
                <w:szCs w:val="18"/>
              </w:rPr>
              <w:t xml:space="preserve">Produces basic vocabulary of isolated words and phrases. Produces few simple grammatical forms with only limited control.</w:t>
            </w:r>
          </w:p>
        </w:tc>
      </w:tr>
      <w:tr>
        <w:tc>
          <w:tcPr>
            <w:tcW w:type="dxa" w:w="900"/>
            <w:tcBorders>
              <w:top w:val="single" w:color="BFBFBF" w:sz="1"/>
              <w:left w:val="single" w:color="BFBFBF" w:sz="1"/>
              <w:bottom w:val="single" w:color="BFBFBF" w:sz="1"/>
              <w:right w:val="single" w:color="BFBFBF" w:sz="1"/>
            </w:tcBorders>
            <w:shd w:fill="F5C6BE" w:val="clear"/>
            <w:tcMar>
              <w:top w:type="dxa" w:w="70"/>
              <w:left w:type="dxa" w:w="110"/>
              <w:bottom w:type="dxa" w:w="70"/>
              <w:right w:type="dxa" w:w="110"/>
            </w:tcMar>
          </w:tcPr>
          <w:p>
            <w:r>
              <w:rPr>
                <w:b w:val="false"/>
                <w:bCs w:val="false"/>
                <w:color w:val="000000"/>
                <w:sz w:val="18"/>
                <w:szCs w:val="18"/>
              </w:rPr>
              <w:t xml:space="preserve">0</w:t>
            </w:r>
          </w:p>
        </w:tc>
        <w:tc>
          <w:tcPr>
            <w:tcW w:type="dxa" w:w="8460"/>
            <w:tcBorders>
              <w:top w:val="single" w:color="BFBFBF" w:sz="1"/>
              <w:left w:val="single" w:color="BFBFBF" w:sz="1"/>
              <w:bottom w:val="single" w:color="BFBFBF" w:sz="1"/>
              <w:right w:val="single" w:color="BFBFBF" w:sz="1"/>
            </w:tcBorders>
            <w:shd w:fill="F5C6BE" w:val="clear"/>
            <w:tcMar>
              <w:top w:type="dxa" w:w="70"/>
              <w:left w:type="dxa" w:w="110"/>
              <w:bottom w:type="dxa" w:w="70"/>
              <w:right w:type="dxa" w:w="110"/>
            </w:tcMar>
          </w:tcPr>
          <w:p>
            <w:r>
              <w:rPr>
                <w:b w:val="false"/>
                <w:bCs w:val="false"/>
                <w:color w:val="000000"/>
                <w:sz w:val="18"/>
                <w:szCs w:val="18"/>
              </w:rPr>
              <w:t xml:space="preserve">Performance below Band 1.</w:t>
            </w:r>
          </w:p>
        </w:tc>
      </w:tr>
    </w:tbl>
    <w:p>
      <w:pPr>
        <w:pStyle w:val="Heading1"/>
      </w:pPr>
      <w:r>
        <w:t xml:space="preserve">4. Da banda Cambridge à faixa Togethere</w:t>
      </w:r>
    </w:p>
    <w:p>
      <w:pPr>
        <w:spacing w:after="120" w:line="276"/>
      </w:pPr>
      <w:r>
        <w:t xml:space="preserve">O relatório ao aluno e à família usa a escala Togethere. A conversão parte da banda geral (média/soma das três subescalas) e respeita a regra Cambridge de que banda 3+ corresponde a A2. Mapeamento adotado: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4060"/>
        <w:gridCol w:w="130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Banda geral (0–5)</w:t>
            </w:r>
          </w:p>
        </w:tc>
        <w:tc>
          <w:tcPr>
            <w:tcW w:type="dxa" w:w="23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Faixa Togethere</w:t>
            </w:r>
          </w:p>
        </w:tc>
        <w:tc>
          <w:tcPr>
            <w:tcW w:type="dxa" w:w="40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Leitura</w:t>
            </w:r>
          </w:p>
        </w:tc>
        <w:tc>
          <w:tcPr>
            <w:tcW w:type="dxa" w:w="13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CEFR</w:t>
            </w:r>
          </w:p>
        </w:tc>
      </w:tr>
      <w:tr>
        <w:tc>
          <w:tcPr>
            <w:tcW w:type="dxa" w:w="1700"/>
            <w:tcBorders>
              <w:top w:val="single" w:color="BFBFBF" w:sz="1"/>
              <w:left w:val="single" w:color="BFBFBF" w:sz="1"/>
              <w:bottom w:val="single" w:color="BFBFBF" w:sz="1"/>
              <w:right w:val="single" w:color="BFBFBF" w:sz="1"/>
            </w:tcBorders>
            <w:shd w:fill="D5E8D0" w:val="clear"/>
            <w:tcMar>
              <w:top w:type="dxa" w:w="70"/>
              <w:left w:type="dxa" w:w="110"/>
              <w:bottom w:type="dxa" w:w="70"/>
              <w:right w:type="dxa" w:w="110"/>
            </w:tcMar>
          </w:tcPr>
          <w:p>
            <w:r>
              <w:rPr>
                <w:b w:val="false"/>
                <w:bCs w:val="false"/>
                <w:color w:val="000000"/>
                <w:sz w:val="18"/>
                <w:szCs w:val="18"/>
              </w:rPr>
              <w:t xml:space="preserve">5</w:t>
            </w:r>
          </w:p>
        </w:tc>
        <w:tc>
          <w:tcPr>
            <w:tcW w:type="dxa" w:w="2300"/>
            <w:tcBorders>
              <w:top w:val="single" w:color="BFBFBF" w:sz="1"/>
              <w:left w:val="single" w:color="BFBFBF" w:sz="1"/>
              <w:bottom w:val="single" w:color="BFBFBF" w:sz="1"/>
              <w:right w:val="single" w:color="BFBFBF" w:sz="1"/>
            </w:tcBorders>
            <w:shd w:fill="D5E8D0" w:val="clear"/>
            <w:tcMar>
              <w:top w:type="dxa" w:w="70"/>
              <w:left w:type="dxa" w:w="110"/>
              <w:bottom w:type="dxa" w:w="70"/>
              <w:right w:type="dxa" w:w="110"/>
            </w:tcMar>
          </w:tcPr>
          <w:p>
            <w:r>
              <w:rPr>
                <w:b w:val="false"/>
                <w:bCs w:val="false"/>
                <w:color w:val="000000"/>
                <w:sz w:val="18"/>
                <w:szCs w:val="18"/>
              </w:rPr>
              <w:t xml:space="preserve">DISTINCTION</w:t>
            </w:r>
          </w:p>
        </w:tc>
        <w:tc>
          <w:tcPr>
            <w:tcW w:type="dxa" w:w="4060"/>
            <w:tcBorders>
              <w:top w:val="single" w:color="BFBFBF" w:sz="1"/>
              <w:left w:val="single" w:color="BFBFBF" w:sz="1"/>
              <w:bottom w:val="single" w:color="BFBFBF" w:sz="1"/>
              <w:right w:val="single" w:color="BFBFBF" w:sz="1"/>
            </w:tcBorders>
            <w:shd w:fill="D5E8D0" w:val="clear"/>
            <w:tcMar>
              <w:top w:type="dxa" w:w="70"/>
              <w:left w:type="dxa" w:w="110"/>
              <w:bottom w:type="dxa" w:w="70"/>
              <w:right w:type="dxa" w:w="110"/>
            </w:tcMar>
          </w:tcPr>
          <w:p>
            <w:r>
              <w:rPr>
                <w:b w:val="false"/>
                <w:bCs w:val="false"/>
                <w:color w:val="000000"/>
                <w:sz w:val="18"/>
                <w:szCs w:val="18"/>
              </w:rPr>
              <w:t xml:space="preserve">Supera as expectativas do nível A2</w:t>
            </w:r>
          </w:p>
        </w:tc>
        <w:tc>
          <w:tcPr>
            <w:tcW w:type="dxa" w:w="1300"/>
            <w:tcBorders>
              <w:top w:val="single" w:color="BFBFBF" w:sz="1"/>
              <w:left w:val="single" w:color="BFBFBF" w:sz="1"/>
              <w:bottom w:val="single" w:color="BFBFBF" w:sz="1"/>
              <w:right w:val="single" w:color="BFBFBF" w:sz="1"/>
            </w:tcBorders>
            <w:shd w:fill="D5E8D0" w:val="clear"/>
            <w:tcMar>
              <w:top w:type="dxa" w:w="70"/>
              <w:left w:type="dxa" w:w="110"/>
              <w:bottom w:type="dxa" w:w="70"/>
              <w:right w:type="dxa" w:w="110"/>
            </w:tcMar>
          </w:tcPr>
          <w:p>
            <w:r>
              <w:rPr>
                <w:b w:val="false"/>
                <w:bCs w:val="false"/>
                <w:color w:val="000000"/>
                <w:sz w:val="18"/>
                <w:szCs w:val="18"/>
              </w:rPr>
              <w:t xml:space="preserve">≥ A2 (forte)</w:t>
            </w:r>
          </w:p>
        </w:tc>
      </w:tr>
      <w:tr>
        <w:tc>
          <w:tcPr>
            <w:tcW w:type="dxa" w:w="1700"/>
            <w:tcBorders>
              <w:top w:val="single" w:color="BFBFBF" w:sz="1"/>
              <w:left w:val="single" w:color="BFBFBF" w:sz="1"/>
              <w:bottom w:val="single" w:color="BFBFBF" w:sz="1"/>
              <w:right w:val="single" w:color="BFBFBF" w:sz="1"/>
            </w:tcBorders>
            <w:shd w:fill="E4F0DC" w:val="clear"/>
            <w:tcMar>
              <w:top w:type="dxa" w:w="70"/>
              <w:left w:type="dxa" w:w="110"/>
              <w:bottom w:type="dxa" w:w="70"/>
              <w:right w:type="dxa" w:w="110"/>
            </w:tcMar>
          </w:tcPr>
          <w:p>
            <w:r>
              <w:rPr>
                <w:b w:val="false"/>
                <w:bCs w:val="false"/>
                <w:color w:val="000000"/>
                <w:sz w:val="18"/>
                <w:szCs w:val="18"/>
              </w:rPr>
              <w:t xml:space="preserve">4</w:t>
            </w:r>
          </w:p>
        </w:tc>
        <w:tc>
          <w:tcPr>
            <w:tcW w:type="dxa" w:w="2300"/>
            <w:tcBorders>
              <w:top w:val="single" w:color="BFBFBF" w:sz="1"/>
              <w:left w:val="single" w:color="BFBFBF" w:sz="1"/>
              <w:bottom w:val="single" w:color="BFBFBF" w:sz="1"/>
              <w:right w:val="single" w:color="BFBFBF" w:sz="1"/>
            </w:tcBorders>
            <w:shd w:fill="E4F0DC" w:val="clear"/>
            <w:tcMar>
              <w:top w:type="dxa" w:w="70"/>
              <w:left w:type="dxa" w:w="110"/>
              <w:bottom w:type="dxa" w:w="70"/>
              <w:right w:type="dxa" w:w="110"/>
            </w:tcMar>
          </w:tcPr>
          <w:p>
            <w:r>
              <w:rPr>
                <w:b w:val="false"/>
                <w:bCs w:val="false"/>
                <w:color w:val="000000"/>
                <w:sz w:val="18"/>
                <w:szCs w:val="18"/>
              </w:rPr>
              <w:t xml:space="preserve">MERIT</w:t>
            </w:r>
          </w:p>
        </w:tc>
        <w:tc>
          <w:tcPr>
            <w:tcW w:type="dxa" w:w="4060"/>
            <w:tcBorders>
              <w:top w:val="single" w:color="BFBFBF" w:sz="1"/>
              <w:left w:val="single" w:color="BFBFBF" w:sz="1"/>
              <w:bottom w:val="single" w:color="BFBFBF" w:sz="1"/>
              <w:right w:val="single" w:color="BFBFBF" w:sz="1"/>
            </w:tcBorders>
            <w:shd w:fill="E4F0DC" w:val="clear"/>
            <w:tcMar>
              <w:top w:type="dxa" w:w="70"/>
              <w:left w:type="dxa" w:w="110"/>
              <w:bottom w:type="dxa" w:w="70"/>
              <w:right w:type="dxa" w:w="110"/>
            </w:tcMar>
          </w:tcPr>
          <w:p>
            <w:r>
              <w:rPr>
                <w:b w:val="false"/>
                <w:bCs w:val="false"/>
                <w:color w:val="000000"/>
                <w:sz w:val="18"/>
                <w:szCs w:val="18"/>
              </w:rPr>
              <w:t xml:space="preserve">Atinge com excelência os objetivos do A2</w:t>
            </w:r>
          </w:p>
        </w:tc>
        <w:tc>
          <w:tcPr>
            <w:tcW w:type="dxa" w:w="1300"/>
            <w:tcBorders>
              <w:top w:val="single" w:color="BFBFBF" w:sz="1"/>
              <w:left w:val="single" w:color="BFBFBF" w:sz="1"/>
              <w:bottom w:val="single" w:color="BFBFBF" w:sz="1"/>
              <w:right w:val="single" w:color="BFBFBF" w:sz="1"/>
            </w:tcBorders>
            <w:shd w:fill="E4F0DC" w:val="clear"/>
            <w:tcMar>
              <w:top w:type="dxa" w:w="70"/>
              <w:left w:type="dxa" w:w="110"/>
              <w:bottom w:type="dxa" w:w="70"/>
              <w:right w:type="dxa" w:w="110"/>
            </w:tcMar>
          </w:tcPr>
          <w:p>
            <w:r>
              <w:rPr>
                <w:b w:val="false"/>
                <w:bCs w:val="false"/>
                <w:color w:val="000000"/>
                <w:sz w:val="18"/>
                <w:szCs w:val="18"/>
              </w:rPr>
              <w:t xml:space="preserve">≥ A2</w:t>
            </w:r>
          </w:p>
        </w:tc>
      </w:tr>
      <w:tr>
        <w:tc>
          <w:tcPr>
            <w:tcW w:type="dxa" w:w="1700"/>
            <w:tcBorders>
              <w:top w:val="single" w:color="BFBFBF" w:sz="1"/>
              <w:left w:val="single" w:color="BFBFBF" w:sz="1"/>
              <w:bottom w:val="single" w:color="BFBFBF" w:sz="1"/>
              <w:right w:val="single" w:color="BFBFBF" w:sz="1"/>
            </w:tcBorders>
            <w:shd w:fill="EDF3E8" w:val="clear"/>
            <w:tcMar>
              <w:top w:type="dxa" w:w="70"/>
              <w:left w:type="dxa" w:w="110"/>
              <w:bottom w:type="dxa" w:w="70"/>
              <w:right w:type="dxa" w:w="110"/>
            </w:tcMar>
          </w:tcPr>
          <w:p>
            <w:r>
              <w:rPr>
                <w:b w:val="false"/>
                <w:bCs w:val="false"/>
                <w:color w:val="000000"/>
                <w:sz w:val="18"/>
                <w:szCs w:val="18"/>
              </w:rPr>
              <w:t xml:space="preserve">3</w:t>
            </w:r>
          </w:p>
        </w:tc>
        <w:tc>
          <w:tcPr>
            <w:tcW w:type="dxa" w:w="2300"/>
            <w:tcBorders>
              <w:top w:val="single" w:color="BFBFBF" w:sz="1"/>
              <w:left w:val="single" w:color="BFBFBF" w:sz="1"/>
              <w:bottom w:val="single" w:color="BFBFBF" w:sz="1"/>
              <w:right w:val="single" w:color="BFBFBF" w:sz="1"/>
            </w:tcBorders>
            <w:shd w:fill="EDF3E8" w:val="clear"/>
            <w:tcMar>
              <w:top w:type="dxa" w:w="70"/>
              <w:left w:type="dxa" w:w="110"/>
              <w:bottom w:type="dxa" w:w="70"/>
              <w:right w:type="dxa" w:w="110"/>
            </w:tcMar>
          </w:tcPr>
          <w:p>
            <w:r>
              <w:rPr>
                <w:b w:val="false"/>
                <w:bCs w:val="false"/>
                <w:color w:val="000000"/>
                <w:sz w:val="18"/>
                <w:szCs w:val="18"/>
              </w:rPr>
              <w:t xml:space="preserve">PASS</w:t>
            </w:r>
          </w:p>
        </w:tc>
        <w:tc>
          <w:tcPr>
            <w:tcW w:type="dxa" w:w="4060"/>
            <w:tcBorders>
              <w:top w:val="single" w:color="BFBFBF" w:sz="1"/>
              <w:left w:val="single" w:color="BFBFBF" w:sz="1"/>
              <w:bottom w:val="single" w:color="BFBFBF" w:sz="1"/>
              <w:right w:val="single" w:color="BFBFBF" w:sz="1"/>
            </w:tcBorders>
            <w:shd w:fill="EDF3E8" w:val="clear"/>
            <w:tcMar>
              <w:top w:type="dxa" w:w="70"/>
              <w:left w:type="dxa" w:w="110"/>
              <w:bottom w:type="dxa" w:w="70"/>
              <w:right w:type="dxa" w:w="110"/>
            </w:tcMar>
          </w:tcPr>
          <w:p>
            <w:r>
              <w:rPr>
                <w:b w:val="false"/>
                <w:bCs w:val="false"/>
                <w:color w:val="000000"/>
                <w:sz w:val="18"/>
                <w:szCs w:val="18"/>
              </w:rPr>
              <w:t xml:space="preserve">Alcança satisfatoriamente os objetivos essenciais do A2</w:t>
            </w:r>
          </w:p>
        </w:tc>
        <w:tc>
          <w:tcPr>
            <w:tcW w:type="dxa" w:w="1300"/>
            <w:tcBorders>
              <w:top w:val="single" w:color="BFBFBF" w:sz="1"/>
              <w:left w:val="single" w:color="BFBFBF" w:sz="1"/>
              <w:bottom w:val="single" w:color="BFBFBF" w:sz="1"/>
              <w:right w:val="single" w:color="BFBFBF" w:sz="1"/>
            </w:tcBorders>
            <w:shd w:fill="EDF3E8" w:val="clear"/>
            <w:tcMar>
              <w:top w:type="dxa" w:w="70"/>
              <w:left w:type="dxa" w:w="110"/>
              <w:bottom w:type="dxa" w:w="70"/>
              <w:right w:type="dxa" w:w="110"/>
            </w:tcMar>
          </w:tcPr>
          <w:p>
            <w:r>
              <w:rPr>
                <w:b w:val="false"/>
                <w:bCs w:val="false"/>
                <w:color w:val="000000"/>
                <w:sz w:val="18"/>
                <w:szCs w:val="18"/>
              </w:rPr>
              <w:t xml:space="preserve">A2</w:t>
            </w:r>
          </w:p>
        </w:tc>
      </w:tr>
      <w:tr>
        <w:tc>
          <w:tcPr>
            <w:tcW w:type="dxa" w:w="1700"/>
            <w:tcBorders>
              <w:top w:val="single" w:color="BFBFBF" w:sz="1"/>
              <w:left w:val="single" w:color="BFBFBF" w:sz="1"/>
              <w:bottom w:val="single" w:color="BFBFBF" w:sz="1"/>
              <w:right w:val="single" w:color="BFBFBF" w:sz="1"/>
            </w:tcBorders>
            <w:shd w:fill="FBE9E7" w:val="clear"/>
            <w:tcMar>
              <w:top w:type="dxa" w:w="70"/>
              <w:left w:type="dxa" w:w="110"/>
              <w:bottom w:type="dxa" w:w="70"/>
              <w:right w:type="dxa" w:w="110"/>
            </w:tcMar>
          </w:tcPr>
          <w:p>
            <w:r>
              <w:rPr>
                <w:b w:val="false"/>
                <w:bCs w:val="false"/>
                <w:color w:val="000000"/>
                <w:sz w:val="18"/>
                <w:szCs w:val="18"/>
              </w:rPr>
              <w:t xml:space="preserve">1–2</w:t>
            </w:r>
          </w:p>
        </w:tc>
        <w:tc>
          <w:tcPr>
            <w:tcW w:type="dxa" w:w="2300"/>
            <w:tcBorders>
              <w:top w:val="single" w:color="BFBFBF" w:sz="1"/>
              <w:left w:val="single" w:color="BFBFBF" w:sz="1"/>
              <w:bottom w:val="single" w:color="BFBFBF" w:sz="1"/>
              <w:right w:val="single" w:color="BFBFBF" w:sz="1"/>
            </w:tcBorders>
            <w:shd w:fill="FBE9E7" w:val="clear"/>
            <w:tcMar>
              <w:top w:type="dxa" w:w="70"/>
              <w:left w:type="dxa" w:w="110"/>
              <w:bottom w:type="dxa" w:w="70"/>
              <w:right w:type="dxa" w:w="110"/>
            </w:tcMar>
          </w:tcPr>
          <w:p>
            <w:r>
              <w:rPr>
                <w:b w:val="false"/>
                <w:bCs w:val="false"/>
                <w:color w:val="000000"/>
                <w:sz w:val="18"/>
                <w:szCs w:val="18"/>
              </w:rPr>
              <w:t xml:space="preserve">UNSATISFACTORY</w:t>
            </w:r>
          </w:p>
        </w:tc>
        <w:tc>
          <w:tcPr>
            <w:tcW w:type="dxa" w:w="4060"/>
            <w:tcBorders>
              <w:top w:val="single" w:color="BFBFBF" w:sz="1"/>
              <w:left w:val="single" w:color="BFBFBF" w:sz="1"/>
              <w:bottom w:val="single" w:color="BFBFBF" w:sz="1"/>
              <w:right w:val="single" w:color="BFBFBF" w:sz="1"/>
            </w:tcBorders>
            <w:shd w:fill="FBE9E7" w:val="clear"/>
            <w:tcMar>
              <w:top w:type="dxa" w:w="70"/>
              <w:left w:type="dxa" w:w="110"/>
              <w:bottom w:type="dxa" w:w="70"/>
              <w:right w:type="dxa" w:w="110"/>
            </w:tcMar>
          </w:tcPr>
          <w:p>
            <w:r>
              <w:rPr>
                <w:b w:val="false"/>
                <w:bCs w:val="false"/>
                <w:color w:val="000000"/>
                <w:sz w:val="18"/>
                <w:szCs w:val="18"/>
              </w:rPr>
              <w:t xml:space="preserve">Ainda não atingiu os objetivos mínimos do A2</w:t>
            </w:r>
          </w:p>
        </w:tc>
        <w:tc>
          <w:tcPr>
            <w:tcW w:type="dxa" w:w="1300"/>
            <w:tcBorders>
              <w:top w:val="single" w:color="BFBFBF" w:sz="1"/>
              <w:left w:val="single" w:color="BFBFBF" w:sz="1"/>
              <w:bottom w:val="single" w:color="BFBFBF" w:sz="1"/>
              <w:right w:val="single" w:color="BFBFBF" w:sz="1"/>
            </w:tcBorders>
            <w:shd w:fill="FBE9E7" w:val="clear"/>
            <w:tcMar>
              <w:top w:type="dxa" w:w="70"/>
              <w:left w:type="dxa" w:w="110"/>
              <w:bottom w:type="dxa" w:w="70"/>
              <w:right w:type="dxa" w:w="110"/>
            </w:tcMar>
          </w:tcPr>
          <w:p>
            <w:r>
              <w:rPr>
                <w:b w:val="false"/>
                <w:bCs w:val="false"/>
                <w:color w:val="000000"/>
                <w:sz w:val="18"/>
                <w:szCs w:val="18"/>
              </w:rPr>
              <w:t xml:space="preserve">abaixo de A2</w:t>
            </w:r>
          </w:p>
        </w:tc>
      </w:tr>
      <w:tr>
        <w:tc>
          <w:tcPr>
            <w:tcW w:type="dxa" w:w="1700"/>
            <w:tcBorders>
              <w:top w:val="single" w:color="BFBFBF" w:sz="1"/>
              <w:left w:val="single" w:color="BFBFBF" w:sz="1"/>
              <w:bottom w:val="single" w:color="BFBFBF" w:sz="1"/>
              <w:right w:val="single" w:color="BFBFBF" w:sz="1"/>
            </w:tcBorders>
            <w:shd w:fill="F5C6BE" w:val="clear"/>
            <w:tcMar>
              <w:top w:type="dxa" w:w="70"/>
              <w:left w:type="dxa" w:w="110"/>
              <w:bottom w:type="dxa" w:w="70"/>
              <w:right w:type="dxa" w:w="110"/>
            </w:tcMar>
          </w:tcPr>
          <w:p>
            <w:r>
              <w:rPr>
                <w:b w:val="false"/>
                <w:bCs w:val="false"/>
                <w:color w:val="000000"/>
                <w:sz w:val="18"/>
                <w:szCs w:val="18"/>
              </w:rPr>
              <w:t xml:space="preserve">0</w:t>
            </w:r>
          </w:p>
        </w:tc>
        <w:tc>
          <w:tcPr>
            <w:tcW w:type="dxa" w:w="2300"/>
            <w:tcBorders>
              <w:top w:val="single" w:color="BFBFBF" w:sz="1"/>
              <w:left w:val="single" w:color="BFBFBF" w:sz="1"/>
              <w:bottom w:val="single" w:color="BFBFBF" w:sz="1"/>
              <w:right w:val="single" w:color="BFBFBF" w:sz="1"/>
            </w:tcBorders>
            <w:shd w:fill="F5C6BE" w:val="clear"/>
            <w:tcMar>
              <w:top w:type="dxa" w:w="70"/>
              <w:left w:type="dxa" w:w="110"/>
              <w:bottom w:type="dxa" w:w="70"/>
              <w:right w:type="dxa" w:w="110"/>
            </w:tcMar>
          </w:tcPr>
          <w:p>
            <w:r>
              <w:rPr>
                <w:b w:val="false"/>
                <w:bCs w:val="false"/>
                <w:color w:val="000000"/>
                <w:sz w:val="18"/>
                <w:szCs w:val="18"/>
              </w:rPr>
              <w:t xml:space="preserve">UNSATISFACTORY</w:t>
            </w:r>
          </w:p>
        </w:tc>
        <w:tc>
          <w:tcPr>
            <w:tcW w:type="dxa" w:w="4060"/>
            <w:tcBorders>
              <w:top w:val="single" w:color="BFBFBF" w:sz="1"/>
              <w:left w:val="single" w:color="BFBFBF" w:sz="1"/>
              <w:bottom w:val="single" w:color="BFBFBF" w:sz="1"/>
              <w:right w:val="single" w:color="BFBFBF" w:sz="1"/>
            </w:tcBorders>
            <w:shd w:fill="F5C6BE" w:val="clear"/>
            <w:tcMar>
              <w:top w:type="dxa" w:w="70"/>
              <w:left w:type="dxa" w:w="110"/>
              <w:bottom w:type="dxa" w:w="70"/>
              <w:right w:type="dxa" w:w="110"/>
            </w:tcMar>
          </w:tcPr>
          <w:p>
            <w:r>
              <w:rPr>
                <w:b w:val="false"/>
                <w:bCs w:val="false"/>
                <w:color w:val="000000"/>
                <w:sz w:val="18"/>
                <w:szCs w:val="18"/>
              </w:rPr>
              <w:t xml:space="preserve">Texto irrelevante / leitor não informado</w:t>
            </w:r>
          </w:p>
        </w:tc>
        <w:tc>
          <w:tcPr>
            <w:tcW w:type="dxa" w:w="1300"/>
            <w:tcBorders>
              <w:top w:val="single" w:color="BFBFBF" w:sz="1"/>
              <w:left w:val="single" w:color="BFBFBF" w:sz="1"/>
              <w:bottom w:val="single" w:color="BFBFBF" w:sz="1"/>
              <w:right w:val="single" w:color="BFBFBF" w:sz="1"/>
            </w:tcBorders>
            <w:shd w:fill="F5C6BE" w:val="clear"/>
            <w:tcMar>
              <w:top w:type="dxa" w:w="70"/>
              <w:left w:type="dxa" w:w="110"/>
              <w:bottom w:type="dxa" w:w="70"/>
              <w:right w:type="dxa" w:w="110"/>
            </w:tcMar>
          </w:tcPr>
          <w:p>
            <w:r>
              <w:rPr>
                <w:b w:val="false"/>
                <w:bCs w:val="false"/>
                <w:color w:val="000000"/>
                <w:sz w:val="18"/>
                <w:szCs w:val="18"/>
              </w:rPr>
              <w:t xml:space="preserve">abaixo de A2</w:t>
            </w:r>
          </w:p>
        </w:tc>
      </w:tr>
    </w:tbl>
    <w:p>
      <w:pPr>
        <w:spacing w:after="120" w:line="276"/>
      </w:pPr>
      <w:r>
        <w:rPr>
          <w:b/>
          <w:bCs/>
        </w:rPr>
        <w:t xml:space="preserve">Como calcular a banda geral: </w:t>
      </w:r>
      <w:r>
        <w:t xml:space="preserve">o motor pode reportar a faixa por subescala (Content/Organisation/Language cada uma vira uma faixa) e uma faixa global a partir da média das três bandas, arredondando para a banda descrita mais próxima. O professor tem a palavra final.</w:t>
      </w:r>
    </w:p>
    <w:p>
      <w:pPr>
        <w:pStyle w:val="Heading1"/>
      </w:pPr>
      <w:r>
        <w:t xml:space="preserve">5. Descritores Togethere de Produção Escrita (A2)</w:t>
      </w:r>
    </w:p>
    <w:p>
      <w:pPr>
        <w:spacing w:after="120" w:line="276"/>
      </w:pPr>
      <w:r>
        <w:t xml:space="preserve">Linguagem de feedback alinhada ao Guia Pedagógico. Servem para dar voz Togethere ao relatório e para calibrar o tom (encorajador, apropriado à 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Faixa</w:t>
            </w:r>
          </w:p>
        </w:tc>
        <w:tc>
          <w:tcPr>
            <w:tcW w:type="dxa" w:w="76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Descritores Togethere — Produção Escrita A2</w:t>
            </w:r>
          </w:p>
        </w:tc>
      </w:tr>
      <w:tr>
        <w:tc>
          <w:tcPr>
            <w:tcW w:type="dxa" w:w="1700"/>
            <w:tcBorders>
              <w:top w:val="single" w:color="BFBFBF" w:sz="1"/>
              <w:left w:val="single" w:color="BFBFBF" w:sz="1"/>
              <w:bottom w:val="single" w:color="BFBFBF" w:sz="1"/>
              <w:right w:val="single" w:color="BFBFBF" w:sz="1"/>
            </w:tcBorders>
            <w:shd w:fill="D5E8D0" w:val="clear"/>
            <w:tcMar>
              <w:top w:type="dxa" w:w="70"/>
              <w:left w:type="dxa" w:w="110"/>
              <w:bottom w:type="dxa" w:w="70"/>
              <w:right w:type="dxa" w:w="110"/>
            </w:tcMar>
          </w:tcPr>
          <w:p>
            <w:r>
              <w:rPr>
                <w:b w:val="false"/>
                <w:bCs w:val="false"/>
                <w:color w:val="000000"/>
                <w:sz w:val="18"/>
                <w:szCs w:val="18"/>
              </w:rPr>
              <w:t xml:space="preserve">DISTINCTION</w:t>
            </w:r>
          </w:p>
        </w:tc>
        <w:tc>
          <w:tcPr>
            <w:tcW w:type="dxa" w:w="7660"/>
            <w:tcBorders>
              <w:top w:val="single" w:color="BFBFBF" w:sz="1"/>
              <w:left w:val="single" w:color="BFBFBF" w:sz="1"/>
              <w:bottom w:val="single" w:color="BFBFBF" w:sz="1"/>
              <w:right w:val="single" w:color="BFBFBF" w:sz="1"/>
            </w:tcBorders>
            <w:shd w:fill="D5E8D0" w:val="clear"/>
            <w:tcMar>
              <w:top w:type="dxa" w:w="70"/>
              <w:left w:type="dxa" w:w="110"/>
              <w:bottom w:type="dxa" w:w="70"/>
              <w:right w:type="dxa" w:w="110"/>
            </w:tcMar>
          </w:tcPr>
          <w:p>
            <w:r>
              <w:rPr>
                <w:b w:val="false"/>
                <w:bCs w:val="false"/>
                <w:color w:val="000000"/>
                <w:sz w:val="18"/>
                <w:szCs w:val="18"/>
              </w:rPr>
              <w:t xml:space="preserve">Escreve textos curtos e organizados sobre eventos passados com clareza. Produz descrições simples de pessoas, locais e atividades. Usa conectores básicos para relacionar ideias. Redige mensagens/notas compreensíveis. Aplica pontuação básica corretamente.</w:t>
            </w:r>
          </w:p>
        </w:tc>
      </w:tr>
      <w:tr>
        <w:tc>
          <w:tcPr>
            <w:tcW w:type="dxa" w:w="1700"/>
            <w:tcBorders>
              <w:top w:val="single" w:color="BFBFBF" w:sz="1"/>
              <w:left w:val="single" w:color="BFBFBF" w:sz="1"/>
              <w:bottom w:val="single" w:color="BFBFBF" w:sz="1"/>
              <w:right w:val="single" w:color="BFBFBF" w:sz="1"/>
            </w:tcBorders>
            <w:shd w:fill="E4F0DC" w:val="clear"/>
            <w:tcMar>
              <w:top w:type="dxa" w:w="70"/>
              <w:left w:type="dxa" w:w="110"/>
              <w:bottom w:type="dxa" w:w="70"/>
              <w:right w:type="dxa" w:w="110"/>
            </w:tcMar>
          </w:tcPr>
          <w:p>
            <w:r>
              <w:rPr>
                <w:b w:val="false"/>
                <w:bCs w:val="false"/>
                <w:color w:val="000000"/>
                <w:sz w:val="18"/>
                <w:szCs w:val="18"/>
              </w:rPr>
              <w:t xml:space="preserve">MERIT</w:t>
            </w:r>
          </w:p>
        </w:tc>
        <w:tc>
          <w:tcPr>
            <w:tcW w:type="dxa" w:w="7660"/>
            <w:tcBorders>
              <w:top w:val="single" w:color="BFBFBF" w:sz="1"/>
              <w:left w:val="single" w:color="BFBFBF" w:sz="1"/>
              <w:bottom w:val="single" w:color="BFBFBF" w:sz="1"/>
              <w:right w:val="single" w:color="BFBFBF" w:sz="1"/>
            </w:tcBorders>
            <w:shd w:fill="E4F0DC" w:val="clear"/>
            <w:tcMar>
              <w:top w:type="dxa" w:w="70"/>
              <w:left w:type="dxa" w:w="110"/>
              <w:bottom w:type="dxa" w:w="70"/>
              <w:right w:type="dxa" w:w="110"/>
            </w:tcMar>
          </w:tcPr>
          <w:p>
            <w:r>
              <w:rPr>
                <w:b w:val="false"/>
                <w:bCs w:val="false"/>
                <w:color w:val="000000"/>
                <w:sz w:val="18"/>
                <w:szCs w:val="18"/>
              </w:rPr>
              <w:t xml:space="preserve">Constrói textos curtos sobre experiências pessoais com poucos erros. Escreve descrições básicas de forma compreensível. Usa elementos básicos para conectar ideias. Produz mensagens curtas com estrutura clara. Usa pontuação essencial corretamente.</w:t>
            </w:r>
          </w:p>
        </w:tc>
      </w:tr>
      <w:tr>
        <w:tc>
          <w:tcPr>
            <w:tcW w:type="dxa" w:w="1700"/>
            <w:tcBorders>
              <w:top w:val="single" w:color="BFBFBF" w:sz="1"/>
              <w:left w:val="single" w:color="BFBFBF" w:sz="1"/>
              <w:bottom w:val="single" w:color="BFBFBF" w:sz="1"/>
              <w:right w:val="single" w:color="BFBFBF" w:sz="1"/>
            </w:tcBorders>
            <w:shd w:fill="F5F5F5" w:val="clear"/>
            <w:tcMar>
              <w:top w:type="dxa" w:w="70"/>
              <w:left w:type="dxa" w:w="110"/>
              <w:bottom w:type="dxa" w:w="70"/>
              <w:right w:type="dxa" w:w="110"/>
            </w:tcMar>
          </w:tcPr>
          <w:p>
            <w:r>
              <w:rPr>
                <w:b w:val="false"/>
                <w:bCs w:val="false"/>
                <w:color w:val="000000"/>
                <w:sz w:val="18"/>
                <w:szCs w:val="18"/>
              </w:rPr>
              <w:t xml:space="preserve">PASS</w:t>
            </w:r>
          </w:p>
        </w:tc>
        <w:tc>
          <w:tcPr>
            <w:tcW w:type="dxa" w:w="7660"/>
            <w:tcBorders>
              <w:top w:val="single" w:color="BFBFBF" w:sz="1"/>
              <w:left w:val="single" w:color="BFBFBF" w:sz="1"/>
              <w:bottom w:val="single" w:color="BFBFBF" w:sz="1"/>
              <w:right w:val="single" w:color="BFBFBF" w:sz="1"/>
            </w:tcBorders>
            <w:shd w:fill="F5F5F5" w:val="clear"/>
            <w:tcMar>
              <w:top w:type="dxa" w:w="70"/>
              <w:left w:type="dxa" w:w="110"/>
              <w:bottom w:type="dxa" w:w="70"/>
              <w:right w:type="dxa" w:w="110"/>
            </w:tcMar>
          </w:tcPr>
          <w:p>
            <w:r>
              <w:rPr>
                <w:b w:val="false"/>
                <w:bCs w:val="false"/>
                <w:color w:val="000000"/>
                <w:sz w:val="18"/>
                <w:szCs w:val="18"/>
              </w:rPr>
              <w:t xml:space="preserve">Tenta escrever sobre eventos passados, ainda que com limitações. Faz descrições muito simples e diretas. Usa apenas conectores básicos para estruturar frases. Escreve mensagens elementares. Demonstra uso funcional da pontuação básica.</w:t>
            </w:r>
          </w:p>
        </w:tc>
      </w:tr>
      <w:tr>
        <w:tc>
          <w:tcPr>
            <w:tcW w:type="dxa" w:w="1700"/>
            <w:tcBorders>
              <w:top w:val="single" w:color="BFBFBF" w:sz="1"/>
              <w:left w:val="single" w:color="BFBFBF" w:sz="1"/>
              <w:bottom w:val="single" w:color="BFBFBF" w:sz="1"/>
              <w:right w:val="single" w:color="BFBFBF" w:sz="1"/>
            </w:tcBorders>
            <w:shd w:fill="FBE9E7" w:val="clear"/>
            <w:tcMar>
              <w:top w:type="dxa" w:w="70"/>
              <w:left w:type="dxa" w:w="110"/>
              <w:bottom w:type="dxa" w:w="70"/>
              <w:right w:type="dxa" w:w="110"/>
            </w:tcMar>
          </w:tcPr>
          <w:p>
            <w:r>
              <w:rPr>
                <w:b w:val="false"/>
                <w:bCs w:val="false"/>
                <w:color w:val="000000"/>
                <w:sz w:val="18"/>
                <w:szCs w:val="18"/>
              </w:rPr>
              <w:t xml:space="preserve">UNSATISFACTORY</w:t>
            </w:r>
          </w:p>
        </w:tc>
        <w:tc>
          <w:tcPr>
            <w:tcW w:type="dxa" w:w="7660"/>
            <w:tcBorders>
              <w:top w:val="single" w:color="BFBFBF" w:sz="1"/>
              <w:left w:val="single" w:color="BFBFBF" w:sz="1"/>
              <w:bottom w:val="single" w:color="BFBFBF" w:sz="1"/>
              <w:right w:val="single" w:color="BFBFBF" w:sz="1"/>
            </w:tcBorders>
            <w:shd w:fill="FBE9E7" w:val="clear"/>
            <w:tcMar>
              <w:top w:type="dxa" w:w="70"/>
              <w:left w:type="dxa" w:w="110"/>
              <w:bottom w:type="dxa" w:w="70"/>
              <w:right w:type="dxa" w:w="110"/>
            </w:tcMar>
          </w:tcPr>
          <w:p>
            <w:r>
              <w:rPr>
                <w:b w:val="false"/>
                <w:bCs w:val="false"/>
                <w:color w:val="000000"/>
                <w:sz w:val="18"/>
                <w:szCs w:val="18"/>
              </w:rPr>
              <w:t xml:space="preserve">Não consegue escrever sobre eventos passados de forma compreensível. Produz descrições fragmentadas ou incoerentes. Não estabelece conexão clara entre ideias. Tem dificuldade em escrever mensagens curtas. Não usa pontuação corretamente.</w:t>
            </w:r>
          </w:p>
        </w:tc>
      </w:tr>
    </w:tbl>
    <w:p>
      <w:pPr>
        <w:pStyle w:val="Heading1"/>
      </w:pPr>
      <w:r>
        <w:t xml:space="preserve">6. Como o motor deve aplicar a rubrica</w:t>
      </w:r>
    </w:p>
    <w:p>
      <w:pPr>
        <w:pStyle w:val="ListParagraph"/>
        <w:numPr>
          <w:ilvl w:val="0"/>
          <w:numId w:val="2"/>
        </w:numPr>
        <w:spacing w:after="50"/>
      </w:pPr>
      <w:r>
        <w:t xml:space="preserve">Identificar o gênero (Part 6 e-mail ou Part 7 história) e os pontos exigidos pelo enunciado.</w:t>
      </w:r>
    </w:p>
    <w:p>
      <w:pPr>
        <w:pStyle w:val="ListParagraph"/>
        <w:numPr>
          <w:ilvl w:val="0"/>
          <w:numId w:val="2"/>
        </w:numPr>
        <w:spacing w:after="50"/>
      </w:pPr>
      <w:r>
        <w:t xml:space="preserve">Checar sinais objetivos: contagem de palavras vs. mínimo, cobertura dos 3 prompts/imagens, formato do gênero.</w:t>
      </w:r>
    </w:p>
    <w:p>
      <w:pPr>
        <w:pStyle w:val="ListParagraph"/>
        <w:numPr>
          <w:ilvl w:val="0"/>
          <w:numId w:val="2"/>
        </w:numPr>
        <w:spacing w:after="50"/>
      </w:pPr>
      <w:r>
        <w:t xml:space="preserve">Atribuir banda 0–5 em cada subescala (Content, Organisation, Language) usando os descritores da seção 3, com uma justificativa curta por subescala.</w:t>
      </w:r>
    </w:p>
    <w:p>
      <w:pPr>
        <w:pStyle w:val="ListParagraph"/>
        <w:numPr>
          <w:ilvl w:val="0"/>
          <w:numId w:val="2"/>
        </w:numPr>
        <w:spacing w:after="50"/>
      </w:pPr>
      <w:r>
        <w:t xml:space="preserve">Localizar erros: trecho, tipo (gramática, vocabulário, pontuação, coesão, registro/formato), correção e explicação breve.</w:t>
      </w:r>
    </w:p>
    <w:p>
      <w:pPr>
        <w:pStyle w:val="ListParagraph"/>
        <w:numPr>
          <w:ilvl w:val="0"/>
          <w:numId w:val="2"/>
        </w:numPr>
        <w:spacing w:after="50"/>
      </w:pPr>
      <w:r>
        <w:t xml:space="preserve">Converter para faixa Togethere (seção 4) e escrever 1–3 sugestões priorizadas + pontos fortes, em tom encorajador.</w:t>
      </w:r>
    </w:p>
    <w:p>
      <w:pPr>
        <w:pStyle w:val="ListParagraph"/>
        <w:numPr>
          <w:ilvl w:val="0"/>
          <w:numId w:val="2"/>
        </w:numPr>
        <w:spacing w:after="120"/>
      </w:pPr>
      <w:r>
        <w:t xml:space="preserve">Marcar 'requer revisão do professor' e registrar no histórico do aluno.</w:t>
      </w:r>
    </w:p>
    <w:p>
      <w:pPr>
        <w:pStyle w:val="Heading2"/>
      </w:pPr>
      <w:r>
        <w:t xml:space="preserve">Saída estruturada mínima (por tarefa)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Campo</w:t>
            </w:r>
          </w:p>
        </w:tc>
        <w:tc>
          <w:tcPr>
            <w:tcW w:type="dxa" w:w="63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Conteúdo</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task_part</w:t>
            </w:r>
          </w:p>
        </w:tc>
        <w:tc>
          <w:tcPr>
            <w:tcW w:type="dxa" w:w="6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'part6_email' ou 'part7_story'</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word_count / min_words</w:t>
            </w:r>
          </w:p>
        </w:tc>
        <w:tc>
          <w:tcPr>
            <w:tcW w:type="dxa" w:w="6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número escrito / mínimo exigido (25 ou 35)</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content_band / org_band / language_band</w:t>
            </w:r>
          </w:p>
        </w:tc>
        <w:tc>
          <w:tcPr>
            <w:tcW w:type="dxa" w:w="6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0–5 cada, com justificativa curta</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overall_band</w:t>
            </w:r>
          </w:p>
        </w:tc>
        <w:tc>
          <w:tcPr>
            <w:tcW w:type="dxa" w:w="6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0–5 (média das três)</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togethere_band</w:t>
            </w:r>
          </w:p>
        </w:tc>
        <w:tc>
          <w:tcPr>
            <w:tcW w:type="dxa" w:w="6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DISTINCTION / MERIT / PASS / UNSATISFACTORY</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cefr_result</w:t>
            </w:r>
          </w:p>
        </w:tc>
        <w:tc>
          <w:tcPr>
            <w:tcW w:type="dxa" w:w="6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A2 atingido? (sim se banda ≥ 3)</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errors[]</w:t>
            </w:r>
          </w:p>
        </w:tc>
        <w:tc>
          <w:tcPr>
            <w:tcW w:type="dxa" w:w="6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trecho, tipo, correção, explicação</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strengths[] / next_steps[]</w:t>
            </w:r>
          </w:p>
        </w:tc>
        <w:tc>
          <w:tcPr>
            <w:tcW w:type="dxa" w:w="6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pontos fortes e 1–3 sugestões priorizadas</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needs_teacher_review</w:t>
            </w:r>
          </w:p>
        </w:tc>
        <w:tc>
          <w:tcPr>
            <w:tcW w:type="dxa" w:w="6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sz w:val="18"/>
                <w:szCs w:val="18"/>
              </w:rPr>
              <w:t xml:space="preserve">true por padrão no piloto</w:t>
            </w:r>
          </w:p>
        </w:tc>
      </w:tr>
    </w:tbl>
    <w:p>
      <w:pPr>
        <w:pStyle w:val="Heading1"/>
      </w:pPr>
      <w:r>
        <w:t xml:space="preserve">7. Exemplo calibrado (referência Cambridge)</w:t>
      </w:r>
    </w:p>
    <w:p>
      <w:pPr>
        <w:spacing w:after="120" w:line="276"/>
      </w:pPr>
      <w:r>
        <w:rPr>
          <w:i/>
          <w:iCs/>
        </w:rPr>
        <w:t xml:space="preserve">Part 7 — história </w:t>
      </w:r>
      <w:r>
        <w:t xml:space="preserve">("Last Saturday I went to a picnic with my friends. First, we put the fruits, sandwitch and orange juice in my bag, then we went. When we arrived at the camping, we ate on the floor. Then Tom and Lucy went to the lake and Michel and me saw them.")</w:t>
      </w:r>
    </w:p>
    <w:p>
      <w:pPr>
        <w:pStyle w:val="ListParagraph"/>
        <w:numPr>
          <w:ilvl w:val="0"/>
          <w:numId w:val="3"/>
        </w:numPr>
        <w:spacing w:after="50"/>
      </w:pPr>
      <w:r>
        <w:rPr>
          <w:b/>
          <w:bCs/>
        </w:rPr>
        <w:t xml:space="preserve">Organisation — Banda 5: </w:t>
      </w:r>
      <w:r>
        <w:t xml:space="preserve">conectado e coerente; usa 'and', seq. de passado (Last Saturday; First; then; When; Then) e pronomes para evitar repetição.</w:t>
      </w:r>
    </w:p>
    <w:p>
      <w:pPr>
        <w:pStyle w:val="ListParagraph"/>
        <w:numPr>
          <w:ilvl w:val="0"/>
          <w:numId w:val="3"/>
        </w:numPr>
        <w:spacing w:after="50"/>
      </w:pPr>
      <w:r>
        <w:rPr>
          <w:b/>
          <w:bCs/>
        </w:rPr>
        <w:t xml:space="preserve">Language — Banda 3 (outro exemplo): </w:t>
      </w:r>
      <w:r>
        <w:t xml:space="preserve">vocabulário básico apropriado, formas simples com algum controle; erros de pontuação e artigos que às vezes atrapalham o sentido.</w:t>
      </w:r>
    </w:p>
    <w:p>
      <w:pPr>
        <w:spacing w:after="120" w:line="276"/>
      </w:pPr>
      <w:r>
        <w:t xml:space="preserve">Estes exemplos servem para calibrar o motor: o professor pode comparar as bandas da IA com as do examinador Cambridge e ajustar o prompt até haver boa concordância.</w:t>
      </w:r>
    </w:p>
    <w:p>
      <w:pPr>
        <w:pBdr>
          <w:top w:val="single" w:color="BFBFBF" w:sz="4" w:space="4"/>
        </w:pBdr>
        <w:spacing w:before="160"/>
      </w:pPr>
      <w:r>
        <w:rPr>
          <w:i/>
          <w:iCs/>
          <w:color w:val="595959"/>
          <w:sz w:val="18"/>
          <w:szCs w:val="18"/>
        </w:rPr>
        <w:t xml:space="preserve">Próximo passo: transformar esta rubrica no prompt do motor de avaliação e testar contra os exemplos Cambridge A2 e contra correções reais de professores para medir a concordância. Posso replicar o mesmo formato para B1, B2, C1 e C2 quando você quiser.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Togethere — Rubrica de Writing A2 (A2 Key for Schools)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lvl w:ilvl="1" w15:tentative="1">
      <w:start w:val="1"/>
      <w:numFmt w:val="bullet"/>
      <w:lvlText w:val="◦"/>
      <w:lvlJc w:val="left"/>
      <w:pPr>
        <w:ind w:left="124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1F3864"/>
      <w:sz w:val="48"/>
      <w:szCs w:val="48"/>
    </w:rPr>
  </w:style>
  <w:style w:type="paragraph" w:styleId="Heading1">
    <w:name w:val="Heading 1"/>
    <w:basedOn w:val="Normal"/>
    <w:next w:val="Normal"/>
    <w:qFormat/>
    <w:pPr>
      <w:spacing w:after="13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90" w:before="18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2026-07-10T12:59:33.917Z</dcterms:created>
  <dcterms:modified xsi:type="dcterms:W3CDTF">2026-07-10T12:59:33.919Z</dcterms:modified>
</cp:coreProperties>
</file>

<file path=docProps/custom.xml><?xml version="1.0" encoding="utf-8"?>
<Properties xmlns="http://schemas.openxmlformats.org/officeDocument/2006/custom-properties" xmlns:vt="http://schemas.openxmlformats.org/officeDocument/2006/docPropsVTypes"/>
</file>