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i w:val="1"/>
          <w:iCs w:val="1"/>
          <w:sz w:val="32"/>
          <w:szCs w:val="32"/>
          <w:u w:val="single"/>
        </w:rPr>
      </w:pPr>
      <w:r w:rsidDel="00000000" w:rsidR="00000000" w:rsidRPr="00000000">
        <w:rPr>
          <w:i w:val="1"/>
          <w:iCs w:val="1"/>
          <w:sz w:val="32"/>
          <w:szCs w:val="32"/>
          <w:u w:val="single"/>
          <w:rtl w:val="0"/>
        </w:rPr>
        <w:t xml:space="preserve">Ensayo sobre la ley 25.326</w:t>
      </w:r>
    </w:p>
    <w:p w:rsidR="00000000" w:rsidDel="00000000" w:rsidP="00000000" w:rsidRDefault="00000000" w:rsidRPr="00000000" w14:paraId="00000002">
      <w:pPr>
        <w:pStyle w:val="Heading1"/>
        <w:rPr/>
      </w:pPr>
      <w:bookmarkStart w:colFirst="0" w:colLast="0" w:name="_jr0whhll8chj" w:id="0"/>
      <w:bookmarkEnd w:id="0"/>
      <w:r w:rsidDel="00000000" w:rsidR="00000000" w:rsidRPr="00000000">
        <w:rPr>
          <w:rtl w:val="0"/>
        </w:rPr>
        <w:t xml:space="preserve">Introducción:</w:t>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escrito tiene el propósito de ser un </w:t>
      </w:r>
      <w:r w:rsidDel="00000000" w:rsidR="00000000" w:rsidRPr="00000000">
        <w:rPr>
          <w:rFonts w:ascii="Calibri" w:cs="Calibri" w:eastAsia="Calibri" w:hAnsi="Calibri"/>
          <w:i w:val="1"/>
          <w:iCs w:val="1"/>
          <w:sz w:val="24"/>
          <w:szCs w:val="24"/>
          <w:rtl w:val="0"/>
        </w:rPr>
        <w:t xml:space="preserve">ensayo</w:t>
      </w:r>
      <w:r w:rsidDel="00000000" w:rsidR="00000000" w:rsidRPr="00000000">
        <w:rPr>
          <w:rFonts w:ascii="Calibri" w:cs="Calibri" w:eastAsia="Calibri" w:hAnsi="Calibri"/>
          <w:sz w:val="24"/>
          <w:szCs w:val="24"/>
          <w:rtl w:val="0"/>
        </w:rPr>
        <w:t xml:space="preserve"> de un análisis legal de una ley particular, con el propósito pretendido de poder respetarla correctamente durante el desarrollo, lanzamiento y mantenimiento de un software particular, el cual está necesariamente conectado a esta ley debido a el uso de datos personales; y el propósito real de aprender sobre la ética profesional, el cumplimiento de leyes, entre otras cosas.</w:t>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asume que esto es un ensayo debido a que, en un entorno profesional, se requeriria que el mismo sea estandarizado, profesional, y respaldado por abogados, lo cual es imposible de cumplir por estudiantes universitarios sin experiencia en lo legal.</w:t>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ensayo tiene el propósito de resumir la ley lo más posible, poniendo foco en QUE debe ser considerado de la ley que aplica a nuestro software (ES posible que sólo parte de la ley deba ser cumplida, debido a ser paquetes que tratan muchos temas posiblemente distintos), QUE parte de nuestro proyecto deben ser considerados en este contexto (Es posible que solo parte del software necesite ser evaluado) y CÓMO asegurar el cumplimiento.</w:t>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aclaración, debido a lo entendido en clase, es esperable y hasta aprobado el uso de inteligencia artificial para acortar tiempos y hacer entregas más rápidas. Se asume que este ensayo se incluye en esto, y por lo tanto la inteligencia artificial fue consultada para generar un entendimiento inicial y desarrollar. Pero como práctica profesional, la información dada por IA fue confirmada manualmente, y redactada a nuestra manera. en otras palabras, no fue copiada y pegada, sino analizada y redactada. Esto es especialmente importante en un contexto legal: En la vida real están ocurriendo casos de personas cometiendo errores legales debido a consultar IAs en vez de abogados.</w:t>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describe aquí la investigación de tópicos relevantes de la consigna, los cuales no eran conocidos y fueron investigados:</w:t>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personales</w:t>
      </w:r>
      <w:r w:rsidDel="00000000" w:rsidR="00000000" w:rsidRPr="00000000">
        <w:rPr>
          <w:rFonts w:ascii="Calibri" w:cs="Calibri" w:eastAsia="Calibri" w:hAnsi="Calibri"/>
          <w:sz w:val="24"/>
          <w:szCs w:val="24"/>
          <w:rtl w:val="0"/>
        </w:rPr>
        <w:t xml:space="preserve"> (Esto es claro)</w:t>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Base de licitud</w:t>
      </w:r>
      <w:r w:rsidDel="00000000" w:rsidR="00000000" w:rsidRPr="00000000">
        <w:rPr>
          <w:rFonts w:ascii="Calibri" w:cs="Calibri" w:eastAsia="Calibri" w:hAnsi="Calibri"/>
          <w:sz w:val="24"/>
          <w:szCs w:val="24"/>
          <w:rtl w:val="0"/>
        </w:rPr>
        <w:t xml:space="preserve">, (La base de licitud es el fundamento jurídico que habilita el tratamiento de datos personales conforme a la Ley 25.326, ya sea a través del consentimiento del titular o de una habilitación legal expresa que lo sustituya. </w:t>
      </w:r>
    </w:p>
    <w:p w:rsidR="00000000" w:rsidDel="00000000" w:rsidP="00000000" w:rsidRDefault="00000000" w:rsidRPr="00000000" w14:paraId="0000000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Retención</w:t>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conservación o mantenimiento de datos personales en un archivo, registro o base de datos durante un determinado período de tiempo, una vez recolectados, y mientras subsista una finalidad legítima que lo justifique. </w:t>
      </w:r>
    </w:p>
    <w:p w:rsidR="00000000" w:rsidDel="00000000" w:rsidP="00000000" w:rsidRDefault="00000000" w:rsidRPr="00000000" w14:paraId="0000000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Derechos ARCO</w:t>
      </w:r>
    </w:p>
    <w:p w:rsidR="00000000" w:rsidDel="00000000" w:rsidP="00000000" w:rsidRDefault="00000000" w:rsidRPr="00000000" w14:paraId="00000010">
      <w:pPr>
        <w:rPr>
          <w:rFonts w:ascii="Calibri" w:cs="Calibri" w:eastAsia="Calibri" w:hAnsi="Calibri"/>
          <w:color w:val="00796b"/>
          <w:sz w:val="24"/>
          <w:szCs w:val="24"/>
        </w:rPr>
      </w:pPr>
      <w:r w:rsidDel="00000000" w:rsidR="00000000" w:rsidRPr="00000000">
        <w:rPr>
          <w:rFonts w:ascii="Calibri" w:cs="Calibri" w:eastAsia="Calibri" w:hAnsi="Calibri"/>
          <w:sz w:val="24"/>
          <w:szCs w:val="24"/>
          <w:rtl w:val="0"/>
        </w:rPr>
        <w:t xml:space="preserve">Derechos de personas involucradas al acceso, rectificación, cancelación u oposición de sus datos personales.</w:t>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pStyle w:val="Heading1"/>
        <w:rPr/>
      </w:pPr>
      <w:bookmarkStart w:colFirst="0" w:colLast="0" w:name="_1ctphqfockf2" w:id="1"/>
      <w:bookmarkEnd w:id="1"/>
      <w:r w:rsidDel="00000000" w:rsidR="00000000" w:rsidRPr="00000000">
        <w:rPr>
          <w:rtl w:val="0"/>
        </w:rPr>
        <w:t xml:space="preserve">Desarrollo:</w:t>
      </w:r>
    </w:p>
    <w:p w:rsidR="00000000" w:rsidDel="00000000" w:rsidP="00000000" w:rsidRDefault="00000000" w:rsidRPr="00000000" w14:paraId="00000013">
      <w:pPr>
        <w:pStyle w:val="Heading2"/>
        <w:rPr/>
      </w:pPr>
      <w:bookmarkStart w:colFirst="0" w:colLast="0" w:name="_hz1bsgp5r4gu" w:id="2"/>
      <w:bookmarkEnd w:id="2"/>
      <w:r w:rsidDel="00000000" w:rsidR="00000000" w:rsidRPr="00000000">
        <w:rPr>
          <w:rtl w:val="0"/>
        </w:rPr>
        <w:t xml:space="preserve">Partes significativas de la ley.</w:t>
      </w:r>
    </w:p>
    <w:p w:rsidR="00000000" w:rsidDel="00000000" w:rsidP="00000000" w:rsidRDefault="00000000" w:rsidRPr="00000000" w14:paraId="0000001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ley</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d</w:t>
      </w:r>
      <w:r w:rsidDel="00000000" w:rsidR="00000000" w:rsidRPr="00000000">
        <w:rPr>
          <w:rFonts w:ascii="Calibri" w:cs="Calibri" w:eastAsia="Calibri" w:hAnsi="Calibri"/>
          <w:sz w:val="24"/>
          <w:szCs w:val="24"/>
          <w:rtl w:val="0"/>
        </w:rPr>
        <w:t xml:space="preserve">efine qué es un </w:t>
      </w:r>
      <w:r w:rsidDel="00000000" w:rsidR="00000000" w:rsidRPr="00000000">
        <w:rPr>
          <w:rFonts w:ascii="Calibri" w:cs="Calibri" w:eastAsia="Calibri" w:hAnsi="Calibri"/>
          <w:sz w:val="24"/>
          <w:szCs w:val="24"/>
          <w:rtl w:val="0"/>
        </w:rPr>
        <w:t xml:space="preserve">dato persona</w:t>
      </w:r>
      <w:r w:rsidDel="00000000" w:rsidR="00000000" w:rsidRPr="00000000">
        <w:rPr>
          <w:rFonts w:ascii="Calibri" w:cs="Calibri" w:eastAsia="Calibri" w:hAnsi="Calibri"/>
          <w:b w:val="1"/>
          <w:bCs w:val="1"/>
          <w:sz w:val="24"/>
          <w:szCs w:val="24"/>
          <w:rtl w:val="0"/>
        </w:rPr>
        <w:t xml:space="preserve">l</w:t>
      </w:r>
      <w:r w:rsidDel="00000000" w:rsidR="00000000" w:rsidRPr="00000000">
        <w:rPr>
          <w:rFonts w:ascii="Calibri" w:cs="Calibri" w:eastAsia="Calibri" w:hAnsi="Calibri"/>
          <w:sz w:val="24"/>
          <w:szCs w:val="24"/>
          <w:rtl w:val="0"/>
        </w:rPr>
        <w:t xml:space="preserve"> (cualquier información sobre personas determinadas o determinables) y qué son los </w:t>
      </w:r>
      <w:r w:rsidDel="00000000" w:rsidR="00000000" w:rsidRPr="00000000">
        <w:rPr>
          <w:rFonts w:ascii="Calibri" w:cs="Calibri" w:eastAsia="Calibri" w:hAnsi="Calibri"/>
          <w:sz w:val="24"/>
          <w:szCs w:val="24"/>
          <w:rtl w:val="0"/>
        </w:rPr>
        <w:t xml:space="preserve">datos sensibles</w:t>
      </w:r>
      <w:r w:rsidDel="00000000" w:rsidR="00000000" w:rsidRPr="00000000">
        <w:rPr>
          <w:rFonts w:ascii="Calibri" w:cs="Calibri" w:eastAsia="Calibri" w:hAnsi="Calibri"/>
          <w:sz w:val="24"/>
          <w:szCs w:val="24"/>
          <w:rtl w:val="0"/>
        </w:rPr>
        <w:t xml:space="preserve"> (aquellos que revelan origen racial, salud, opiniones políticas, etc.), los cuales tienen una protección mucho más estricta. </w:t>
      </w:r>
      <w:r w:rsidDel="00000000" w:rsidR="00000000" w:rsidRPr="00000000">
        <w:rPr>
          <w:rFonts w:ascii="Calibri" w:cs="Calibri" w:eastAsia="Calibri" w:hAnsi="Calibri"/>
          <w:sz w:val="24"/>
          <w:szCs w:val="24"/>
          <w:rtl w:val="0"/>
        </w:rPr>
        <w:t xml:space="preserve">El principio de calidad de los datos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establece</w:t>
      </w:r>
      <w:r w:rsidDel="00000000" w:rsidR="00000000" w:rsidRPr="00000000">
        <w:rPr>
          <w:rFonts w:ascii="Calibri" w:cs="Calibri" w:eastAsia="Calibri" w:hAnsi="Calibri"/>
          <w:sz w:val="24"/>
          <w:szCs w:val="24"/>
          <w:rtl w:val="0"/>
        </w:rPr>
        <w:t xml:space="preserve"> que los datos recolectados deben ser ciertos, adecuados y</w:t>
      </w:r>
      <w:r w:rsidDel="00000000" w:rsidR="00000000" w:rsidRPr="00000000">
        <w:rPr>
          <w:rFonts w:ascii="Calibri" w:cs="Calibri" w:eastAsia="Calibri" w:hAnsi="Calibri"/>
          <w:sz w:val="24"/>
          <w:szCs w:val="24"/>
          <w:rtl w:val="0"/>
        </w:rPr>
        <w:t xml:space="preserve"> no excesivos </w:t>
      </w:r>
      <w:r w:rsidDel="00000000" w:rsidR="00000000" w:rsidRPr="00000000">
        <w:rPr>
          <w:rFonts w:ascii="Calibri" w:cs="Calibri" w:eastAsia="Calibri" w:hAnsi="Calibri"/>
          <w:sz w:val="24"/>
          <w:szCs w:val="24"/>
          <w:rtl w:val="0"/>
        </w:rPr>
        <w:t xml:space="preserve">en relación al fin para el que se obtuvieron. También obliga a destruirlos cuando dejen de ser necesarios. Por otro lado, la base</w:t>
      </w:r>
      <w:r w:rsidDel="00000000" w:rsidR="00000000" w:rsidRPr="00000000">
        <w:rPr>
          <w:rFonts w:ascii="Calibri" w:cs="Calibri" w:eastAsia="Calibri" w:hAnsi="Calibri"/>
          <w:sz w:val="24"/>
          <w:szCs w:val="24"/>
          <w:rtl w:val="0"/>
        </w:rPr>
        <w:t xml:space="preserve"> de la licitud y consentimiento (Arts. 3 y 5</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d</w:t>
      </w:r>
      <w:r w:rsidDel="00000000" w:rsidR="00000000" w:rsidRPr="00000000">
        <w:rPr>
          <w:rFonts w:ascii="Calibri" w:cs="Calibri" w:eastAsia="Calibri" w:hAnsi="Calibri"/>
          <w:sz w:val="24"/>
          <w:szCs w:val="24"/>
          <w:rtl w:val="0"/>
        </w:rPr>
        <w:t xml:space="preserve">eterminan que el tratamiento de datos es lícito sólo con el consentimiento libre e informado del titular, salvo excepciones como cuando derivan de una relación contractual o profesional.</w:t>
      </w:r>
    </w:p>
    <w:p w:rsidR="00000000" w:rsidDel="00000000" w:rsidP="00000000" w:rsidRDefault="00000000" w:rsidRPr="00000000" w14:paraId="0000001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Los artículos 9 y 10 hablan de la seguridad y la confidencialidad de los datos, que obliga al responsable a adoptar medidas para garantizar la seguridad de los datos y evitar su adulteración o acceso no autorizado. Particular estos artículos nos obligan a diseñar el sistema de LogiTrack de forma que pueda cumplir con la ley, ya que esa es una de nuestras responsabilidades. Además, establece el deber de secreto profesional para quienes intervengan en el tratamiento. Los derechos ARCO</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son </w:t>
      </w:r>
      <w:r w:rsidDel="00000000" w:rsidR="00000000" w:rsidRPr="00000000">
        <w:rPr>
          <w:rFonts w:ascii="Calibri" w:cs="Calibri" w:eastAsia="Calibri" w:hAnsi="Calibri"/>
          <w:sz w:val="24"/>
          <w:szCs w:val="24"/>
          <w:rtl w:val="0"/>
        </w:rPr>
        <w:t xml:space="preserve">los derechos de a</w:t>
      </w:r>
      <w:r w:rsidDel="00000000" w:rsidR="00000000" w:rsidRPr="00000000">
        <w:rPr>
          <w:rFonts w:ascii="Calibri" w:cs="Calibri" w:eastAsia="Calibri" w:hAnsi="Calibri"/>
          <w:sz w:val="24"/>
          <w:szCs w:val="24"/>
          <w:rtl w:val="0"/>
        </w:rPr>
        <w:t xml:space="preserve">cceso, rectificación, actualización y</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supresión</w:t>
      </w:r>
      <w:r w:rsidDel="00000000" w:rsidR="00000000" w:rsidRPr="00000000">
        <w:rPr>
          <w:rFonts w:ascii="Calibri" w:cs="Calibri" w:eastAsia="Calibri" w:hAnsi="Calibri"/>
          <w:sz w:val="24"/>
          <w:szCs w:val="24"/>
          <w:rtl w:val="0"/>
        </w:rPr>
        <w:t xml:space="preserve">. Estos permiten que cualquier persona sepa qué datos hay sobre ella y exija correcciones o eliminaciones en plazos breves. Finalmente se considera que los artículos 31 y 32, es decir, sanciones son de importante valor ya que habla de las consecuencias por incumplimiento de la ley, que van desde apercibimientos y multas administrativas hasta penas de prisión si se insertan datos falsos o se accede ilegítimamente a una base de datos.</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pStyle w:val="Heading2"/>
        <w:rPr/>
      </w:pPr>
      <w:bookmarkStart w:colFirst="0" w:colLast="0" w:name="_iamu4esi3dru" w:id="3"/>
      <w:bookmarkEnd w:id="3"/>
      <w:r w:rsidDel="00000000" w:rsidR="00000000" w:rsidRPr="00000000">
        <w:rPr>
          <w:rtl w:val="0"/>
        </w:rPr>
        <w:t xml:space="preserve">Partes significativas de nuestro proyecto:</w:t>
      </w:r>
    </w:p>
    <w:p w:rsidR="00000000" w:rsidDel="00000000" w:rsidP="00000000" w:rsidRDefault="00000000" w:rsidRPr="00000000" w14:paraId="0000001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llegó a la conclusión de que ciertos elementos existentes deben ser adecuados, y adicionalmente, algunos deben ser creados:</w:t>
      </w:r>
    </w:p>
    <w:p w:rsidR="00000000" w:rsidDel="00000000" w:rsidP="00000000" w:rsidRDefault="00000000" w:rsidRPr="00000000" w14:paraId="0000001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w:t>
      </w:r>
      <w:r w:rsidDel="00000000" w:rsidR="00000000" w:rsidRPr="00000000">
        <w:rPr>
          <w:rFonts w:ascii="Calibri" w:cs="Calibri" w:eastAsia="Calibri" w:hAnsi="Calibri"/>
          <w:sz w:val="24"/>
          <w:szCs w:val="24"/>
          <w:rtl w:val="0"/>
        </w:rPr>
        <w:t xml:space="preserve"> Se deben implementar medidas de seguridad estrictas con el propósito de evitar la filtración de ellos. Principalmente son almacenados en bases de datos y eso haría pensar que solo las bases de datos deben ser tenidas en cuenta, pero no es así; también se debe de proteger los datos en el “proceso” de ser guardados, como por ejemplo, mientras son escritos en el navegador del cliente, o durante el proceso de registro a base de datos.</w:t>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Solicitudes y comunicación:</w:t>
      </w:r>
      <w:r w:rsidDel="00000000" w:rsidR="00000000" w:rsidRPr="00000000">
        <w:rPr>
          <w:rFonts w:ascii="Calibri" w:cs="Calibri" w:eastAsia="Calibri" w:hAnsi="Calibri"/>
          <w:sz w:val="24"/>
          <w:szCs w:val="24"/>
          <w:rtl w:val="0"/>
        </w:rPr>
        <w:t xml:space="preserve"> El proyecto debe proveer medios de comunicación, para asegurar la complicidad en la destrucción o acceso a esos datos. Esto no necesariamente debe ser parte del producto programado: Podría ocurrir por medios externos al producto pero no externos al proyecto.</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pStyle w:val="Heading1"/>
        <w:rPr/>
      </w:pPr>
      <w:bookmarkStart w:colFirst="0" w:colLast="0" w:name="_pb85ffthyfd5" w:id="4"/>
      <w:bookmarkEnd w:id="4"/>
      <w:r w:rsidDel="00000000" w:rsidR="00000000" w:rsidRPr="00000000">
        <w:rPr>
          <w:rtl w:val="0"/>
        </w:rPr>
        <w:t xml:space="preserve">Conclusión: </w:t>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cumplimiento de la ley 25.326 es de vital importancia para el desarrollo de nuestro sistema, y en particular y aún más importante para el desarrollo de cualquier aplicación o sistema que se construya en el mundo real y que maneje datos o información de personas reales. Su incumplimiento habla de la falta de ética y responsabilidad de los desarrolladores y expone a severas sanciones a quienes incumplan con la ley. Es importante conocer esta parte del desarrollo de software en general porque no debe verse como una mera burocracia, sino como un estándar de calidad de nuestro software. Para nuestro proyecto particularmente, esto implica que la seguridad y la privacidad deben estar integradas desde el diseño mismo.</w:t>
      </w:r>
    </w:p>
    <w:p w:rsidR="00000000" w:rsidDel="00000000" w:rsidP="00000000" w:rsidRDefault="00000000" w:rsidRPr="00000000" w14:paraId="0000002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sz w:val="21"/>
          <w:szCs w:val="21"/>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