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y82b6sfodi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fdehfo8xw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Liberalismo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Libro: La ética de la libertad de Murray N. Rothbard , Segunda edición, unión editorial.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razón nos dice que todos hemos nacido iguales por naturaleza, es decir, con iguales derechos respecto de la propia persona y, por consiguiente, también con iguales derechos en lo referente a su preservación..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 dado que todos los hombres son propietarios de su propia persona, también son propiamente suyos el trabajo de sus cuerpos y la labor de sus manos, una propiedad sobre la que nadie tiene derecho sino sólo él; de donde se sigue que cuando aparta una cosa del estado que la naturaleza le ha proporcionado y depositado en ella, mezcla su trabajo con ella y le añade algo que es suyo, convirtiéndolo en su propiedad… Y dado que todos los hombres tienen un derecho natural sobre (o son propietarios de) su propia persona, sus acciones y su trabajo - lo que llamamos propiedad-, se sigue con toda certeza que ningún hombre puede tener derecho a la persona y la propiedad de otro. Y si todos los hombres tienen derecho a su persona y su propiedad, tienen también derecho a defenderlas.. y tienen, por tanto, derecho a castigar todas las ofensas a su persona y propiedad.</w:t>
        <w:br w:type="textWrapping"/>
        <w:t xml:space="preserve">Rev. Elisga Williams. (1774)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Pág 13.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dkwyajijes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liberalismo y socialismo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https://www.youtube.com/shorts/_0rySOmQ5k0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shorts/_0rySOmQ5k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