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917700" cy="19177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9177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PRACTICAS PROFESIONALIZANTES</w:t>
      </w:r>
      <w:r w:rsidDel="00000000" w:rsidR="00000000" w:rsidRPr="00000000">
        <w:rPr>
          <w:rtl w:val="0"/>
        </w:rPr>
      </w:r>
    </w:p>
    <w:p w:rsidR="00000000" w:rsidDel="00000000" w:rsidP="00000000" w:rsidRDefault="00000000" w:rsidRPr="00000000" w14:paraId="00000004">
      <w:pPr>
        <w:spacing w:after="240" w:before="240" w:line="283.2" w:lineRule="auto"/>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Profesor:</w:t>
      </w:r>
      <w:r w:rsidDel="00000000" w:rsidR="00000000" w:rsidRPr="00000000">
        <w:rPr>
          <w:rFonts w:ascii="Calibri" w:cs="Calibri" w:eastAsia="Calibri" w:hAnsi="Calibri"/>
          <w:sz w:val="24"/>
          <w:szCs w:val="24"/>
          <w:rtl w:val="0"/>
        </w:rPr>
        <w:t xml:space="preserve"> Sebastián bruselario</w:t>
      </w:r>
    </w:p>
    <w:p w:rsidR="00000000" w:rsidDel="00000000" w:rsidP="00000000" w:rsidRDefault="00000000" w:rsidRPr="00000000" w14:paraId="00000005">
      <w:pPr>
        <w:spacing w:after="240" w:before="240" w:line="283.2"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240" w:before="240" w:line="283.2"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Trabajo Práctico Final: </w:t>
      </w:r>
      <w:r w:rsidDel="00000000" w:rsidR="00000000" w:rsidRPr="00000000">
        <w:rPr>
          <w:rFonts w:ascii="Calibri" w:cs="Calibri" w:eastAsia="Calibri" w:hAnsi="Calibri"/>
          <w:b w:val="1"/>
          <w:sz w:val="24"/>
          <w:szCs w:val="24"/>
          <w:rtl w:val="0"/>
        </w:rPr>
        <w:t xml:space="preserve">FASHION DOCS</w:t>
      </w:r>
    </w:p>
    <w:p w:rsidR="00000000" w:rsidDel="00000000" w:rsidP="00000000" w:rsidRDefault="00000000" w:rsidRPr="00000000" w14:paraId="00000007">
      <w:pPr>
        <w:spacing w:line="283.2"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Franco Iglesias-Facundo Toneatti-Yael Montero-Franco Domene- Erick Azzoni</w:t>
      </w:r>
    </w:p>
    <w:p w:rsidR="00000000" w:rsidDel="00000000" w:rsidP="00000000" w:rsidRDefault="00000000" w:rsidRPr="00000000" w14:paraId="00000008">
      <w:pPr>
        <w:spacing w:line="283.2"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spacing w:line="283.2"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spacing w:line="283.2"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spacing w:line="283.2"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ENUNCIADO:</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El cliente necesita un E-commerce para su tienda local que permita realizar ventas en línea. Para efectuar una compra, los usuarios deben registrarse con un nombre de usuario y contraseña, proporcionando información como nombre completo, dirección, ciudad, código postal y número de teléfono. Dentro de los usuarios va haber 2 tipos, uno de administrador que va a permitir realizar modificaciones en el catálogo de productos y otras funciones relacionadas al dueño de la tienda, y un segundo tipo de usuario para clientes que permitirá que pueda observar el catálogo y realizar compras y consultas.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Las formas de pago aceptadas serán mediante transferencia bancaria. En caso de falta de stock, el producto se mostrará pero se indicará que no está disponible. La interfaz debe ser simple y dividida según la audiencia: mujer o niño. Al hacer clic en un producto, se mostrarán los tamaños y colores disponibles. Se debe exhibir un catálogo de ropa y disponer de un carrito para almacenar los pedidos. La aplicación debe ser completamente receptiva, dado que la mayoría de los clientes acceden a través de dispositivos móviles.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