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C8A"/>
          <w:sz w:val="26"/>
          <w:szCs w:val="26"/>
        </w:rPr>
        <w:t xml:space="preserve">ATLAS COMMERCE</w:t>
      </w:r>
    </w:p>
    <w:p>
      <w:pPr>
        <w:spacing w:after="10"/>
        <w:jc w:val="center"/>
      </w:pPr>
      <w:r>
        <w:rPr>
          <w:b/>
          <w:bCs/>
          <w:color w:val="888888"/>
          <w:sz w:val="20"/>
          <w:szCs w:val="20"/>
        </w:rPr>
        <w:t xml:space="preserve">LA BIBLIA</w:t>
      </w:r>
    </w:p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VOLUMEN II</w:t>
      </w:r>
    </w:p>
    <w:p>
      <w:pPr>
        <w:spacing w:after="300"/>
        <w:jc w:val="center"/>
      </w:pPr>
      <w:r>
        <w:rPr>
          <w:color w:val="2E5C8A"/>
          <w:sz w:val="26"/>
          <w:szCs w:val="26"/>
        </w:rPr>
        <w:t xml:space="preserve">Modelo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Volumen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II — Modelo de Negocio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Vigente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(Arquitecto Principal)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Brey (Fundador)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RFC-000 (Sección 10) · RFC-002 · RFC-003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Relacionado 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I (Filosofía y Constitución) · Volumen III (Arquitectura Empresarial)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Definir cómo Atlas Commerce genera ingresos hoy, qué mecanismos de negocio están habilitados, y con qué criterios se decide qué producto construir y en qué canal venderlo.</w:t>
      </w:r>
    </w:p>
    <w:p>
      <w:pPr>
        <w:pStyle w:val="Heading1"/>
      </w:pPr>
      <w:r>
        <w:t xml:space="preserve">2. Contexto</w:t>
      </w:r>
    </w:p>
    <w:p>
      <w:pPr>
        <w:spacing w:after="160"/>
      </w:pPr>
      <w:r>
        <w:t xml:space="preserve">RFC-000 estableció que el dropshipping es solo un mecanismo logístico entre varios posibles, y que la arquitectura nunca debe depender de uno solo. RFC-002 incorporó Etsy y los productos digitales como el primer mecanismo activo, orientado a ingresos pasivos de largo plazo logrados por calidad, no por velocidad. RFC-003 delegó en Cowork la ideación de productos con ese mismo criterio.</w:t>
      </w:r>
    </w:p>
    <w:p>
      <w:pPr>
        <w:pStyle w:val="Heading1"/>
      </w:pPr>
      <w:r>
        <w:t xml:space="preserve">3. Alcance</w:t>
      </w:r>
    </w:p>
    <w:p>
      <w:pPr>
        <w:spacing w:after="160"/>
      </w:pPr>
      <w:r>
        <w:t xml:space="preserve">Cubre los mecanismos de negocio reconocidos, los criterios de selección de producto y canal, y una primera aproximación a la economía unitaria. No cubre la ejecución operativa día a día (Volumen IX) ni la estrategia de promoción (Volumen X).</w:t>
      </w:r>
    </w:p>
    <w:p>
      <w:pPr>
        <w:pStyle w:val="Heading1"/>
      </w:pPr>
      <w:r>
        <w:t xml:space="preserve">4. Mecanismos de negocio reconocidos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Mecanismo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Dropshipping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Reconocido (RFC-000). No activo todavía.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Inventario propio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Reconocido (RFC-000). No activo todavía.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 on Demand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Reconocido (RFC-000). No activo todavía.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Afiliación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Reconocido (RFC-000). No activo todavía.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Distribuidores privados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Reconocido (RFC-000). No activo todavía.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Marketplaces — Etsy, productos digitales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Activo. Primer mecanismo en ejecución (RFC-002).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Ningún mecanismo es exclusivo ni permanente: la plataforma puede operar varios a la vez, y el catálogo puede migrar de uno a otro sin rediseñar la arquitectura (principio de desacoplamiento, 10.3).</w:t>
      </w:r>
    </w:p>
    <w:p>
      <w:pPr>
        <w:pStyle w:val="Heading1"/>
      </w:pPr>
      <w:r>
        <w:t xml:space="preserve">5. Criterios de selección de producto</w:t>
      </w:r>
    </w:p>
    <w:p>
      <w:pPr>
        <w:spacing w:after="160"/>
      </w:pPr>
      <w:r>
        <w:t xml:space="preserve">Heredados de RFC-002 y RFC-003, aplican a toda decisión de qué construir: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Nicho desatendido antes que categoría genérica: se prioriza demanda real con poca oferta funcional equivalente, sobre productos de moda saturados.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Calidad sobre velocidad de lanzamiento: un producto se retrasa antes que publicarse sin terminar.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Datos antes que intuición (principio 10.4): toda idea se valida con investigación de mercado real, no con preferencia personal.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Bajo costo de mantenimiento: se prioriza el producto digital sin fricción logística sobre alternativas que requieran inventario o soporte intensivo, mientras el proyecto sea de recursos limitados.</w:t>
      </w:r>
    </w:p>
    <w:p>
      <w:pPr>
        <w:pStyle w:val="Heading1"/>
      </w:pPr>
      <w:r>
        <w:t xml:space="preserve">6. Categorías de producto digital vigentes</w:t>
      </w:r>
    </w:p>
    <w:p>
      <w:pPr>
        <w:spacing w:after="160"/>
      </w:pPr>
      <w:r>
        <w:t xml:space="preserve">Definidas en RFC-002: plantillas y printables, recursos gráficos y de diseño, guías y mini-cursos digitales, y aplicaciones ligeras. El primer candidato identificado (RFC-003) es un sistema de seguimiento de salud para mascotas (perros senior, cuyos), por su combinación de demanda comprobada y baja competencia.</w:t>
      </w:r>
    </w:p>
    <w:p>
      <w:pPr>
        <w:pStyle w:val="Heading1"/>
      </w:pPr>
      <w:r>
        <w:t xml:space="preserve">7. Economía unitaria (primera aproximación)</w:t>
      </w:r>
    </w:p>
    <w:p>
      <w:pPr>
        <w:spacing w:after="160"/>
      </w:pPr>
      <w:r>
        <w:t xml:space="preserve">Para productos digitales vendidos en Etsy, los costos recurrentes conocidos son la comisión de publicación, la comisión sobre transacción y la comisión de procesamiento de pago de Etsy, además del tiempo de creación (sin costo de manufactura por unidad, a diferencia de un producto físico).</w:t>
      </w:r>
    </w:p>
    <w:p>
      <w:pPr>
        <w:spacing w:after="160"/>
      </w:pPr>
      <w:r>
        <w:t xml:space="preserve">Estas cifras son de referencia y deben validarse con datos reales de la propia cuenta una vez existan ventas, conforme al principio 10.4 (datos antes que intuición); no se toman decisiones de precio definitivas basadas únicamente en esta estimación.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Costo por unidad vendida: comisiones de Etsy (publicación + transacción + procesamiento de pago).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Costo fijo por producto: tiempo de ideación, diseño y prueba de calidad (sin costo monetario directo mientras la producción sea manual o asistida por Cowork).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Margen: al no requerir inventario ni envío, el margen bruto por unidad es estructuralmente alto una vez cubierto el costo de creación inicial.</w:t>
      </w:r>
    </w:p>
    <w:p>
      <w:pPr>
        <w:pStyle w:val="Heading1"/>
      </w:pPr>
      <w:r>
        <w:t xml:space="preserve">8. Relación con el Commerce Brain</w:t>
      </w:r>
    </w:p>
    <w:p>
      <w:pPr>
        <w:spacing w:after="160"/>
      </w:pPr>
      <w:r>
        <w:t xml:space="preserve">El agente Evaluator (RFC-000) es responsable de aplicar el criterio de calidad sobre velocidad antes de aprobar un lanzamiento. Mientras no exista como código, Cowork cumple esa función manualmente (RFC-003), igual que las de Scout y Research.</w:t>
      </w:r>
    </w:p>
    <w:p>
      <w:pPr>
        <w:pStyle w:val="Heading1"/>
      </w:pPr>
      <w:r>
        <w:t xml:space="preserve">9. Supuestos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Etsy seguirá siendo un canal relevante de descubribilidad orgánica en el horizonte de diseño de diez años (RFC-002).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objetivo económico es ingreso pasivo constante, no maximización de ingresos de corto plazo.</w:t>
      </w:r>
    </w:p>
    <w:p>
      <w:pPr>
        <w:pStyle w:val="Heading1"/>
      </w:pPr>
      <w:r>
        <w:t xml:space="preserve">10. Riesgos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Concentración en un solo canal (Etsy): mitigado por el Artículo III y V (sin puntos únicos de fallo, integraciones desacopladas); se recomienda planear salida a Shopify una vez validado un producto.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Estimaciones de economía unitaria basadas en referencias externas, no en datos propios todavía: mitigado por la obligación de revalidar con datos reales (Sección 7).</w:t>
      </w:r>
    </w:p>
    <w:p>
      <w:pPr>
        <w:pStyle w:val="Heading1"/>
      </w:pPr>
      <w:r>
        <w:t xml:space="preserve">11. Glosario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Economía unitaria: relación entre ingreso y costo de una sola unidad de producto vendida.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Margen bruto: ingreso menos costos directos de producción y venta, antes de gastos generales.</w:t>
      </w:r>
    </w:p>
    <w:p>
      <w:pPr>
        <w:pStyle w:val="Heading1"/>
      </w:pPr>
      <w:r>
        <w:t xml:space="preserve">12. Decisiones arquitectónicas registradas</w:t>
      </w:r>
    </w:p>
    <w:p>
      <w:pPr>
        <w:spacing w:after="160"/>
      </w:pPr>
      <w:r>
        <w:t xml:space="preserve">Se consolidan como vigentes los mecanismos de negocio y criterios de selección definidos en RFC-002 y RFC-003. Este volumen no introduce decisiones nuevas: es su síntesis narrativa estable.</w:t>
      </w:r>
    </w:p>
    <w:p>
      <w:pPr>
        <w:pStyle w:val="Heading1"/>
      </w:pPr>
      <w:r>
        <w:t xml:space="preserve">13. Versionado</w:t>
      </w:r>
    </w:p>
    <w:p>
      <w:pPr>
        <w:spacing w:after="160"/>
      </w:pPr>
      <w:r>
        <w:t xml:space="preserve">v1.0 — 2026-07-09 — Versión inicial, derivada de RFC-000, RFC-002 y RFC-003.</w:t>
      </w:r>
    </w:p>
    <w:p>
      <w:pPr>
        <w:pStyle w:val="Heading1"/>
      </w:pPr>
      <w:r>
        <w:t xml:space="preserve">14. Próximos pasos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Validar la economía unitaria de la Sección 7 con datos reales tras las primeras ventas.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Evaluar la expansión a un segundo canal (Shopify) una vez validado un producto en Etsy.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Revisar este volumen cuando se apruebe un RFC que amplíe las categorías de producto o los mecanismos de negocio.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2026-07-09T04:11:27.505Z</dcterms:created>
  <dcterms:modified xsi:type="dcterms:W3CDTF">2026-07-09T04:11:27.520Z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