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2E5C8A"/>
          <w:sz w:val="26"/>
          <w:szCs w:val="26"/>
        </w:rPr>
        <w:t xml:space="preserve">ATLAS COMMERCE</w:t>
      </w:r>
    </w:p>
    <w:p>
      <w:pPr>
        <w:spacing w:after="10"/>
        <w:jc w:val="center"/>
      </w:pPr>
      <w:r>
        <w:rPr>
          <w:b/>
          <w:bCs/>
          <w:color w:val="888888"/>
          <w:sz w:val="20"/>
          <w:szCs w:val="20"/>
        </w:rPr>
        <w:t xml:space="preserve">LA BIBLIA</w:t>
      </w:r>
    </w:p>
    <w:p>
      <w:pPr>
        <w:spacing w:after="60"/>
        <w:jc w:val="center"/>
      </w:pPr>
      <w:r>
        <w:rPr>
          <w:b/>
          <w:bCs/>
          <w:color w:val="1F3A5F"/>
          <w:sz w:val="44"/>
          <w:szCs w:val="44"/>
        </w:rPr>
        <w:t xml:space="preserve">VOLUMEN III</w:t>
      </w:r>
    </w:p>
    <w:p>
      <w:pPr>
        <w:spacing w:after="300"/>
        <w:jc w:val="center"/>
      </w:pPr>
      <w:r>
        <w:rPr>
          <w:color w:val="2E5C8A"/>
          <w:sz w:val="26"/>
          <w:szCs w:val="26"/>
        </w:rPr>
        <w:t xml:space="preserve">Arquitectura Empresarial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rPr>
              <w:t xml:space="preserve">Volumen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Volumen III — Arquitectura Empresarial</w:t>
            </w:r>
          </w:p>
        </w:tc>
      </w:tr>
      <w:tr>
        <w:tc>
          <w:tcPr>
            <w:tcW w:type="dxa" w:w="2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rPr>
              <w:t xml:space="preserve">Estado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Vigente</w:t>
            </w:r>
          </w:p>
        </w:tc>
      </w:tr>
      <w:tr>
        <w:tc>
          <w:tcPr>
            <w:tcW w:type="dxa" w:w="2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rPr>
              <w:t xml:space="preserve">Autor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Cowork (Arquitecto Principal)</w:t>
            </w:r>
          </w:p>
        </w:tc>
      </w:tr>
      <w:tr>
        <w:tc>
          <w:tcPr>
            <w:tcW w:type="dxa" w:w="2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rPr>
              <w:t xml:space="preserve">Aprobado por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Brey (Fundador)</w:t>
            </w:r>
          </w:p>
        </w:tc>
      </w:tr>
      <w:tr>
        <w:tc>
          <w:tcPr>
            <w:tcW w:type="dxa" w:w="2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rPr>
              <w:t xml:space="preserve">Fecha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2026-07-09</w:t>
            </w:r>
          </w:p>
        </w:tc>
      </w:tr>
      <w:tr>
        <w:tc>
          <w:tcPr>
            <w:tcW w:type="dxa" w:w="2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rPr>
              <w:t xml:space="preserve">Versión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w:t>
            </w:r>
          </w:p>
        </w:tc>
      </w:tr>
      <w:tr>
        <w:tc>
          <w:tcPr>
            <w:tcW w:type="dxa" w:w="2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rPr>
              <w:t xml:space="preserve">Fuente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RFC-000 (Secciones 12-13) · RFC-001 · RFC-003</w:t>
            </w:r>
          </w:p>
        </w:tc>
      </w:tr>
      <w:tr>
        <w:tc>
          <w:tcPr>
            <w:tcW w:type="dxa" w:w="2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bCs/>
              </w:rPr>
              <w:t xml:space="preserve">Relacionado con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Volumen I (Filosofía y Constitución) · Volumen II (Modelo de Negocio) · Volumen VIII (Agentes de IA)</w:t>
            </w:r>
          </w:p>
        </w:tc>
      </w:tr>
    </w:tbl>
    <w:p>
      <w:r>
        <w:br w:type="page"/>
      </w:r>
    </w:p>
    <w:sdt>
      <w:sdtPr>
        <w:alias w:val="Índic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Objetivo</w:t>
      </w:r>
    </w:p>
    <w:p>
      <w:pPr>
        <w:spacing w:after="160"/>
      </w:pPr>
      <w:r>
        <w:t xml:space="preserve">Definir cómo se organiza Atlas Commerce como empresa: roles, cadena de valor, gobernanza de decisiones y cómo evoluciona esa estructura conforme el proyecto crece.</w:t>
      </w:r>
    </w:p>
    <w:p>
      <w:pPr>
        <w:pStyle w:val="Heading1"/>
      </w:pPr>
      <w:r>
        <w:t xml:space="preserve">2. Contexto</w:t>
      </w:r>
    </w:p>
    <w:p>
      <w:pPr>
        <w:spacing w:after="160"/>
      </w:pPr>
      <w:r>
        <w:t xml:space="preserve">Atlas Commerce inicia como un proyecto de una sola persona (Brey) asistida por Cowork en el rol de Arquitecto Principal (RFC-000) y, desde RFC-003, también en la función manual de ideación de producto. El Commerce Brain descrito en RFC-000 es la organización de destino, no el punto de partida.</w:t>
      </w:r>
    </w:p>
    <w:p>
      <w:pPr>
        <w:pStyle w:val="Heading1"/>
      </w:pPr>
      <w:r>
        <w:t xml:space="preserve">3. Alcance</w:t>
      </w:r>
    </w:p>
    <w:p>
      <w:pPr>
        <w:spacing w:after="160"/>
      </w:pPr>
      <w:r>
        <w:t xml:space="preserve">Cubre la estructura organizativa actual y su evolución prevista, la cadena de valor del negocio, y la gobernanza de decisiones. No cubre los procesos operativos día a día (Volumen IX) ni el diseño técnico de los agentes (Volumen VIII).</w:t>
      </w:r>
    </w:p>
    <w:p>
      <w:pPr>
        <w:pStyle w:val="Heading1"/>
      </w:pPr>
      <w:r>
        <w:t xml:space="preserve">4. Cadena de valor</w:t>
      </w:r>
    </w:p>
    <w:p>
      <w:pPr>
        <w:spacing w:after="160"/>
      </w:pPr>
      <w:r>
        <w:t xml:space="preserve">Coherente con la filosofía del Volumen I (observar, medir, aprender, optimizar, automatizar), la cadena de valor de Atlas Commerce es:</w:t>
      </w:r>
    </w:p>
    <w:p>
      <w:pPr>
        <w:pStyle w:val="ListParagraph"/>
        <w:numPr>
          <w:ilvl w:val="0"/>
          <w:numId w:val="2"/>
        </w:numPr>
        <w:spacing w:after="100"/>
      </w:pPr>
      <w:r>
        <w:t xml:space="preserve">Ideación — detectar oportunidades de producto (Scout/Research, hoy Cowork vía RFC-003).</w:t>
      </w:r>
    </w:p>
    <w:p>
      <w:pPr>
        <w:pStyle w:val="ListParagraph"/>
        <w:numPr>
          <w:ilvl w:val="0"/>
          <w:numId w:val="2"/>
        </w:numPr>
        <w:spacing w:after="100"/>
      </w:pPr>
      <w:r>
        <w:t xml:space="preserve">Validación — contrastar la idea con datos de mercado antes de invertir tiempo en producirla (Evaluator).</w:t>
      </w:r>
    </w:p>
    <w:p>
      <w:pPr>
        <w:pStyle w:val="ListParagraph"/>
        <w:numPr>
          <w:ilvl w:val="0"/>
          <w:numId w:val="2"/>
        </w:numPr>
        <w:spacing w:after="100"/>
      </w:pPr>
      <w:r>
        <w:t xml:space="preserve">Producción — crear el producto digital (Atlas Studio, hoy Cowork/Brey de forma manual).</w:t>
      </w:r>
    </w:p>
    <w:p>
      <w:pPr>
        <w:pStyle w:val="ListParagraph"/>
        <w:numPr>
          <w:ilvl w:val="0"/>
          <w:numId w:val="2"/>
        </w:numPr>
        <w:spacing w:after="100"/>
      </w:pPr>
      <w:r>
        <w:t xml:space="preserve">Publicación — construir la ficha de venta (Publisher).</w:t>
      </w:r>
    </w:p>
    <w:p>
      <w:pPr>
        <w:pStyle w:val="ListParagraph"/>
        <w:numPr>
          <w:ilvl w:val="0"/>
          <w:numId w:val="2"/>
        </w:numPr>
        <w:spacing w:after="100"/>
      </w:pPr>
      <w:r>
        <w:t xml:space="preserve">Promoción — dar visibilidad al producto (Media Buyer, SEO Expert; ver Volumen X).</w:t>
      </w:r>
    </w:p>
    <w:p>
      <w:pPr>
        <w:pStyle w:val="ListParagraph"/>
        <w:numPr>
          <w:ilvl w:val="0"/>
          <w:numId w:val="2"/>
        </w:numPr>
        <w:spacing w:after="100"/>
      </w:pPr>
      <w:r>
        <w:t xml:space="preserve">Venta y soporte — atender al cliente (Support).</w:t>
      </w:r>
    </w:p>
    <w:p>
      <w:pPr>
        <w:pStyle w:val="ListParagraph"/>
        <w:numPr>
          <w:ilvl w:val="0"/>
          <w:numId w:val="2"/>
        </w:numPr>
        <w:spacing w:after="100"/>
      </w:pPr>
      <w:r>
        <w:t xml:space="preserve">Aprendizaje — medir resultados y retroalimentar el ciclo (Atlas Insight, Finance, Auditor).</w:t>
      </w:r>
    </w:p>
    <w:p>
      <w:pPr>
        <w:pStyle w:val="Heading1"/>
      </w:pPr>
      <w:r>
        <w:t xml:space="preserve">5. Estructura organizativa actual (fase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Rol</w:t>
            </w:r>
          </w:p>
        </w:tc>
        <w:tc>
          <w:tcPr>
            <w:tcW w:type="dxa" w:w="312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Quién lo cumple hoy</w:t>
            </w:r>
          </w:p>
        </w:tc>
        <w:tc>
          <w:tcPr>
            <w:tcW w:type="dxa" w:w="312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Quién lo cumplirá a futuro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Autoridad de decisión final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Brey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Brey (no se automatiza)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Arquitecto Principal / documentación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Cowork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Cowork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Ideación de producto (Scout/Research/Evaluator)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Cowork (RFC-003)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Agentes automatizados del Commerce Brain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Producción de contenido (Atlas Studio)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Cowork + Brey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Atlas Studio automatizado (RFC-004)</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Publicación, marketing, soporte, finanzas, auditoría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Sin cubrir todavía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Publisher, Media Buyer, Support, Finance, Auditor</w:t>
            </w:r>
          </w:p>
        </w:tc>
      </w:tr>
    </w:tbl>
    <w:p>
      <w:pPr>
        <w:spacing w:before="200"/>
      </w:pPr>
    </w:p>
    <w:p>
      <w:pPr>
        <w:pStyle w:val="Heading1"/>
      </w:pPr>
      <w:r>
        <w:t xml:space="preserve">6. Gobernanza</w:t>
      </w:r>
    </w:p>
    <w:p>
      <w:pPr>
        <w:spacing w:after="160"/>
      </w:pPr>
      <w:r>
        <w:t xml:space="preserve">Toda decisión relevante se registra como RFC (RFC-001). Brey es la única autoridad de aprobación mientras el proyecto sea unipersonal; Cowork redacta, investiga y argumenta, pero no aprueba por sí mismo (RFC-001, Sección 9).</w:t>
      </w:r>
    </w:p>
    <w:p>
      <w:pPr>
        <w:pStyle w:val="Heading1"/>
      </w:pPr>
      <w:r>
        <w:t xml:space="preserve">7. La empresa como primer cliente de la plataforma</w:t>
      </w:r>
    </w:p>
    <w:p>
      <w:pPr>
        <w:spacing w:after="160"/>
      </w:pPr>
      <w:r>
        <w:t xml:space="preserve">Conforme a la Visión del Volumen I, Atlas Commerce no busca ser solo una tienda sino la infraestructura sobre la que puedan operar muchas tiendas. En esta fase, la propia operación de Brey (empezando por el canal Etsy) funciona como el primer caso de uso real de esa plataforma: cada proceso que hoy se hace manualmente es, en potencia, una automatización futura de la plataforma.</w:t>
      </w:r>
    </w:p>
    <w:p>
      <w:pPr>
        <w:pStyle w:val="Heading1"/>
      </w:pPr>
      <w:r>
        <w:t xml:space="preserve">8. Supuestos</w:t>
      </w:r>
    </w:p>
    <w:p>
      <w:pPr>
        <w:pStyle w:val="ListParagraph"/>
        <w:numPr>
          <w:ilvl w:val="0"/>
          <w:numId w:val="3"/>
        </w:numPr>
        <w:spacing w:after="80"/>
      </w:pPr>
      <w:r>
        <w:t xml:space="preserve">El proyecto seguirá siendo unipersonal (Brey + Cowork) hasta que el volumen de operación justifique incorporar más personas o automatizar agentes.</w:t>
      </w:r>
    </w:p>
    <w:p>
      <w:pPr>
        <w:pStyle w:val="Heading1"/>
      </w:pPr>
      <w:r>
        <w:t xml:space="preserve">9. Riesgos</w:t>
      </w:r>
    </w:p>
    <w:p>
      <w:pPr>
        <w:pStyle w:val="ListParagraph"/>
        <w:numPr>
          <w:ilvl w:val="0"/>
          <w:numId w:val="3"/>
        </w:numPr>
        <w:spacing w:after="80"/>
      </w:pPr>
      <w:r>
        <w:t xml:space="preserve">Punto único de fallo humano: toda la operación depende de una sola persona y un asistente de IA. Mitigación: la Biblia y los RFCs documentan el conocimiento operativo para que no dependa exclusivamente de la memoria de Brey o de una sesión de Cowork (coherente con el Artículo VII, los datos como activo estratégico).</w:t>
      </w:r>
    </w:p>
    <w:p>
      <w:pPr>
        <w:pStyle w:val="ListParagraph"/>
        <w:numPr>
          <w:ilvl w:val="0"/>
          <w:numId w:val="3"/>
        </w:numPr>
        <w:spacing w:after="80"/>
      </w:pPr>
      <w:r>
        <w:t xml:space="preserve">Roles sin cubrir (Publisher, Media Buyer, Support, Finance, Auditor): mientras no exista volumen de venta, esto no es crítico, pero deberá resolverse antes de escalar el catálogo.</w:t>
      </w:r>
    </w:p>
    <w:p>
      <w:pPr>
        <w:pStyle w:val="Heading1"/>
      </w:pPr>
      <w:r>
        <w:t xml:space="preserve">10. Glosario</w:t>
      </w:r>
    </w:p>
    <w:p>
      <w:pPr>
        <w:pStyle w:val="ListParagraph"/>
        <w:numPr>
          <w:ilvl w:val="0"/>
          <w:numId w:val="3"/>
        </w:numPr>
        <w:spacing w:after="80"/>
      </w:pPr>
      <w:r>
        <w:t xml:space="preserve">Cadena de valor: secuencia de actividades que transforma una idea en ingreso.</w:t>
      </w:r>
    </w:p>
    <w:p>
      <w:pPr>
        <w:pStyle w:val="ListParagraph"/>
        <w:numPr>
          <w:ilvl w:val="0"/>
          <w:numId w:val="3"/>
        </w:numPr>
        <w:spacing w:after="80"/>
      </w:pPr>
      <w:r>
        <w:t xml:space="preserve">Bus factor: número mínimo de personas cuya ausencia detendría el proyecto; se busca aumentarlo mediante documentación.</w:t>
      </w:r>
    </w:p>
    <w:p>
      <w:pPr>
        <w:pStyle w:val="Heading1"/>
      </w:pPr>
      <w:r>
        <w:t xml:space="preserve">11. Decisiones arquitectónicas registradas</w:t>
      </w:r>
    </w:p>
    <w:p>
      <w:pPr>
        <w:spacing w:after="160"/>
      </w:pPr>
      <w:r>
        <w:t xml:space="preserve">Se formaliza la estructura organizativa de fase 0 (Sección 5) y la cadena de valor (Sección 4) como referencia vigente para evaluar cuándo automatizar cada rol.</w:t>
      </w:r>
    </w:p>
    <w:p>
      <w:pPr>
        <w:pStyle w:val="Heading1"/>
      </w:pPr>
      <w:r>
        <w:t xml:space="preserve">12. Versionado</w:t>
      </w:r>
    </w:p>
    <w:p>
      <w:pPr>
        <w:spacing w:after="160"/>
      </w:pPr>
      <w:r>
        <w:t xml:space="preserve">v1.0 — 2026-07-09 — Versión inicial.</w:t>
      </w:r>
    </w:p>
    <w:p>
      <w:pPr>
        <w:pStyle w:val="Heading1"/>
      </w:pPr>
      <w:r>
        <w:t xml:space="preserve">13. Próximos pasos</w:t>
      </w:r>
    </w:p>
    <w:p>
      <w:pPr>
        <w:pStyle w:val="ListParagraph"/>
        <w:numPr>
          <w:ilvl w:val="0"/>
          <w:numId w:val="2"/>
        </w:numPr>
        <w:spacing w:after="100"/>
      </w:pPr>
      <w:r>
        <w:t xml:space="preserve">Revisar esta estructura cuando se automatice el primer agente del Commerce Brain.</w:t>
      </w:r>
    </w:p>
    <w:p>
      <w:pPr>
        <w:pStyle w:val="ListParagraph"/>
        <w:numPr>
          <w:ilvl w:val="0"/>
          <w:numId w:val="2"/>
        </w:numPr>
        <w:spacing w:after="100"/>
      </w:pPr>
      <w:r>
        <w:t xml:space="preserve">Definir el criterio de cuándo incorporar una segunda persona humana al proyecto.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A5F"/>
      <w:sz w:val="30"/>
      <w:szCs w:val="30"/>
    </w:rPr>
  </w:style>
  <w:style w:type="paragraph" w:styleId="Heading2">
    <w:name w:val="Heading 2"/>
    <w:basedOn w:val="Normal"/>
    <w:next w:val="Normal"/>
    <w:qFormat/>
    <w:pPr>
      <w:spacing w:after="140" w:before="240"/>
      <w:outlineLvl w:val="1"/>
    </w:pPr>
    <w:rPr>
      <w:rFonts w:ascii="Arial" w:cs="Arial" w:eastAsia="Arial" w:hAnsi="Arial"/>
      <w:b/>
      <w:bCs/>
      <w:color w:val="2E5C8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2026-07-09T04:11:27.727Z</dcterms:created>
  <dcterms:modified xsi:type="dcterms:W3CDTF">2026-07-09T04:11:27.727Z</dcterms:modified>
</cp:coreProperties>
</file>

<file path=docProps/custom.xml><?xml version="1.0" encoding="utf-8"?>
<Properties xmlns="http://schemas.openxmlformats.org/officeDocument/2006/custom-properties" xmlns:vt="http://schemas.openxmlformats.org/officeDocument/2006/docPropsVTypes"/>
</file>