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VII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Automatizaciones (Atlas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VII — Automatizaciones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(Sección 11) · RFC-004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IV (Arquitectura Técnica) · Volumen VIII (Agentes de IA) · Volumen IX (Operaciones)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Especificar el diseño de referencia de Atlas Flow, el motor de coordinación de procesos de Atlas Commerce, y su relación con las herramientas de automatización ya decididas.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define Atlas Flow como el coordinador de todos los procesos automatizados. RFC-004 ya adoptó un stack inicial (MinimaxHub, Hailuo AI, Remotion) para la parte de generación de contenido audiovisual, que es una de las piezas que Atlas Flow eventualmente orquestará.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el propósito de Atlas Flow y los principios que debe cumplir toda automatización. No cubre el detalle de cada herramienta individual (Volumen IV) ni el diseño de los agentes que ejecutan las tareas (Volumen VIII).</w:t>
      </w:r>
    </w:p>
    <w:p>
      <w:pPr>
        <w:pStyle w:val="Heading1"/>
      </w:pPr>
      <w:r>
        <w:t xml:space="preserve">4. Función</w:t>
      </w:r>
    </w:p>
    <w:p>
      <w:pPr>
        <w:spacing w:after="160"/>
      </w:pPr>
      <w:r>
        <w:t xml:space="preserve">Atlas Flow coordina la secuencia de tareas entre módulos: por ejemplo, que la aprobación de un producto por Evaluator dispare la generación de contenido en Atlas Studio, y que esta a su vez dispare la publicación por Publisher. Hoy esta coordinación la hace Brey manualmente, con apoyo de Cowork.</w:t>
      </w:r>
    </w:p>
    <w:p>
      <w:pPr>
        <w:pStyle w:val="Heading1"/>
      </w:pPr>
      <w:r>
        <w:t xml:space="preserve">5. Candidatos de herramienta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n8n: mencionado en RFC-000 (Atlas Nexus) como integrador de automatización; candidato natural para Atlas Flow por su capacidad de orquestar flujos entre servicios distintos.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Remotion (RFC-004): pieza de generación de contenido que Atlas Flow orquestará como un paso del proceso, no como el coordinador en sí.</w:t>
      </w:r>
    </w:p>
    <w:p>
      <w:pPr>
        <w:pStyle w:val="Heading1"/>
      </w:pPr>
      <w:r>
        <w:t xml:space="preserve">6. Principios obligatorios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automatización debe poder detenerse manualmente (Artículo IX).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automatización debe poder auditarse (Artículo II): debe quedar registro de qué se ejecutó, cuándo y con qué resultado.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Ninguna automatización depende de un único proveedor sin alternativa (Artículo III).</w:t>
      </w:r>
    </w:p>
    <w:p>
      <w:pPr>
        <w:pStyle w:val="Heading1"/>
      </w:pPr>
      <w:r>
        <w:t xml:space="preserve">7. Estado actual</w:t>
      </w:r>
    </w:p>
    <w:p>
      <w:pPr>
        <w:spacing w:after="160"/>
      </w:pPr>
      <w:r>
        <w:t xml:space="preserve">No implementado. El único proceso parcialmente automatizado hoy es la generación de video mediante el script de respaldo (Pillow + ffmpeg) y el proyecto Remotion local, ambos ejecutados manualmente, no coordinados por un motor de automatización.</w:t>
      </w:r>
    </w:p>
    <w:p>
      <w:pPr>
        <w:pStyle w:val="Heading1"/>
      </w:pPr>
      <w:r>
        <w:t xml:space="preserve">8.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Flow se construirá una vez validado manualmente el proceso completo de al menos un producto, de modo que se automatice un flujo ya probado y no uno especulativo.</w:t>
      </w:r>
    </w:p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un proceso no validado manualmente primero puede propagar errores a mayor velocidad. Mitigación: ningún paso se automatiza antes de haberse ejecutado manualmente con éxito al menos una vez.</w:t>
      </w: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Orquestación: coordinación de varias tareas o servicios para que se ejecuten en el orden y momento correctos.</w:t>
      </w:r>
    </w:p>
    <w:p>
      <w:pPr>
        <w:pStyle w:val="Heading1"/>
      </w:pPr>
      <w:r>
        <w:t xml:space="preserve">11. Decisiones arquitectónicas registradas</w:t>
      </w:r>
    </w:p>
    <w:p>
      <w:pPr>
        <w:spacing w:after="160"/>
      </w:pPr>
      <w:r>
        <w:t xml:space="preserve">Se registra n8n como candidato de referencia para Atlas Flow (Sección 5), sujeto a confirmación cuando se decida implementar la primera automatización real.</w:t>
      </w:r>
    </w:p>
    <w:p>
      <w:pPr>
        <w:pStyle w:val="Heading1"/>
      </w:pPr>
      <w:r>
        <w:t xml:space="preserve">12.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13.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Identificar el primer proceso candidato a automatizar, una vez validado manualmente (ej. publicación de ficha en Etsy).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Evaluar n8n en la práctica antes de adoptarlo formalmente vía RFC.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2026-07-09T04:11:27.932Z</dcterms:created>
  <dcterms:modified xsi:type="dcterms:W3CDTF">2026-07-09T04:11:27.932Z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