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VIII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Agentes de IA (Commerce Brain)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VIII — Agentes de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(Sección 12) · RFC-003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III (Arquitectura Empresarial) · Volumen VI (Atlas Brain) · Volumen VII (Automatizaciones)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Detallar cada agente del Commerce Brain definido en RFC-000: su función, quién la cumple hoy, y los límites que deberá tener cuando se automatice.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El Commerce Brain es una red de agentes especializados, no una única IA. RFC-003 ya delegó formalmente en Cowork la función combinada de Scout, Research y parte de Evaluator para el canal Etsy, dejando precedente del patrón a seguir con el resto de agentes: cumplir la función manualmente primero, automatizar después.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 función y estado de cada agente. No cubre el motor de decisión que los coordina (Atlas Brain, Volumen VI) ni la infraestructura de permisos que los limitará (Atlas OS, Volumen V).</w:t>
      </w:r>
    </w:p>
    <w:p>
      <w:pPr>
        <w:pStyle w:val="Heading1"/>
      </w:pPr>
      <w:r>
        <w:t xml:space="preserve">4. Tabla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 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Analiza tendencias de mercado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Manual, vía Cowork (RFC-003)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 productos y demanda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Manual, vía Cowork (RFC-003)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 viabilidad, aplica calidad sobre velocidad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Manual, vía Cowork (RFC-003), decisión final de Brey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Construye fichas de 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implementado; hoy lo hace Brey manualmente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 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Parcial: stack de RFC-004 para video; imágenes aún manuales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Copywriter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Escribe contenido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implementado; hoy lo hace Brey/Cowork manualmente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Expert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 posicionamiento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 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 campañas pagadas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implementado; no aplica todavía (no hay presupuesto de ads)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Atiende 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implementado; no aplica todavía (sin ventas)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Analiza márgenes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Parcial: economía unitaria de referencia en Volumen 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procesos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Cumplido parcialmente por el propio proceso de RFCs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Límites obligatorios (Artículo VI)</w:t>
      </w:r>
    </w:p>
    <w:p>
      <w:pPr>
        <w:spacing w:after="160"/>
      </w:pPr>
      <w:r>
        <w:t xml:space="preserve">Todo agente, al automatizarse, deberá operar dentro de límites explícitos: qué puede decidir por sí mismo y qué requiere aprobación humana. Por defecto, ningún agente aprobará gasto de dinero ni publicará contenido de cara al cliente sin un primer período de supervisión directa de Brey.</w:t>
      </w:r>
    </w:p>
    <w:p>
      <w:pPr>
        <w:pStyle w:val="Heading1"/>
      </w:pPr>
      <w:r>
        <w:t xml:space="preserve">6. Patrón de automatización</w:t>
      </w:r>
    </w:p>
    <w:p>
      <w:pPr>
        <w:spacing w:after="160"/>
      </w:pPr>
      <w:r>
        <w:t xml:space="preserve">Siguiendo el precedente de RFC-003, cada agente se automatiza en este orden: (1) se cumple manualmente vía Cowork o Brey, (2) se documenta el proceso manual con suficiente detalle, (3) se automatiza solo la parte ya validada, (4) se mantiene supervisión humana hasta comprobar fiabilidad.</w:t>
      </w:r>
    </w:p>
    <w:p>
      <w:pPr>
        <w:pStyle w:val="Heading1"/>
      </w:pPr>
      <w:r>
        <w:t xml:space="preserve">7.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primer agente candidato a automatizarse será el de mayor apalancamiento y menor riesgo, previsiblemente Publisher o Designer, una vez validado manualmente el proceso con el primer producto.</w:t>
      </w:r>
    </w:p>
    <w:p>
      <w:pPr>
        <w:pStyle w:val="Heading1"/>
      </w:pPr>
      <w:r>
        <w:t xml:space="preserve">8.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Media Buyer o Support antes de tener clientes reales sería prematuro y sin datos para calibrar. Mitigación: permanecen sin implementar hasta que existan ventas.</w:t>
      </w:r>
    </w:p>
    <w:p>
      <w:pPr>
        <w:pStyle w:val="Heading1"/>
      </w:pPr>
      <w:r>
        <w:t xml:space="preserve">9.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Commerce Brain: red de agentes especializados de Atlas Commerce, cada uno con una responsabilidad concreta (RFC-000).</w:t>
      </w:r>
    </w:p>
    <w:p>
      <w:pPr>
        <w:pStyle w:val="Heading1"/>
      </w:pPr>
      <w:r>
        <w:t xml:space="preserve">10. Decisiones arquitectónicas registradas</w:t>
      </w:r>
    </w:p>
    <w:p>
      <w:pPr>
        <w:spacing w:after="160"/>
      </w:pPr>
      <w:r>
        <w:t xml:space="preserve">Se fija la tabla de estado de agentes (Sección 4) y el patrón de automatización (Sección 6) como la forma en que Atlas Commerce migrará de operación manual a operación asistida por agentes.</w:t>
      </w:r>
    </w:p>
    <w:p>
      <w:pPr>
        <w:pStyle w:val="Heading1"/>
      </w:pPr>
      <w:r>
        <w:t xml:space="preserve">11.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12.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Actualizar la tabla de la Sección 4 cada vez que un agente cambie de estado (manual → parcial → automatizado).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Documentar el proceso manual de Publisher en detalle, como preparación para su futura automatización.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2026-07-09T04:11:27.986Z</dcterms:created>
  <dcterms:modified xsi:type="dcterms:W3CDTF">2026-07-09T04:11:27.986Z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