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XI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Datos y Analítica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XI — Datos y Analítica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RFC-002 (Riesgos, Sección 7) · Tarea programada atlas-commerce-status-check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 (Modelo de Negocio) · Volumen VI (Atlas Brain) · Volumen IX (Operaciones)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qué se mide en Atlas Commerce y cómo, respondiendo al riesgo ya señalado en RFC-002: que "calidad" sin métrica es solo una declaración de intenciones.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RFC-002 identificó la necesidad de métricas objetivas de calidad. La tarea programada "atlas-commerce-status-check" ya recoge manualmente algunos de estos datos cada quince días.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qué métricas se recogen y con qué propósito. No cubre la implementación técnica de Atlas Insight como módulo de código (queda pendiente de un RFC futuro cuando exista volumen de datos suficiente).</w:t>
      </w:r>
    </w:p>
    <w:p>
      <w:pPr>
        <w:pStyle w:val="Heading1"/>
      </w:pPr>
      <w:r>
        <w:t xml:space="preserve">4. Métricas definidas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Unidades vendidas por 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Medir demanda real, no estimada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Ingresos por 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Validar la economía unitaria del Volumen II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Tasa de reseñas positivas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Señal de calidad percibida por el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Tasa de recompra o solicitud de más productos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Señal de ingreso pasivo constante, no solo pico inicial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Vigencia de las ventas en el tiempo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Distingue una moda pasajera de una demanda sostenida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Fuente de los datos</w:t>
      </w:r>
    </w:p>
    <w:p>
      <w:pPr>
        <w:spacing w:after="160"/>
      </w:pPr>
      <w:r>
        <w:t xml:space="preserve">Hasta que exista integración técnica con Etsy (Atlas Nexus), estos datos se recogen manualmente, reportados por Brey en cada revisión periódica.</w:t>
      </w:r>
    </w:p>
    <w:p>
      <w:pPr>
        <w:pStyle w:val="Heading1"/>
      </w:pPr>
      <w:r>
        <w:t xml:space="preserve">6. Relación con Atlas Brain</w:t>
      </w:r>
    </w:p>
    <w:p>
      <w:pPr>
        <w:spacing w:after="160"/>
      </w:pPr>
      <w:r>
        <w:t xml:space="preserve">Estas métricas son el insumo que, acumulado en el tiempo, permitirá automatizar decisiones en Atlas Brain (Volumen VI) con datos propios en vez de solo referencias de mercado externas.</w:t>
      </w:r>
    </w:p>
    <w:p>
      <w:pPr>
        <w:pStyle w:val="Heading1"/>
      </w:pPr>
      <w:r>
        <w:t xml:space="preserve">7.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volumen de datos propios es aún insuficiente para automatizar ningún análisis; las métricas se usan hoy de forma cualitativa, no estadística.</w:t>
      </w:r>
    </w:p>
    <w:p>
      <w:pPr>
        <w:pStyle w:val="Heading1"/>
      </w:pPr>
      <w:r>
        <w:t xml:space="preserve">8.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reportados manualmente pueden ser inconsistentes o incompletos: mitigado con la cadencia fija de revisión (cada quince días) y el criterio de Cowork para detectar tendencias, no solo picos puntuales.</w:t>
      </w:r>
    </w:p>
    <w:p>
      <w:pPr>
        <w:pStyle w:val="Heading1"/>
      </w:pPr>
      <w:r>
        <w:t xml:space="preserve">9.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Insight: módulo futuro de analítica, KPIs y predicciones (RFC-000), aún no implementado.</w:t>
      </w:r>
    </w:p>
    <w:p>
      <w:pPr>
        <w:pStyle w:val="Heading1"/>
      </w:pPr>
      <w:r>
        <w:t xml:space="preserve">10. Decisiones arquitectónicas registradas</w:t>
      </w:r>
    </w:p>
    <w:p>
      <w:pPr>
        <w:spacing w:after="160"/>
      </w:pPr>
      <w:r>
        <w:t xml:space="preserve">Se fijan las cinco métricas de la Sección 4 como el conjunto mínimo de datos a recoger en cada revisión periódica, resolviendo el riesgo abierto en RFC-002.</w:t>
      </w:r>
    </w:p>
    <w:p>
      <w:pPr>
        <w:pStyle w:val="Heading1"/>
      </w:pPr>
      <w:r>
        <w:t xml:space="preserve">11.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12.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Automatizar la recolección de estas métricas cuando exista integración con Etsy.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Revisar si se necesitan métricas adicionales tras el primer ciclo de venta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2026-07-09T04:11:28.162Z</dcterms:created>
  <dcterms:modified xsi:type="dcterms:W3CDTF">2026-07-09T04:11:28.162Z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