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613FF" w14:textId="1D52305C" w:rsidR="0029046C" w:rsidRDefault="0029046C" w:rsidP="00AB6F41">
      <w:pPr>
        <w:pStyle w:val="Title"/>
        <w:rPr>
          <w:sz w:val="36"/>
          <w:szCs w:val="36"/>
        </w:rPr>
      </w:pPr>
      <w:r w:rsidRPr="00AB6F41">
        <w:rPr>
          <w:sz w:val="36"/>
          <w:szCs w:val="36"/>
        </w:rPr>
        <w:t xml:space="preserve">Lack of recovery and Alle effect </w:t>
      </w:r>
      <w:r w:rsidR="00763FD2">
        <w:rPr>
          <w:sz w:val="36"/>
          <w:szCs w:val="36"/>
        </w:rPr>
        <w:t xml:space="preserve">strength </w:t>
      </w:r>
      <w:r w:rsidR="007A2B00">
        <w:rPr>
          <w:sz w:val="36"/>
          <w:szCs w:val="36"/>
        </w:rPr>
        <w:t>in</w:t>
      </w:r>
      <w:r w:rsidRPr="00AB6F41">
        <w:rPr>
          <w:sz w:val="36"/>
          <w:szCs w:val="36"/>
        </w:rPr>
        <w:t xml:space="preserve"> Atlantic cod stocks </w:t>
      </w:r>
    </w:p>
    <w:p w14:paraId="4A4D90D8" w14:textId="647FCB4F" w:rsidR="00AB6F41" w:rsidRPr="00AB6F41" w:rsidRDefault="00AB6F41" w:rsidP="00AB6F41">
      <w:pPr>
        <w:pStyle w:val="Heading1"/>
      </w:pPr>
      <w:r>
        <w:t>Introduction</w:t>
      </w:r>
    </w:p>
    <w:p w14:paraId="16EB821B" w14:textId="77777777" w:rsidR="009000AD" w:rsidRPr="009000AD" w:rsidRDefault="009000AD" w:rsidP="009000AD">
      <w:pPr>
        <w:spacing w:before="240" w:after="0" w:line="276" w:lineRule="auto"/>
        <w:rPr>
          <w:rFonts w:cs="Arial"/>
        </w:rPr>
      </w:pPr>
      <w:r w:rsidRPr="009000AD">
        <w:rPr>
          <w:rFonts w:cs="Arial"/>
        </w:rPr>
        <w:t>Under typical density</w:t>
      </w:r>
      <w:r w:rsidRPr="009000AD">
        <w:rPr>
          <w:rFonts w:ascii="Cambria Math" w:hAnsi="Cambria Math" w:cs="Cambria Math"/>
        </w:rPr>
        <w:t>‐</w:t>
      </w:r>
      <w:r w:rsidRPr="009000AD">
        <w:rPr>
          <w:rFonts w:cs="Arial"/>
        </w:rPr>
        <w:t xml:space="preserve">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commentRangeStart w:id="0"/>
      <w:r w:rsidRPr="009000AD">
        <w:rPr>
          <w:rFonts w:cs="Arial"/>
        </w:rPr>
        <w:t>(</w:t>
      </w:r>
      <w:proofErr w:type="spellStart"/>
      <w:r w:rsidRPr="009000AD">
        <w:rPr>
          <w:rFonts w:cs="Arial"/>
        </w:rPr>
        <w:t>Courchamp</w:t>
      </w:r>
      <w:proofErr w:type="spellEnd"/>
      <w:r w:rsidRPr="009000AD">
        <w:rPr>
          <w:rFonts w:cs="Arial"/>
        </w:rPr>
        <w:t xml:space="preserve"> et al. 1999; Minto et al. 2008; Neubauer et al. 2013).</w:t>
      </w:r>
      <w:commentRangeEnd w:id="0"/>
      <w:r>
        <w:rPr>
          <w:rStyle w:val="CommentReference"/>
        </w:rPr>
        <w:commentReference w:id="0"/>
      </w:r>
    </w:p>
    <w:p w14:paraId="4C38AB59" w14:textId="7EB84B9C" w:rsidR="009000AD" w:rsidRPr="009000AD" w:rsidRDefault="009000AD" w:rsidP="009000AD">
      <w:pPr>
        <w:spacing w:before="240" w:after="0" w:line="276" w:lineRule="auto"/>
        <w:rPr>
          <w:rFonts w:cs="Arial"/>
        </w:rPr>
      </w:pPr>
      <w:r w:rsidRPr="009000AD">
        <w:rPr>
          <w:rFonts w:cs="Arial"/>
        </w:rPr>
        <w:t xml:space="preserve">Despite their theoretical importance, Allee effects are rarely detected in empirical analyses of exploited </w:t>
      </w:r>
      <w:r>
        <w:rPr>
          <w:rFonts w:cs="Arial"/>
        </w:rPr>
        <w:t xml:space="preserve">marine </w:t>
      </w:r>
      <w:r w:rsidRPr="009000AD">
        <w:rPr>
          <w:rFonts w:cs="Arial"/>
        </w:rPr>
        <w:t xml:space="preserve">fish stocks (Hilborn et al. 2014). When depensation has been reported, it has most often been documented in Atlantic cod (Gadus </w:t>
      </w:r>
      <w:proofErr w:type="spellStart"/>
      <w:r w:rsidRPr="009000AD">
        <w:rPr>
          <w:rFonts w:cs="Arial"/>
        </w:rPr>
        <w:t>morhua</w:t>
      </w:r>
      <w:proofErr w:type="spellEnd"/>
      <w:r w:rsidRPr="009000AD">
        <w:rPr>
          <w:rFonts w:cs="Arial"/>
        </w:rPr>
        <w:t xml:space="preserve">) stocks (Keith and Hutchings 2012), potentially reflecting the widespread and prolonged depletion experienced by this species. Most empirical studies have implicitly assumed that Allee effects arise through recruitment limitation at low spawning biomass. </w:t>
      </w:r>
      <w:r>
        <w:rPr>
          <w:rFonts w:cs="Arial"/>
        </w:rPr>
        <w:t xml:space="preserve">Winter et al. 2023 showed that </w:t>
      </w:r>
      <w:r w:rsidRPr="009000AD">
        <w:rPr>
          <w:rFonts w:cs="Arial"/>
        </w:rPr>
        <w:t>changes in water temperature and/or in spawner weight</w:t>
      </w:r>
      <w:r>
        <w:rPr>
          <w:rFonts w:cs="Arial"/>
        </w:rPr>
        <w:t xml:space="preserve"> of multiple cod stocks could modify the </w:t>
      </w:r>
      <w:r w:rsidRPr="009000AD">
        <w:rPr>
          <w:rFonts w:cs="Arial"/>
        </w:rPr>
        <w:t xml:space="preserve">Allee effect strength, </w:t>
      </w:r>
      <w:r>
        <w:rPr>
          <w:rFonts w:cs="Arial"/>
        </w:rPr>
        <w:t>defined as</w:t>
      </w:r>
      <w:r w:rsidRPr="009000AD">
        <w:rPr>
          <w:rFonts w:cs="Arial"/>
        </w:rPr>
        <w:t xml:space="preserve"> the relative change between maximum and minimum recruitment per capita at low abundance</w:t>
      </w:r>
      <w:r>
        <w:rPr>
          <w:rFonts w:cs="Arial"/>
        </w:rPr>
        <w:t>. D</w:t>
      </w:r>
      <w:r w:rsidRPr="009000AD">
        <w:rPr>
          <w:rFonts w:cs="Arial"/>
        </w:rPr>
        <w:t>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1DBE56C4" w14:textId="5BF8E7EA" w:rsidR="009000AD" w:rsidRPr="009000AD" w:rsidRDefault="009000AD" w:rsidP="009000AD">
      <w:pPr>
        <w:spacing w:before="240" w:after="0" w:line="276" w:lineRule="auto"/>
        <w:rPr>
          <w:rFonts w:cs="Arial"/>
        </w:rPr>
      </w:pPr>
      <w:r w:rsidRPr="009000AD">
        <w:rPr>
          <w:rFonts w:cs="Arial"/>
        </w:rPr>
        <w:t xml:space="preserve">Surplus production provides an integrative framework for examining Allee effects arising from multiple biological processes. Surplus production represents the net change in biomass in the absence of fishing and reflects the combined effects of recruitment, somatic growth, </w:t>
      </w:r>
      <w:r>
        <w:rPr>
          <w:rFonts w:cs="Arial"/>
        </w:rPr>
        <w:t xml:space="preserve">maturity, </w:t>
      </w:r>
      <w:r w:rsidRPr="009000AD">
        <w:rPr>
          <w:rFonts w:cs="Arial"/>
        </w:rPr>
        <w:t xml:space="preserve">and natural mortality. As such, surplus production dynamics are sensitive to depensatory processes regardless of whether they originate from reduced recruitment, elevated mortality, or changes in population demography induced by fishing. Despite this, few studies have systematically examined Allee effects across multiple cod stocks using surplus production, and fewer still have quantified the strength of depensation </w:t>
      </w:r>
      <w:r>
        <w:rPr>
          <w:rFonts w:cs="Arial"/>
        </w:rPr>
        <w:t xml:space="preserve">measured from production </w:t>
      </w:r>
      <w:r w:rsidRPr="009000AD">
        <w:rPr>
          <w:rFonts w:cs="Arial"/>
        </w:rPr>
        <w:t>in a way that allows direct comparison among stocks.</w:t>
      </w:r>
    </w:p>
    <w:p w14:paraId="44FEF2DF" w14:textId="77777777" w:rsidR="009000AD" w:rsidRPr="009000AD" w:rsidRDefault="009000AD" w:rsidP="009000AD">
      <w:pPr>
        <w:spacing w:before="240" w:after="0" w:line="276" w:lineRule="auto"/>
        <w:rPr>
          <w:rFonts w:cs="Arial"/>
        </w:rPr>
      </w:pPr>
      <w:r w:rsidRPr="009000AD">
        <w:rPr>
          <w:rFonts w:cs="Arial"/>
        </w:rPr>
        <w:lastRenderedPageBreak/>
        <w:t>A central but underexplored aspect of Allee effects is their magnitude. While the existence of depensatory dynamics has been widely discussed, comparatively little empirical work has focused on quantifying how strongly production is reduced at low biomass or on identifying the biomass ranges over which depensation operates. For exploited fish stocks, even moderate reductions in production at low abundance may have important consequences for recovery trajectories, particularly following severe depletion.</w:t>
      </w:r>
    </w:p>
    <w:p w14:paraId="6DBD41AC" w14:textId="12CC91DC" w:rsidR="00F3430B" w:rsidRDefault="00DE32AE" w:rsidP="009000AD">
      <w:pPr>
        <w:spacing w:before="240" w:after="0" w:line="276" w:lineRule="auto"/>
        <w:rPr>
          <w:rFonts w:cs="Arial"/>
        </w:rPr>
      </w:pPr>
      <w:r w:rsidRPr="00DE32AE">
        <w:rPr>
          <w:rFonts w:cs="Arial"/>
        </w:rPr>
        <w:t>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stocks exhibit Allee effect thresholds in surplus production dynamics, quantify the strength of depensatory effects using a consistent production-based approach, and evaluate whether variation in Allee effect strength and low-biomass productivity is associated with differences in stock recovery outcomes.</w:t>
      </w:r>
    </w:p>
    <w:p w14:paraId="59F1E241" w14:textId="2F25F5C0" w:rsidR="003D1E89" w:rsidRDefault="003D1E89" w:rsidP="00AB6F41">
      <w:pPr>
        <w:pStyle w:val="Heading1"/>
      </w:pPr>
      <w:r>
        <w:t>Methods</w:t>
      </w:r>
    </w:p>
    <w:p w14:paraId="03094E6A" w14:textId="77777777" w:rsidR="00F3430B" w:rsidRDefault="00F3430B" w:rsidP="00F3430B">
      <w:pPr>
        <w:rPr>
          <w:u w:val="single"/>
        </w:rPr>
      </w:pPr>
      <w:r w:rsidRPr="0029046C">
        <w:rPr>
          <w:u w:val="single"/>
        </w:rPr>
        <w:t>Stocks</w:t>
      </w:r>
    </w:p>
    <w:p w14:paraId="582A39E7" w14:textId="1E50F338" w:rsidR="00932197" w:rsidRPr="00932197" w:rsidRDefault="00932197" w:rsidP="00F3430B">
      <w:r>
        <w:t xml:space="preserve">Add </w:t>
      </w:r>
      <w:r w:rsidR="00651716">
        <w:t xml:space="preserve">stock names </w:t>
      </w:r>
      <w:r>
        <w:t xml:space="preserve">description </w:t>
      </w:r>
      <w:r w:rsidR="00651716">
        <w:t xml:space="preserve">, units, assessment model </w:t>
      </w:r>
      <w:r>
        <w:t>and sources</w:t>
      </w:r>
    </w:p>
    <w:p w14:paraId="580787BB" w14:textId="289A2492" w:rsidR="00672D7B" w:rsidRDefault="00672D7B" w:rsidP="00F3430B">
      <w:r>
        <w:t>NW Atlantic stocks</w:t>
      </w:r>
    </w:p>
    <w:p w14:paraId="1711F880" w14:textId="41864B67" w:rsidR="00F3430B" w:rsidRDefault="00F3430B" w:rsidP="00F3430B">
      <w:r>
        <w:t>2J3KL – time varying M (assessment) or B process error (SPM)</w:t>
      </w:r>
    </w:p>
    <w:p w14:paraId="2776FEA0" w14:textId="77777777" w:rsidR="00F3430B" w:rsidRDefault="00F3430B" w:rsidP="00F3430B">
      <w:r>
        <w:t>3PS – time varying M</w:t>
      </w:r>
    </w:p>
    <w:p w14:paraId="1B130C7B" w14:textId="77777777" w:rsidR="00F3430B" w:rsidRDefault="00F3430B" w:rsidP="00F3430B">
      <w:r>
        <w:t>3Pn4RS – time varying M</w:t>
      </w:r>
    </w:p>
    <w:p w14:paraId="44D281AE" w14:textId="77777777" w:rsidR="00F3430B" w:rsidRDefault="00F3430B" w:rsidP="00F3430B">
      <w:r>
        <w:t>4TVn – time varying M (assessment) or B process error (SPM)</w:t>
      </w:r>
    </w:p>
    <w:p w14:paraId="5AC5D67D" w14:textId="77777777" w:rsidR="00F3430B" w:rsidRDefault="00F3430B" w:rsidP="00F3430B">
      <w:r>
        <w:t>4VsW – time varying M</w:t>
      </w:r>
    </w:p>
    <w:p w14:paraId="72C250EC" w14:textId="77777777" w:rsidR="00F3430B" w:rsidRDefault="00F3430B" w:rsidP="00F3430B">
      <w:r>
        <w:t xml:space="preserve">4X5Y – time varying M </w:t>
      </w:r>
    </w:p>
    <w:p w14:paraId="23A773EF" w14:textId="77777777" w:rsidR="00F3430B" w:rsidRPr="0029046C" w:rsidRDefault="00F3430B" w:rsidP="00F3430B">
      <w:pPr>
        <w:rPr>
          <w:highlight w:val="yellow"/>
        </w:rPr>
      </w:pPr>
      <w:proofErr w:type="spellStart"/>
      <w:r w:rsidRPr="0029046C">
        <w:rPr>
          <w:highlight w:val="yellow"/>
        </w:rPr>
        <w:t>GoM</w:t>
      </w:r>
      <w:proofErr w:type="spellEnd"/>
      <w:r w:rsidRPr="0029046C">
        <w:rPr>
          <w:highlight w:val="yellow"/>
        </w:rPr>
        <w:t xml:space="preserve"> </w:t>
      </w:r>
    </w:p>
    <w:p w14:paraId="6A175796" w14:textId="77777777" w:rsidR="00F3430B" w:rsidRDefault="00F3430B" w:rsidP="00F3430B">
      <w:r w:rsidRPr="0029046C">
        <w:rPr>
          <w:highlight w:val="yellow"/>
        </w:rPr>
        <w:t>GB</w:t>
      </w:r>
    </w:p>
    <w:p w14:paraId="23C9900A" w14:textId="7F1EE5D0" w:rsidR="00672D7B" w:rsidRDefault="00672D7B" w:rsidP="00F3430B">
      <w:r>
        <w:t>RAM stocks</w:t>
      </w:r>
    </w:p>
    <w:p w14:paraId="7FD9B4BE" w14:textId="77777777" w:rsidR="00672D7B" w:rsidRDefault="00672D7B" w:rsidP="00F3430B"/>
    <w:p w14:paraId="45F5884A" w14:textId="77777777" w:rsidR="00651716" w:rsidRDefault="00651716" w:rsidP="00F3430B"/>
    <w:p w14:paraId="1CC34209" w14:textId="3E7D8312" w:rsidR="003D1E89" w:rsidRPr="00FB689F" w:rsidRDefault="003D1E89" w:rsidP="003D1E89">
      <w:pPr>
        <w:pStyle w:val="BodyText"/>
        <w:spacing w:line="276" w:lineRule="auto"/>
        <w:rPr>
          <w:rFonts w:cs="Arial"/>
          <w:lang w:val="en-CA"/>
        </w:rPr>
      </w:pPr>
      <w:r w:rsidRPr="77A7532F">
        <w:rPr>
          <w:rFonts w:cs="Arial"/>
          <w:lang w:val="en-CA"/>
        </w:rPr>
        <w:lastRenderedPageBreak/>
        <w:t xml:space="preserve">Surplus production was </w:t>
      </w:r>
      <w:r w:rsidRPr="77A7532F">
        <w:rPr>
          <w:rFonts w:cs="Arial"/>
          <w:color w:val="000000" w:themeColor="text1"/>
        </w:rPr>
        <w:t>calculated as</w:t>
      </w:r>
      <w:r w:rsidRPr="77A7532F">
        <w:rPr>
          <w:rFonts w:cs="Arial"/>
          <w:color w:val="000000" w:themeColor="text1"/>
          <w:sz w:val="21"/>
          <w:szCs w:val="21"/>
        </w:rPr>
        <w:t>:</w:t>
      </w:r>
    </w:p>
    <w:p w14:paraId="09C91283" w14:textId="77777777" w:rsidR="003D1E89" w:rsidRPr="00FB689F" w:rsidRDefault="00000000" w:rsidP="003D1E89">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01D7EAC2" w14:textId="7F0BF113" w:rsidR="003D1E89" w:rsidRPr="00FB689F" w:rsidRDefault="003D1E89" w:rsidP="003D1E89">
      <w:pPr>
        <w:pStyle w:val="BodyText"/>
        <w:spacing w:line="276" w:lineRule="auto"/>
        <w:rPr>
          <w:rFonts w:cs="Arial"/>
          <w:lang w:val="en-CA"/>
        </w:rPr>
      </w:pPr>
      <w:r w:rsidRPr="00FB689F">
        <w:rPr>
          <w:rFonts w:cs="Arial"/>
        </w:rPr>
        <w:t xml:space="preserve">Where </w:t>
      </w:r>
      <m:oMath>
        <m:r>
          <w:rPr>
            <w:rFonts w:ascii="Cambria Math" w:hAnsi="Cambria Math" w:cs="Arial"/>
          </w:rPr>
          <m:t>t</m:t>
        </m:r>
      </m:oMath>
      <w:r w:rsidRPr="00FB689F">
        <w:rPr>
          <w:rFonts w:cs="Arial"/>
        </w:rPr>
        <w:t xml:space="preserve"> indexes year, </w:t>
      </w:r>
      <m:oMath>
        <m:r>
          <w:rPr>
            <w:rFonts w:ascii="Cambria Math" w:hAnsi="Cambria Math" w:cs="Arial"/>
            <w:lang w:val="en-CA"/>
          </w:rPr>
          <m:t>P</m:t>
        </m:r>
      </m:oMath>
      <w:r w:rsidRPr="00FB689F">
        <w:rPr>
          <w:rFonts w:cs="Arial"/>
          <w:lang w:val="en-CA"/>
        </w:rPr>
        <w:t xml:space="preserve"> is the stock surplus production, </w:t>
      </w:r>
      <m:oMath>
        <m:r>
          <w:rPr>
            <w:rFonts w:ascii="Cambria Math" w:hAnsi="Cambria Math" w:cs="Arial"/>
            <w:lang w:val="en-CA"/>
          </w:rPr>
          <m:t>C</m:t>
        </m:r>
      </m:oMath>
      <w:r w:rsidRPr="00FB689F">
        <w:rPr>
          <w:rFonts w:cs="Arial"/>
          <w:lang w:val="en-CA"/>
        </w:rPr>
        <w:t xml:space="preserve"> is the fishery catch and </w:t>
      </w:r>
      <m:oMath>
        <m:r>
          <w:rPr>
            <w:rFonts w:ascii="Cambria Math" w:hAnsi="Cambria Math" w:cs="Arial"/>
            <w:lang w:val="en-CA"/>
          </w:rPr>
          <m:t>B</m:t>
        </m:r>
      </m:oMath>
      <w:r w:rsidRPr="00FB689F">
        <w:rPr>
          <w:rFonts w:cs="Arial"/>
          <w:lang w:val="en-CA"/>
        </w:rPr>
        <w:t xml:space="preserve"> is the stock biomass.</w:t>
      </w:r>
    </w:p>
    <w:p w14:paraId="77E6AF25" w14:textId="7E22B9C2" w:rsidR="00932197" w:rsidRDefault="003D1E89" w:rsidP="00932197">
      <w:pPr>
        <w:pStyle w:val="BodyText"/>
        <w:spacing w:line="276" w:lineRule="auto"/>
        <w:rPr>
          <w:lang w:val="en-CA"/>
        </w:rPr>
      </w:pPr>
      <w:r w:rsidRPr="00E43A6C">
        <w:rPr>
          <w:rFonts w:cs="Arial"/>
          <w:lang w:val="en-CA"/>
        </w:rPr>
        <w:t>Following Hutchings</w:t>
      </w:r>
      <w:r>
        <w:rPr>
          <w:rFonts w:cs="Arial"/>
          <w:lang w:val="en-CA"/>
        </w:rPr>
        <w:t xml:space="preserve"> 2015</w:t>
      </w:r>
      <w:r w:rsidRPr="00E43A6C">
        <w:rPr>
          <w:rFonts w:cs="Arial"/>
          <w:lang w:val="en-CA"/>
        </w:rPr>
        <w:t xml:space="preserve">, the Allee effect threshold </w:t>
      </w:r>
      <w:r>
        <w:rPr>
          <w:rFonts w:cs="Arial"/>
          <w:lang w:val="en-CA"/>
        </w:rPr>
        <w:t>was defined</w:t>
      </w:r>
      <w:r w:rsidRPr="00E43A6C">
        <w:rPr>
          <w:rFonts w:cs="Arial"/>
          <w:lang w:val="en-CA"/>
        </w:rPr>
        <w:t xml:space="preserve"> as</w:t>
      </w:r>
      <w:r>
        <w:rPr>
          <w:rFonts w:cs="Arial"/>
          <w:lang w:val="en-CA"/>
        </w:rPr>
        <w:t xml:space="preserve"> </w:t>
      </w:r>
      <w:r w:rsidRPr="00E43A6C">
        <w:rPr>
          <w:rFonts w:cs="Arial"/>
          <w:lang w:val="en-CA"/>
        </w:rPr>
        <w:t xml:space="preserve">the biomass where the per capita population growth rate declines with declining biomass. </w:t>
      </w:r>
      <w:r w:rsidR="00AB6F41">
        <w:rPr>
          <w:rFonts w:cs="Arial"/>
          <w:lang w:val="en-CA"/>
        </w:rPr>
        <w:t xml:space="preserve">The Allee threshold was defined as the point where production becomes negative as biomass decreases. </w:t>
      </w:r>
      <w:r w:rsidRPr="038F60F1">
        <w:rPr>
          <w:rFonts w:cs="Arial"/>
          <w:lang w:val="en-CA"/>
        </w:rPr>
        <w:t>Piecewise regressions of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38F60F1">
        <w:rPr>
          <w:rFonts w:cs="Arial"/>
          <w:lang w:val="en-CA"/>
        </w:rPr>
        <w:t xml:space="preserve">) as a function of </w:t>
      </w:r>
      <w:r>
        <w:rPr>
          <w:rFonts w:cs="Arial"/>
          <w:lang w:val="en-CA"/>
        </w:rPr>
        <w:t xml:space="preserve">2+ </w:t>
      </w:r>
      <w:r w:rsidRPr="038F60F1">
        <w:rPr>
          <w:rFonts w:cs="Arial"/>
          <w:lang w:val="en-CA"/>
        </w:rPr>
        <w:t xml:space="preserve">biomass were conducted using the </w:t>
      </w:r>
      <w:r w:rsidRPr="003164D1">
        <w:rPr>
          <w:rFonts w:cs="Arial"/>
          <w:lang w:val="en-CA"/>
        </w:rPr>
        <w:t>segmented</w:t>
      </w:r>
      <w:r w:rsidRPr="038F60F1">
        <w:rPr>
          <w:rFonts w:cs="Arial"/>
          <w:lang w:val="en-CA"/>
        </w:rPr>
        <w:t xml:space="preserve"> package</w:t>
      </w:r>
      <w:r>
        <w:rPr>
          <w:rFonts w:cs="Arial"/>
          <w:lang w:val="en-CA"/>
        </w:rPr>
        <w:t xml:space="preserve"> (Fasola et al. 2018)</w:t>
      </w:r>
      <w:r w:rsidRPr="038F60F1">
        <w:rPr>
          <w:rFonts w:cs="Arial"/>
          <w:lang w:val="en-CA"/>
        </w:rPr>
        <w:t xml:space="preserve"> in </w:t>
      </w:r>
      <w:r w:rsidR="009149B3">
        <w:rPr>
          <w:rFonts w:cs="Arial"/>
          <w:lang w:val="en-CA"/>
        </w:rPr>
        <w:t xml:space="preserve">the </w:t>
      </w:r>
      <w:r w:rsidRPr="038F60F1">
        <w:rPr>
          <w:rFonts w:cs="Arial"/>
          <w:lang w:val="en-CA"/>
        </w:rPr>
        <w:t xml:space="preserve">R </w:t>
      </w:r>
      <w:r w:rsidR="009149B3">
        <w:rPr>
          <w:rFonts w:cs="Arial"/>
          <w:lang w:val="en-CA"/>
        </w:rPr>
        <w:t xml:space="preserve">statistical software. </w:t>
      </w:r>
      <w:r w:rsidR="009149B3">
        <w:rPr>
          <w:lang w:val="en-CA"/>
        </w:rPr>
        <w:t xml:space="preserve">The phi parameter estimate </w:t>
      </w:r>
      <w:r w:rsidR="00932197">
        <w:rPr>
          <w:lang w:val="en-CA"/>
        </w:rPr>
        <w:t xml:space="preserve">(regression breakpoint) </w:t>
      </w:r>
      <w:r w:rsidR="009149B3">
        <w:rPr>
          <w:lang w:val="en-CA"/>
        </w:rPr>
        <w:t>was</w:t>
      </w:r>
      <w:r w:rsidR="00932197">
        <w:rPr>
          <w:lang w:val="en-CA"/>
        </w:rPr>
        <w:t xml:space="preserve"> used as the Allee effect threshold value. Linear regressions were also fit to each stock. Slopes of all regressions were used to assess the direction of the effect. Stocks with positive slopes before the breakpoint and negative slopes after the breakpoint were classified as stocks experiencing </w:t>
      </w:r>
      <w:proofErr w:type="spellStart"/>
      <w:r w:rsidR="00932197">
        <w:rPr>
          <w:lang w:val="en-CA"/>
        </w:rPr>
        <w:t>allee</w:t>
      </w:r>
      <w:proofErr w:type="spellEnd"/>
      <w:r w:rsidR="00932197">
        <w:rPr>
          <w:lang w:val="en-CA"/>
        </w:rPr>
        <w:t xml:space="preserve"> effects. For stocks where a linear regression model was lower AIC than a segmented regression, the sign of the slope was used to assess for depensation. </w:t>
      </w:r>
    </w:p>
    <w:p w14:paraId="4857899D" w14:textId="29CCD0DB" w:rsidR="00BA5F40" w:rsidRDefault="00932197" w:rsidP="00932197">
      <w:pPr>
        <w:pStyle w:val="BodyText"/>
        <w:spacing w:line="276" w:lineRule="auto"/>
        <w:rPr>
          <w:lang w:val="en-CA"/>
        </w:rPr>
      </w:pPr>
      <w:r>
        <w:rPr>
          <w:lang w:val="en-CA"/>
        </w:rPr>
        <w:t>Strength of the effect</w:t>
      </w:r>
      <w:r w:rsidR="00BA5F40">
        <w:rPr>
          <w:lang w:val="en-CA"/>
        </w:rPr>
        <w:t xml:space="preserve"> was defined as </w:t>
      </w:r>
    </w:p>
    <w:p w14:paraId="03B27AF6" w14:textId="4D8B8368" w:rsidR="00BA5F40" w:rsidRDefault="00BA5F40" w:rsidP="00932197">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Sup>
                <m:sSubSupPr>
                  <m:ctrlPr>
                    <w:rPr>
                      <w:rFonts w:ascii="Cambria Math" w:hAnsi="Cambria Math"/>
                      <w:i/>
                      <w:lang w:val="en-CA"/>
                    </w:rPr>
                  </m:ctrlPr>
                </m:sSubSupPr>
                <m:e>
                  <m:r>
                    <w:rPr>
                      <w:rFonts w:ascii="Cambria Math" w:hAnsi="Cambria Math"/>
                      <w:lang w:val="en-CA"/>
                    </w:rPr>
                    <m:t>pr</m:t>
                  </m:r>
                </m:e>
                <m:sub>
                  <m:r>
                    <w:rPr>
                      <w:rFonts w:ascii="Cambria Math" w:hAnsi="Cambria Math"/>
                      <w:lang w:val="en-CA"/>
                    </w:rPr>
                    <m:t>min.b</m:t>
                  </m:r>
                </m:sub>
                <m:sup>
                  <m:r>
                    <w:rPr>
                      <w:rFonts w:ascii="Cambria Math" w:hAnsi="Cambria Math"/>
                      <w:lang w:val="en-CA"/>
                    </w:rPr>
                    <m:t>dep</m:t>
                  </m:r>
                </m:sup>
              </m:sSubSup>
              <m:r>
                <w:rPr>
                  <w:rFonts w:ascii="Cambria Math" w:hAnsi="Cambria Math"/>
                  <w:lang w:val="en-CA"/>
                </w:rPr>
                <m:t>-</m:t>
              </m:r>
              <m:sSubSup>
                <m:sSubSupPr>
                  <m:ctrlPr>
                    <w:rPr>
                      <w:rFonts w:ascii="Cambria Math" w:hAnsi="Cambria Math"/>
                      <w:i/>
                      <w:lang w:val="en-CA"/>
                    </w:rPr>
                  </m:ctrlPr>
                </m:sSubSupPr>
                <m:e>
                  <m:r>
                    <w:rPr>
                      <w:rFonts w:ascii="Cambria Math" w:hAnsi="Cambria Math"/>
                      <w:lang w:val="en-CA"/>
                    </w:rPr>
                    <m:t>pr</m:t>
                  </m:r>
                </m:e>
                <m:sub>
                  <m:r>
                    <w:rPr>
                      <w:rFonts w:ascii="Cambria Math" w:hAnsi="Cambria Math"/>
                      <w:lang w:val="en-CA"/>
                    </w:rPr>
                    <m:t>min.b</m:t>
                  </m:r>
                </m:sub>
                <m:sup>
                  <m:r>
                    <w:rPr>
                      <w:rFonts w:ascii="Cambria Math" w:hAnsi="Cambria Math"/>
                      <w:lang w:val="en-CA"/>
                    </w:rPr>
                    <m:t>comp</m:t>
                  </m:r>
                </m:sup>
              </m:sSubSup>
            </m:num>
            <m:den>
              <m:sSubSup>
                <m:sSubSupPr>
                  <m:ctrlPr>
                    <w:rPr>
                      <w:rFonts w:ascii="Cambria Math" w:hAnsi="Cambria Math"/>
                      <w:i/>
                      <w:lang w:val="en-CA"/>
                    </w:rPr>
                  </m:ctrlPr>
                </m:sSubSupPr>
                <m:e>
                  <m:r>
                    <w:rPr>
                      <w:rFonts w:ascii="Cambria Math" w:hAnsi="Cambria Math"/>
                      <w:lang w:val="en-CA"/>
                    </w:rPr>
                    <m:t>pr</m:t>
                  </m:r>
                </m:e>
                <m:sub>
                  <m:r>
                    <w:rPr>
                      <w:rFonts w:ascii="Cambria Math" w:hAnsi="Cambria Math"/>
                      <w:lang w:val="en-CA"/>
                    </w:rPr>
                    <m:t>min.b</m:t>
                  </m:r>
                </m:sub>
                <m:sup>
                  <m:r>
                    <w:rPr>
                      <w:rFonts w:ascii="Cambria Math" w:hAnsi="Cambria Math"/>
                      <w:lang w:val="en-CA"/>
                    </w:rPr>
                    <m:t>comp</m:t>
                  </m:r>
                </m:sup>
              </m:sSubSup>
            </m:den>
          </m:f>
        </m:oMath>
      </m:oMathPara>
    </w:p>
    <w:p w14:paraId="31752239" w14:textId="77777777" w:rsidR="00BA5F40" w:rsidRPr="00D12369" w:rsidRDefault="00BA5F40" w:rsidP="00BA5F40">
      <w:pPr>
        <w:rPr>
          <w:highlight w:val="yellow"/>
        </w:rPr>
      </w:pPr>
      <w:r w:rsidRPr="00D12369">
        <w:rPr>
          <w:highlight w:val="yellow"/>
        </w:rPr>
        <w:t xml:space="preserve">Define proper method for </w:t>
      </w:r>
      <w:proofErr w:type="spellStart"/>
      <w:r w:rsidRPr="00D12369">
        <w:rPr>
          <w:highlight w:val="yellow"/>
        </w:rPr>
        <w:t>defning</w:t>
      </w:r>
      <w:proofErr w:type="spellEnd"/>
      <w:r w:rsidRPr="00D12369">
        <w:rPr>
          <w:highlight w:val="yellow"/>
        </w:rPr>
        <w:t xml:space="preserve"> if </w:t>
      </w:r>
      <w:proofErr w:type="spellStart"/>
      <w:r w:rsidRPr="00D12369">
        <w:rPr>
          <w:highlight w:val="yellow"/>
        </w:rPr>
        <w:t>allee</w:t>
      </w:r>
      <w:proofErr w:type="spellEnd"/>
      <w:r w:rsidRPr="00D12369">
        <w:rPr>
          <w:highlight w:val="yellow"/>
        </w:rPr>
        <w:t xml:space="preserve"> occurred</w:t>
      </w:r>
    </w:p>
    <w:p w14:paraId="75AEB52D" w14:textId="77777777" w:rsidR="00BA5F40" w:rsidRPr="00D12369" w:rsidRDefault="00BA5F40" w:rsidP="00BA5F40">
      <w:pPr>
        <w:rPr>
          <w:highlight w:val="yellow"/>
        </w:rPr>
      </w:pPr>
      <w:r w:rsidRPr="00D12369">
        <w:rPr>
          <w:highlight w:val="yellow"/>
        </w:rPr>
        <w:t>Is a segmented regression better than linear</w:t>
      </w:r>
    </w:p>
    <w:p w14:paraId="4A6982B2" w14:textId="77777777" w:rsidR="00BA5F40" w:rsidRPr="00D12369" w:rsidRDefault="00BA5F40" w:rsidP="00BA5F40">
      <w:pPr>
        <w:rPr>
          <w:highlight w:val="yellow"/>
        </w:rPr>
      </w:pPr>
      <w:r w:rsidRPr="00D12369">
        <w:rPr>
          <w:highlight w:val="yellow"/>
        </w:rPr>
        <w:t>Are slopes significant</w:t>
      </w:r>
    </w:p>
    <w:p w14:paraId="4CC7D08A" w14:textId="77777777" w:rsidR="00BA5F40" w:rsidRDefault="00BA5F40" w:rsidP="00BA5F40">
      <w:proofErr w:type="spellStart"/>
      <w:r w:rsidRPr="00D12369">
        <w:rPr>
          <w:highlight w:val="yellow"/>
        </w:rPr>
        <w:t>etc</w:t>
      </w:r>
      <w:proofErr w:type="spellEnd"/>
    </w:p>
    <w:p w14:paraId="5333D0D3" w14:textId="77777777" w:rsidR="00932197" w:rsidRPr="00BA5F40" w:rsidRDefault="00932197" w:rsidP="00932197">
      <w:pPr>
        <w:pStyle w:val="BodyText"/>
        <w:spacing w:line="276" w:lineRule="auto"/>
      </w:pPr>
    </w:p>
    <w:p w14:paraId="3FB20F36" w14:textId="440BA1D0" w:rsidR="00BE1103" w:rsidRDefault="00BE1103" w:rsidP="00AB6F41">
      <w:pPr>
        <w:pStyle w:val="Heading1"/>
      </w:pPr>
      <w:r>
        <w:lastRenderedPageBreak/>
        <w:t>Results</w:t>
      </w:r>
    </w:p>
    <w:p w14:paraId="7C5E25C3" w14:textId="213B7134" w:rsidR="00BE1103" w:rsidRDefault="0072607F" w:rsidP="00C23353">
      <w:r>
        <w:rPr>
          <w:noProof/>
        </w:rPr>
        <w:drawing>
          <wp:inline distT="0" distB="0" distL="0" distR="0" wp14:anchorId="74FF9317" wp14:editId="4F4EBD36">
            <wp:extent cx="5943600" cy="4457700"/>
            <wp:effectExtent l="0" t="0" r="0" b="0"/>
            <wp:docPr id="173671495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14953" name="Picture 1" descr="A graph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8B7E9A8" w14:textId="25D73A13" w:rsidR="00BE1103" w:rsidRDefault="00BE1103" w:rsidP="00C23353"/>
    <w:p w14:paraId="22EEC6B4" w14:textId="4CDBAABE" w:rsidR="00BE1103" w:rsidRDefault="00BE1103" w:rsidP="00C23353"/>
    <w:p w14:paraId="6C5562BD" w14:textId="603764C9" w:rsidR="00BE1103" w:rsidRDefault="005538EA" w:rsidP="00C23353">
      <w:r>
        <w:rPr>
          <w:noProof/>
        </w:rPr>
        <w:lastRenderedPageBreak/>
        <w:drawing>
          <wp:inline distT="0" distB="0" distL="0" distR="0" wp14:anchorId="1719F55B" wp14:editId="2869D41C">
            <wp:extent cx="5943600" cy="5943600"/>
            <wp:effectExtent l="0" t="0" r="0" b="0"/>
            <wp:docPr id="42811547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5477" name="Picture 1" descr="A graph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367D3F14" w14:textId="411CB2BE" w:rsidR="0072607F" w:rsidRDefault="00AB56EB" w:rsidP="00C23353">
      <w:r>
        <w:rPr>
          <w:noProof/>
        </w:rPr>
        <w:lastRenderedPageBreak/>
        <w:drawing>
          <wp:inline distT="0" distB="0" distL="0" distR="0" wp14:anchorId="0044CF4C" wp14:editId="11669085">
            <wp:extent cx="5943600" cy="4457700"/>
            <wp:effectExtent l="0" t="0" r="0" b="0"/>
            <wp:docPr id="1731544563" name="Picture 1" descr="A graph of data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44563" name="Picture 1" descr="A graph of data with black and blue line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50C5BC3" w14:textId="1474A10C" w:rsidR="00AB56EB" w:rsidRDefault="00AB56EB">
      <w:r>
        <w:br w:type="page"/>
      </w:r>
    </w:p>
    <w:tbl>
      <w:tblPr>
        <w:tblW w:w="8955" w:type="dxa"/>
        <w:tblLayout w:type="fixed"/>
        <w:tblLook w:val="04A0" w:firstRow="1" w:lastRow="0" w:firstColumn="1" w:lastColumn="0" w:noHBand="0" w:noVBand="1"/>
      </w:tblPr>
      <w:tblGrid>
        <w:gridCol w:w="1800"/>
        <w:gridCol w:w="1125"/>
        <w:gridCol w:w="1260"/>
        <w:gridCol w:w="1080"/>
        <w:gridCol w:w="1530"/>
        <w:gridCol w:w="990"/>
        <w:gridCol w:w="1170"/>
      </w:tblGrid>
      <w:tr w:rsidR="00AB56EB" w:rsidRPr="00AB56EB" w14:paraId="0AA6A1B3" w14:textId="77777777" w:rsidTr="00AB56EB">
        <w:trPr>
          <w:trHeight w:val="300"/>
        </w:trPr>
        <w:tc>
          <w:tcPr>
            <w:tcW w:w="1800" w:type="dxa"/>
            <w:tcBorders>
              <w:top w:val="nil"/>
              <w:left w:val="nil"/>
              <w:bottom w:val="single" w:sz="4" w:space="0" w:color="auto"/>
              <w:right w:val="nil"/>
            </w:tcBorders>
            <w:shd w:val="clear" w:color="auto" w:fill="auto"/>
            <w:noWrap/>
            <w:vAlign w:val="center"/>
            <w:hideMark/>
          </w:tcPr>
          <w:p w14:paraId="3DB51099"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lastRenderedPageBreak/>
              <w:t>stock</w:t>
            </w:r>
          </w:p>
        </w:tc>
        <w:tc>
          <w:tcPr>
            <w:tcW w:w="1125" w:type="dxa"/>
            <w:tcBorders>
              <w:top w:val="nil"/>
              <w:left w:val="nil"/>
              <w:bottom w:val="single" w:sz="4" w:space="0" w:color="auto"/>
              <w:right w:val="nil"/>
            </w:tcBorders>
            <w:shd w:val="clear" w:color="auto" w:fill="auto"/>
            <w:noWrap/>
            <w:vAlign w:val="center"/>
            <w:hideMark/>
          </w:tcPr>
          <w:p w14:paraId="664A80A4" w14:textId="730E560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As</w:t>
            </w:r>
          </w:p>
        </w:tc>
        <w:tc>
          <w:tcPr>
            <w:tcW w:w="1260" w:type="dxa"/>
            <w:tcBorders>
              <w:top w:val="nil"/>
              <w:left w:val="nil"/>
              <w:bottom w:val="single" w:sz="4" w:space="0" w:color="auto"/>
              <w:right w:val="nil"/>
            </w:tcBorders>
            <w:shd w:val="clear" w:color="auto" w:fill="auto"/>
            <w:noWrap/>
            <w:vAlign w:val="center"/>
            <w:hideMark/>
          </w:tcPr>
          <w:p w14:paraId="53360338"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delta_0</w:t>
            </w:r>
          </w:p>
        </w:tc>
        <w:tc>
          <w:tcPr>
            <w:tcW w:w="1080" w:type="dxa"/>
            <w:tcBorders>
              <w:top w:val="nil"/>
              <w:left w:val="nil"/>
              <w:bottom w:val="single" w:sz="4" w:space="0" w:color="auto"/>
              <w:right w:val="nil"/>
            </w:tcBorders>
            <w:shd w:val="clear" w:color="auto" w:fill="auto"/>
            <w:noWrap/>
            <w:vAlign w:val="center"/>
            <w:hideMark/>
          </w:tcPr>
          <w:p w14:paraId="5A266DE8" w14:textId="2319C568" w:rsidR="00AB56EB" w:rsidRPr="00AB56EB" w:rsidRDefault="006C4694"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D</w:t>
            </w:r>
            <w:r w:rsidR="00AB56EB" w:rsidRPr="00AB56EB">
              <w:rPr>
                <w:rFonts w:ascii="Aptos Narrow" w:eastAsia="Times New Roman" w:hAnsi="Aptos Narrow" w:cs="Times New Roman"/>
                <w:color w:val="000000"/>
                <w:kern w:val="0"/>
                <w:sz w:val="20"/>
                <w:szCs w:val="20"/>
                <w14:ligatures w14:val="none"/>
              </w:rPr>
              <w:t>epletion</w:t>
            </w:r>
            <w:r>
              <w:rPr>
                <w:rFonts w:ascii="Aptos Narrow" w:eastAsia="Times New Roman" w:hAnsi="Aptos Narrow" w:cs="Times New Roman"/>
                <w:color w:val="000000"/>
                <w:kern w:val="0"/>
                <w:sz w:val="20"/>
                <w:szCs w:val="20"/>
                <w14:ligatures w14:val="none"/>
              </w:rPr>
              <w:t xml:space="preserve"> (smaller number is more depleted)</w:t>
            </w:r>
          </w:p>
        </w:tc>
        <w:tc>
          <w:tcPr>
            <w:tcW w:w="1530" w:type="dxa"/>
            <w:tcBorders>
              <w:top w:val="nil"/>
              <w:left w:val="nil"/>
              <w:bottom w:val="single" w:sz="4" w:space="0" w:color="auto"/>
              <w:right w:val="nil"/>
            </w:tcBorders>
          </w:tcPr>
          <w:p w14:paraId="6B84C600" w14:textId="3A7E91E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collapsed</w:t>
            </w:r>
          </w:p>
        </w:tc>
        <w:tc>
          <w:tcPr>
            <w:tcW w:w="990" w:type="dxa"/>
            <w:tcBorders>
              <w:top w:val="nil"/>
              <w:left w:val="nil"/>
              <w:bottom w:val="single" w:sz="4" w:space="0" w:color="auto"/>
              <w:right w:val="nil"/>
            </w:tcBorders>
          </w:tcPr>
          <w:p w14:paraId="24D131C0" w14:textId="6AF7864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Allee effect</w:t>
            </w:r>
          </w:p>
        </w:tc>
        <w:tc>
          <w:tcPr>
            <w:tcW w:w="1170" w:type="dxa"/>
            <w:tcBorders>
              <w:top w:val="nil"/>
              <w:left w:val="nil"/>
              <w:bottom w:val="single" w:sz="4" w:space="0" w:color="auto"/>
              <w:right w:val="nil"/>
            </w:tcBorders>
            <w:shd w:val="clear" w:color="auto" w:fill="auto"/>
            <w:noWrap/>
            <w:vAlign w:val="center"/>
            <w:hideMark/>
          </w:tcPr>
          <w:p w14:paraId="0F535312" w14:textId="74DEDD0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recovered</w:t>
            </w:r>
          </w:p>
        </w:tc>
      </w:tr>
      <w:tr w:rsidR="00AB56EB" w:rsidRPr="00AB56EB" w14:paraId="2E1D386B" w14:textId="77777777" w:rsidTr="00AB56EB">
        <w:trPr>
          <w:trHeight w:val="300"/>
        </w:trPr>
        <w:tc>
          <w:tcPr>
            <w:tcW w:w="1800" w:type="dxa"/>
            <w:tcBorders>
              <w:top w:val="single" w:sz="4" w:space="0" w:color="auto"/>
              <w:left w:val="nil"/>
              <w:bottom w:val="nil"/>
              <w:right w:val="nil"/>
            </w:tcBorders>
            <w:shd w:val="clear" w:color="auto" w:fill="auto"/>
            <w:noWrap/>
            <w:vAlign w:val="center"/>
            <w:hideMark/>
          </w:tcPr>
          <w:p w14:paraId="3596006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CODICE</w:t>
            </w:r>
          </w:p>
        </w:tc>
        <w:tc>
          <w:tcPr>
            <w:tcW w:w="1125" w:type="dxa"/>
            <w:tcBorders>
              <w:top w:val="single" w:sz="4" w:space="0" w:color="auto"/>
              <w:left w:val="nil"/>
              <w:bottom w:val="nil"/>
              <w:right w:val="nil"/>
            </w:tcBorders>
            <w:shd w:val="clear" w:color="auto" w:fill="auto"/>
            <w:noWrap/>
            <w:vAlign w:val="center"/>
            <w:hideMark/>
          </w:tcPr>
          <w:p w14:paraId="569B62D6" w14:textId="777B09E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-0.35</w:t>
            </w:r>
          </w:p>
        </w:tc>
        <w:tc>
          <w:tcPr>
            <w:tcW w:w="1260" w:type="dxa"/>
            <w:tcBorders>
              <w:top w:val="single" w:sz="4" w:space="0" w:color="auto"/>
              <w:left w:val="nil"/>
              <w:bottom w:val="nil"/>
              <w:right w:val="nil"/>
            </w:tcBorders>
            <w:shd w:val="clear" w:color="auto" w:fill="auto"/>
            <w:noWrap/>
            <w:vAlign w:val="center"/>
            <w:hideMark/>
          </w:tcPr>
          <w:p w14:paraId="222B94A5"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0.51</w:t>
            </w:r>
          </w:p>
        </w:tc>
        <w:tc>
          <w:tcPr>
            <w:tcW w:w="1080" w:type="dxa"/>
            <w:tcBorders>
              <w:top w:val="single" w:sz="4" w:space="0" w:color="auto"/>
              <w:left w:val="nil"/>
              <w:bottom w:val="nil"/>
              <w:right w:val="nil"/>
            </w:tcBorders>
            <w:shd w:val="clear" w:color="auto" w:fill="auto"/>
            <w:noWrap/>
            <w:vAlign w:val="center"/>
            <w:hideMark/>
          </w:tcPr>
          <w:p w14:paraId="7CF23CC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0.59</w:t>
            </w:r>
          </w:p>
        </w:tc>
        <w:tc>
          <w:tcPr>
            <w:tcW w:w="1530" w:type="dxa"/>
            <w:tcBorders>
              <w:top w:val="single" w:sz="4" w:space="0" w:color="auto"/>
              <w:left w:val="nil"/>
              <w:bottom w:val="nil"/>
              <w:right w:val="nil"/>
            </w:tcBorders>
          </w:tcPr>
          <w:p w14:paraId="0632CA20" w14:textId="2BC784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990" w:type="dxa"/>
            <w:tcBorders>
              <w:top w:val="single" w:sz="4" w:space="0" w:color="auto"/>
              <w:left w:val="nil"/>
              <w:bottom w:val="nil"/>
              <w:right w:val="nil"/>
            </w:tcBorders>
          </w:tcPr>
          <w:p w14:paraId="0EECB2AB" w14:textId="52FC35C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single" w:sz="4" w:space="0" w:color="auto"/>
              <w:left w:val="nil"/>
              <w:bottom w:val="nil"/>
              <w:right w:val="nil"/>
            </w:tcBorders>
            <w:shd w:val="clear" w:color="auto" w:fill="auto"/>
            <w:noWrap/>
            <w:vAlign w:val="center"/>
            <w:hideMark/>
          </w:tcPr>
          <w:p w14:paraId="741393E2" w14:textId="086E6A3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34F95534" w14:textId="77777777" w:rsidTr="00AB56EB">
        <w:trPr>
          <w:trHeight w:val="300"/>
        </w:trPr>
        <w:tc>
          <w:tcPr>
            <w:tcW w:w="1800" w:type="dxa"/>
            <w:tcBorders>
              <w:top w:val="nil"/>
              <w:left w:val="nil"/>
              <w:bottom w:val="nil"/>
              <w:right w:val="nil"/>
            </w:tcBorders>
            <w:shd w:val="clear" w:color="auto" w:fill="auto"/>
            <w:noWrap/>
            <w:vAlign w:val="center"/>
            <w:hideMark/>
          </w:tcPr>
          <w:p w14:paraId="320A2954"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CODBA2224</w:t>
            </w:r>
          </w:p>
        </w:tc>
        <w:tc>
          <w:tcPr>
            <w:tcW w:w="1125" w:type="dxa"/>
            <w:tcBorders>
              <w:top w:val="nil"/>
              <w:left w:val="nil"/>
              <w:bottom w:val="nil"/>
              <w:right w:val="nil"/>
            </w:tcBorders>
            <w:shd w:val="clear" w:color="auto" w:fill="auto"/>
            <w:noWrap/>
            <w:vAlign w:val="center"/>
            <w:hideMark/>
          </w:tcPr>
          <w:p w14:paraId="4AE047CB" w14:textId="182B6F9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192F0D2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0.87</w:t>
            </w:r>
          </w:p>
        </w:tc>
        <w:tc>
          <w:tcPr>
            <w:tcW w:w="1080" w:type="dxa"/>
            <w:tcBorders>
              <w:top w:val="nil"/>
              <w:left w:val="nil"/>
              <w:bottom w:val="nil"/>
              <w:right w:val="nil"/>
            </w:tcBorders>
            <w:shd w:val="clear" w:color="auto" w:fill="auto"/>
            <w:noWrap/>
            <w:vAlign w:val="center"/>
            <w:hideMark/>
          </w:tcPr>
          <w:p w14:paraId="3D17E2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530" w:type="dxa"/>
            <w:tcBorders>
              <w:top w:val="nil"/>
              <w:left w:val="nil"/>
              <w:bottom w:val="nil"/>
              <w:right w:val="nil"/>
            </w:tcBorders>
          </w:tcPr>
          <w:p w14:paraId="1B1AA1B3" w14:textId="5D8635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w:t>
            </w:r>
            <w:r>
              <w:rPr>
                <w:rFonts w:ascii="Aptos Narrow" w:eastAsia="Times New Roman" w:hAnsi="Aptos Narrow" w:cs="Times New Roman"/>
                <w:color w:val="000000"/>
                <w:kern w:val="0"/>
                <w:sz w:val="20"/>
                <w:szCs w:val="20"/>
                <w14:ligatures w14:val="none"/>
              </w:rPr>
              <w:t>es</w:t>
            </w:r>
          </w:p>
        </w:tc>
        <w:tc>
          <w:tcPr>
            <w:tcW w:w="990" w:type="dxa"/>
            <w:tcBorders>
              <w:top w:val="nil"/>
              <w:left w:val="nil"/>
              <w:bottom w:val="nil"/>
              <w:right w:val="nil"/>
            </w:tcBorders>
          </w:tcPr>
          <w:p w14:paraId="70164C0F" w14:textId="37AB1F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84A49AD" w14:textId="0F63E2E6" w:rsidR="00AB56EB" w:rsidRPr="00AB56EB" w:rsidRDefault="000B04CC"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r>
      <w:tr w:rsidR="00AB56EB" w:rsidRPr="00AB56EB" w14:paraId="0765C00E" w14:textId="77777777" w:rsidTr="00AB56EB">
        <w:trPr>
          <w:trHeight w:val="300"/>
        </w:trPr>
        <w:tc>
          <w:tcPr>
            <w:tcW w:w="1800" w:type="dxa"/>
            <w:tcBorders>
              <w:top w:val="nil"/>
              <w:left w:val="nil"/>
              <w:bottom w:val="nil"/>
              <w:right w:val="nil"/>
            </w:tcBorders>
            <w:shd w:val="clear" w:color="auto" w:fill="auto"/>
            <w:noWrap/>
            <w:vAlign w:val="center"/>
            <w:hideMark/>
          </w:tcPr>
          <w:p w14:paraId="5C46802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CODNEAR</w:t>
            </w:r>
          </w:p>
        </w:tc>
        <w:tc>
          <w:tcPr>
            <w:tcW w:w="1125" w:type="dxa"/>
            <w:tcBorders>
              <w:top w:val="nil"/>
              <w:left w:val="nil"/>
              <w:bottom w:val="nil"/>
              <w:right w:val="nil"/>
            </w:tcBorders>
            <w:shd w:val="clear" w:color="auto" w:fill="auto"/>
            <w:noWrap/>
            <w:vAlign w:val="center"/>
            <w:hideMark/>
          </w:tcPr>
          <w:p w14:paraId="17B0722E" w14:textId="6D54F99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6718FFC9" w14:textId="61EA0870"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0.51</w:t>
            </w:r>
          </w:p>
        </w:tc>
        <w:tc>
          <w:tcPr>
            <w:tcW w:w="1080" w:type="dxa"/>
            <w:tcBorders>
              <w:top w:val="nil"/>
              <w:left w:val="nil"/>
              <w:bottom w:val="nil"/>
              <w:right w:val="nil"/>
            </w:tcBorders>
            <w:shd w:val="clear" w:color="auto" w:fill="auto"/>
            <w:noWrap/>
            <w:vAlign w:val="center"/>
            <w:hideMark/>
          </w:tcPr>
          <w:p w14:paraId="4519C13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530" w:type="dxa"/>
            <w:tcBorders>
              <w:top w:val="nil"/>
              <w:left w:val="nil"/>
              <w:bottom w:val="nil"/>
              <w:right w:val="nil"/>
            </w:tcBorders>
          </w:tcPr>
          <w:p w14:paraId="67AF0BD1" w14:textId="3ABA695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w:t>
            </w:r>
            <w:r w:rsidRPr="00F15533">
              <w:rPr>
                <w:rFonts w:ascii="Aptos Narrow" w:eastAsia="Times New Roman" w:hAnsi="Aptos Narrow" w:cs="Times New Roman"/>
                <w:color w:val="000000"/>
                <w:kern w:val="0"/>
                <w:sz w:val="20"/>
                <w:szCs w:val="20"/>
                <w14:ligatures w14:val="none"/>
              </w:rPr>
              <w:t>es</w:t>
            </w:r>
          </w:p>
        </w:tc>
        <w:tc>
          <w:tcPr>
            <w:tcW w:w="990" w:type="dxa"/>
            <w:tcBorders>
              <w:top w:val="nil"/>
              <w:left w:val="nil"/>
              <w:bottom w:val="nil"/>
              <w:right w:val="nil"/>
            </w:tcBorders>
          </w:tcPr>
          <w:p w14:paraId="5C2F03DD" w14:textId="6413A41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177810" w14:textId="6CB3B742" w:rsidR="00AB56EB" w:rsidRPr="00AB56EB" w:rsidRDefault="000B04CC"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w:t>
            </w:r>
            <w:r w:rsidR="00AB56EB" w:rsidRPr="00AB56EB">
              <w:rPr>
                <w:rFonts w:ascii="Aptos Narrow" w:eastAsia="Times New Roman" w:hAnsi="Aptos Narrow" w:cs="Times New Roman"/>
                <w:color w:val="000000"/>
                <w:kern w:val="0"/>
                <w:sz w:val="20"/>
                <w:szCs w:val="20"/>
                <w14:ligatures w14:val="none"/>
              </w:rPr>
              <w:t>es</w:t>
            </w:r>
          </w:p>
        </w:tc>
      </w:tr>
      <w:tr w:rsidR="00AB56EB" w:rsidRPr="00AB56EB" w14:paraId="4F3756F9" w14:textId="77777777" w:rsidTr="00AB56EB">
        <w:trPr>
          <w:trHeight w:val="300"/>
        </w:trPr>
        <w:tc>
          <w:tcPr>
            <w:tcW w:w="1800" w:type="dxa"/>
            <w:tcBorders>
              <w:top w:val="nil"/>
              <w:left w:val="nil"/>
              <w:bottom w:val="nil"/>
              <w:right w:val="nil"/>
            </w:tcBorders>
            <w:shd w:val="clear" w:color="auto" w:fill="auto"/>
            <w:noWrap/>
            <w:vAlign w:val="center"/>
            <w:hideMark/>
          </w:tcPr>
          <w:p w14:paraId="65857C1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3Pn4RS</w:t>
            </w:r>
          </w:p>
        </w:tc>
        <w:tc>
          <w:tcPr>
            <w:tcW w:w="1125" w:type="dxa"/>
            <w:tcBorders>
              <w:top w:val="nil"/>
              <w:left w:val="nil"/>
              <w:bottom w:val="nil"/>
              <w:right w:val="nil"/>
            </w:tcBorders>
            <w:shd w:val="clear" w:color="auto" w:fill="auto"/>
            <w:noWrap/>
            <w:vAlign w:val="center"/>
            <w:hideMark/>
          </w:tcPr>
          <w:p w14:paraId="4CF5DE70" w14:textId="18F20BF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0F6339FE" w14:textId="55FA2F1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CB48DC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0.28</w:t>
            </w:r>
          </w:p>
        </w:tc>
        <w:tc>
          <w:tcPr>
            <w:tcW w:w="1530" w:type="dxa"/>
            <w:tcBorders>
              <w:top w:val="nil"/>
              <w:left w:val="nil"/>
              <w:bottom w:val="nil"/>
              <w:right w:val="nil"/>
            </w:tcBorders>
          </w:tcPr>
          <w:p w14:paraId="62B600E6" w14:textId="5A431F8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527B25" w14:textId="2CDAA81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5B0EB14" w14:textId="584057A0" w:rsidR="00AB56EB" w:rsidRPr="00AB56EB" w:rsidRDefault="000B04CC"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r>
      <w:tr w:rsidR="00AB56EB" w:rsidRPr="00AB56EB" w14:paraId="0539B286" w14:textId="77777777" w:rsidTr="00AB56EB">
        <w:trPr>
          <w:trHeight w:val="300"/>
        </w:trPr>
        <w:tc>
          <w:tcPr>
            <w:tcW w:w="1800" w:type="dxa"/>
            <w:tcBorders>
              <w:top w:val="nil"/>
              <w:left w:val="nil"/>
              <w:bottom w:val="nil"/>
              <w:right w:val="nil"/>
            </w:tcBorders>
            <w:shd w:val="clear" w:color="auto" w:fill="auto"/>
            <w:noWrap/>
            <w:vAlign w:val="center"/>
            <w:hideMark/>
          </w:tcPr>
          <w:p w14:paraId="1910803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3Ps</w:t>
            </w:r>
          </w:p>
        </w:tc>
        <w:tc>
          <w:tcPr>
            <w:tcW w:w="1125" w:type="dxa"/>
            <w:tcBorders>
              <w:top w:val="nil"/>
              <w:left w:val="nil"/>
              <w:bottom w:val="nil"/>
              <w:right w:val="nil"/>
            </w:tcBorders>
            <w:shd w:val="clear" w:color="auto" w:fill="auto"/>
            <w:noWrap/>
            <w:vAlign w:val="center"/>
            <w:hideMark/>
          </w:tcPr>
          <w:p w14:paraId="2912F407" w14:textId="5A2764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0.55</w:t>
            </w:r>
          </w:p>
        </w:tc>
        <w:tc>
          <w:tcPr>
            <w:tcW w:w="1260" w:type="dxa"/>
            <w:tcBorders>
              <w:top w:val="nil"/>
              <w:left w:val="nil"/>
              <w:bottom w:val="nil"/>
              <w:right w:val="nil"/>
            </w:tcBorders>
            <w:shd w:val="clear" w:color="auto" w:fill="auto"/>
            <w:noWrap/>
            <w:vAlign w:val="center"/>
            <w:hideMark/>
          </w:tcPr>
          <w:p w14:paraId="57287FA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080" w:type="dxa"/>
            <w:tcBorders>
              <w:top w:val="nil"/>
              <w:left w:val="nil"/>
              <w:bottom w:val="nil"/>
              <w:right w:val="nil"/>
            </w:tcBorders>
            <w:shd w:val="clear" w:color="auto" w:fill="auto"/>
            <w:noWrap/>
            <w:vAlign w:val="center"/>
            <w:hideMark/>
          </w:tcPr>
          <w:p w14:paraId="47B695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0.27</w:t>
            </w:r>
          </w:p>
        </w:tc>
        <w:tc>
          <w:tcPr>
            <w:tcW w:w="1530" w:type="dxa"/>
            <w:tcBorders>
              <w:top w:val="nil"/>
              <w:left w:val="nil"/>
              <w:bottom w:val="nil"/>
              <w:right w:val="nil"/>
            </w:tcBorders>
          </w:tcPr>
          <w:p w14:paraId="608BBD9C" w14:textId="5C1CFA2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674A90" w14:textId="57DEF4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29C6774" w14:textId="684B0E0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502DE8B" w14:textId="77777777" w:rsidTr="00AB56EB">
        <w:trPr>
          <w:trHeight w:val="300"/>
        </w:trPr>
        <w:tc>
          <w:tcPr>
            <w:tcW w:w="1800" w:type="dxa"/>
            <w:tcBorders>
              <w:top w:val="nil"/>
              <w:left w:val="nil"/>
              <w:bottom w:val="nil"/>
              <w:right w:val="nil"/>
            </w:tcBorders>
            <w:shd w:val="clear" w:color="auto" w:fill="auto"/>
            <w:noWrap/>
            <w:vAlign w:val="center"/>
            <w:hideMark/>
          </w:tcPr>
          <w:p w14:paraId="118268F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CODBA2532</w:t>
            </w:r>
          </w:p>
        </w:tc>
        <w:tc>
          <w:tcPr>
            <w:tcW w:w="1125" w:type="dxa"/>
            <w:tcBorders>
              <w:top w:val="nil"/>
              <w:left w:val="nil"/>
              <w:bottom w:val="nil"/>
              <w:right w:val="nil"/>
            </w:tcBorders>
            <w:shd w:val="clear" w:color="auto" w:fill="auto"/>
            <w:noWrap/>
            <w:vAlign w:val="center"/>
            <w:hideMark/>
          </w:tcPr>
          <w:p w14:paraId="5300AA1C" w14:textId="75A56C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-0.47</w:t>
            </w:r>
          </w:p>
        </w:tc>
        <w:tc>
          <w:tcPr>
            <w:tcW w:w="1260" w:type="dxa"/>
            <w:tcBorders>
              <w:top w:val="nil"/>
              <w:left w:val="nil"/>
              <w:bottom w:val="nil"/>
              <w:right w:val="nil"/>
            </w:tcBorders>
            <w:shd w:val="clear" w:color="auto" w:fill="auto"/>
            <w:noWrap/>
            <w:vAlign w:val="center"/>
            <w:hideMark/>
          </w:tcPr>
          <w:p w14:paraId="5B8AD5B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0.69</w:t>
            </w:r>
          </w:p>
        </w:tc>
        <w:tc>
          <w:tcPr>
            <w:tcW w:w="1080" w:type="dxa"/>
            <w:tcBorders>
              <w:top w:val="nil"/>
              <w:left w:val="nil"/>
              <w:bottom w:val="nil"/>
              <w:right w:val="nil"/>
            </w:tcBorders>
            <w:shd w:val="clear" w:color="auto" w:fill="auto"/>
            <w:noWrap/>
            <w:vAlign w:val="center"/>
            <w:hideMark/>
          </w:tcPr>
          <w:p w14:paraId="78362D7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530" w:type="dxa"/>
            <w:tcBorders>
              <w:top w:val="nil"/>
              <w:left w:val="nil"/>
              <w:bottom w:val="nil"/>
              <w:right w:val="nil"/>
            </w:tcBorders>
          </w:tcPr>
          <w:p w14:paraId="582DB053" w14:textId="5EB54C8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D16E02E" w14:textId="02C4368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17A1EF8" w14:textId="6FA44C7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006F91C" w14:textId="77777777" w:rsidTr="00AB56EB">
        <w:trPr>
          <w:trHeight w:val="300"/>
        </w:trPr>
        <w:tc>
          <w:tcPr>
            <w:tcW w:w="1800" w:type="dxa"/>
            <w:tcBorders>
              <w:top w:val="nil"/>
              <w:left w:val="nil"/>
              <w:bottom w:val="nil"/>
              <w:right w:val="nil"/>
            </w:tcBorders>
            <w:shd w:val="clear" w:color="auto" w:fill="auto"/>
            <w:noWrap/>
            <w:vAlign w:val="center"/>
            <w:hideMark/>
          </w:tcPr>
          <w:p w14:paraId="6A205B2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4X5Y</w:t>
            </w:r>
          </w:p>
        </w:tc>
        <w:tc>
          <w:tcPr>
            <w:tcW w:w="1125" w:type="dxa"/>
            <w:tcBorders>
              <w:top w:val="nil"/>
              <w:left w:val="nil"/>
              <w:bottom w:val="nil"/>
              <w:right w:val="nil"/>
            </w:tcBorders>
            <w:shd w:val="clear" w:color="auto" w:fill="auto"/>
            <w:noWrap/>
            <w:vAlign w:val="center"/>
            <w:hideMark/>
          </w:tcPr>
          <w:p w14:paraId="7655CD24" w14:textId="6C573EC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4ABE672" w14:textId="673FD5A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1B493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7A441FBC" w14:textId="6C46F21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8DCA4D" w14:textId="6B271D5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794517C" w14:textId="41A301E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1B2ADA7" w14:textId="77777777" w:rsidTr="00AB56EB">
        <w:trPr>
          <w:trHeight w:val="300"/>
        </w:trPr>
        <w:tc>
          <w:tcPr>
            <w:tcW w:w="1800" w:type="dxa"/>
            <w:tcBorders>
              <w:top w:val="nil"/>
              <w:left w:val="nil"/>
              <w:bottom w:val="nil"/>
              <w:right w:val="nil"/>
            </w:tcBorders>
            <w:shd w:val="clear" w:color="auto" w:fill="auto"/>
            <w:noWrap/>
            <w:vAlign w:val="center"/>
            <w:hideMark/>
          </w:tcPr>
          <w:p w14:paraId="668F72B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CODIIIaW</w:t>
            </w:r>
            <w:proofErr w:type="spellEnd"/>
            <w:r w:rsidRPr="00AB56EB">
              <w:rPr>
                <w:rFonts w:ascii="Aptos Narrow" w:eastAsia="Times New Roman" w:hAnsi="Aptos Narrow" w:cs="Times New Roman"/>
                <w:color w:val="000000"/>
                <w:kern w:val="0"/>
                <w:sz w:val="20"/>
                <w:szCs w:val="20"/>
                <w14:ligatures w14:val="none"/>
              </w:rPr>
              <w:t>-IV-VIId</w:t>
            </w:r>
          </w:p>
        </w:tc>
        <w:tc>
          <w:tcPr>
            <w:tcW w:w="1125" w:type="dxa"/>
            <w:tcBorders>
              <w:top w:val="nil"/>
              <w:left w:val="nil"/>
              <w:bottom w:val="nil"/>
              <w:right w:val="nil"/>
            </w:tcBorders>
            <w:shd w:val="clear" w:color="auto" w:fill="auto"/>
            <w:noWrap/>
            <w:vAlign w:val="center"/>
            <w:hideMark/>
          </w:tcPr>
          <w:p w14:paraId="28301A77" w14:textId="791DFAF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260" w:type="dxa"/>
            <w:tcBorders>
              <w:top w:val="nil"/>
              <w:left w:val="nil"/>
              <w:bottom w:val="nil"/>
              <w:right w:val="nil"/>
            </w:tcBorders>
            <w:shd w:val="clear" w:color="auto" w:fill="auto"/>
            <w:noWrap/>
            <w:vAlign w:val="center"/>
            <w:hideMark/>
          </w:tcPr>
          <w:p w14:paraId="58740E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080" w:type="dxa"/>
            <w:tcBorders>
              <w:top w:val="nil"/>
              <w:left w:val="nil"/>
              <w:bottom w:val="nil"/>
              <w:right w:val="nil"/>
            </w:tcBorders>
            <w:shd w:val="clear" w:color="auto" w:fill="auto"/>
            <w:noWrap/>
            <w:vAlign w:val="center"/>
            <w:hideMark/>
          </w:tcPr>
          <w:p w14:paraId="774E41E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02B13F98" w14:textId="78C2955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6C924EE5" w14:textId="7A86689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04427AC" w14:textId="4B96A05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D821630" w14:textId="77777777" w:rsidTr="00AB56EB">
        <w:trPr>
          <w:trHeight w:val="300"/>
        </w:trPr>
        <w:tc>
          <w:tcPr>
            <w:tcW w:w="1800" w:type="dxa"/>
            <w:tcBorders>
              <w:top w:val="nil"/>
              <w:left w:val="nil"/>
              <w:bottom w:val="nil"/>
              <w:right w:val="nil"/>
            </w:tcBorders>
            <w:shd w:val="clear" w:color="auto" w:fill="auto"/>
            <w:noWrap/>
            <w:vAlign w:val="center"/>
            <w:hideMark/>
          </w:tcPr>
          <w:p w14:paraId="5EBCB40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CODFAPL</w:t>
            </w:r>
          </w:p>
        </w:tc>
        <w:tc>
          <w:tcPr>
            <w:tcW w:w="1125" w:type="dxa"/>
            <w:tcBorders>
              <w:top w:val="nil"/>
              <w:left w:val="nil"/>
              <w:bottom w:val="nil"/>
              <w:right w:val="nil"/>
            </w:tcBorders>
            <w:shd w:val="clear" w:color="auto" w:fill="auto"/>
            <w:noWrap/>
            <w:vAlign w:val="center"/>
            <w:hideMark/>
          </w:tcPr>
          <w:p w14:paraId="0853AB58" w14:textId="090E12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0.46</w:t>
            </w:r>
          </w:p>
        </w:tc>
        <w:tc>
          <w:tcPr>
            <w:tcW w:w="1260" w:type="dxa"/>
            <w:tcBorders>
              <w:top w:val="nil"/>
              <w:left w:val="nil"/>
              <w:bottom w:val="nil"/>
              <w:right w:val="nil"/>
            </w:tcBorders>
            <w:shd w:val="clear" w:color="auto" w:fill="auto"/>
            <w:noWrap/>
            <w:vAlign w:val="center"/>
            <w:hideMark/>
          </w:tcPr>
          <w:p w14:paraId="0CE0FBE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0.33</w:t>
            </w:r>
          </w:p>
        </w:tc>
        <w:tc>
          <w:tcPr>
            <w:tcW w:w="1080" w:type="dxa"/>
            <w:tcBorders>
              <w:top w:val="nil"/>
              <w:left w:val="nil"/>
              <w:bottom w:val="nil"/>
              <w:right w:val="nil"/>
            </w:tcBorders>
            <w:shd w:val="clear" w:color="auto" w:fill="auto"/>
            <w:noWrap/>
            <w:vAlign w:val="center"/>
            <w:hideMark/>
          </w:tcPr>
          <w:p w14:paraId="2E2D8C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0.24</w:t>
            </w:r>
          </w:p>
        </w:tc>
        <w:tc>
          <w:tcPr>
            <w:tcW w:w="1530" w:type="dxa"/>
            <w:tcBorders>
              <w:top w:val="nil"/>
              <w:left w:val="nil"/>
              <w:bottom w:val="nil"/>
              <w:right w:val="nil"/>
            </w:tcBorders>
          </w:tcPr>
          <w:p w14:paraId="33EB71D1" w14:textId="5BE889A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40CF35A" w14:textId="38B3F67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46DA5E5" w14:textId="43E99BD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423B8FB" w14:textId="77777777" w:rsidTr="00AB56EB">
        <w:trPr>
          <w:trHeight w:val="300"/>
        </w:trPr>
        <w:tc>
          <w:tcPr>
            <w:tcW w:w="1800" w:type="dxa"/>
            <w:tcBorders>
              <w:top w:val="nil"/>
              <w:left w:val="nil"/>
              <w:bottom w:val="nil"/>
              <w:right w:val="nil"/>
            </w:tcBorders>
            <w:shd w:val="clear" w:color="auto" w:fill="auto"/>
            <w:noWrap/>
            <w:vAlign w:val="center"/>
            <w:hideMark/>
          </w:tcPr>
          <w:p w14:paraId="2299FAA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CODVIIek</w:t>
            </w:r>
            <w:proofErr w:type="spellEnd"/>
          </w:p>
        </w:tc>
        <w:tc>
          <w:tcPr>
            <w:tcW w:w="1125" w:type="dxa"/>
            <w:tcBorders>
              <w:top w:val="nil"/>
              <w:left w:val="nil"/>
              <w:bottom w:val="nil"/>
              <w:right w:val="nil"/>
            </w:tcBorders>
            <w:shd w:val="clear" w:color="auto" w:fill="auto"/>
            <w:noWrap/>
            <w:vAlign w:val="center"/>
            <w:hideMark/>
          </w:tcPr>
          <w:p w14:paraId="083233B0" w14:textId="641E25C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-0.76</w:t>
            </w:r>
          </w:p>
        </w:tc>
        <w:tc>
          <w:tcPr>
            <w:tcW w:w="1260" w:type="dxa"/>
            <w:tcBorders>
              <w:top w:val="nil"/>
              <w:left w:val="nil"/>
              <w:bottom w:val="nil"/>
              <w:right w:val="nil"/>
            </w:tcBorders>
            <w:shd w:val="clear" w:color="auto" w:fill="auto"/>
            <w:noWrap/>
            <w:vAlign w:val="center"/>
            <w:hideMark/>
          </w:tcPr>
          <w:p w14:paraId="08F597F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0.73</w:t>
            </w:r>
          </w:p>
        </w:tc>
        <w:tc>
          <w:tcPr>
            <w:tcW w:w="1080" w:type="dxa"/>
            <w:tcBorders>
              <w:top w:val="nil"/>
              <w:left w:val="nil"/>
              <w:bottom w:val="nil"/>
              <w:right w:val="nil"/>
            </w:tcBorders>
            <w:shd w:val="clear" w:color="auto" w:fill="auto"/>
            <w:noWrap/>
            <w:vAlign w:val="center"/>
            <w:hideMark/>
          </w:tcPr>
          <w:p w14:paraId="50D2CA7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0.22</w:t>
            </w:r>
          </w:p>
        </w:tc>
        <w:tc>
          <w:tcPr>
            <w:tcW w:w="1530" w:type="dxa"/>
            <w:tcBorders>
              <w:top w:val="nil"/>
              <w:left w:val="nil"/>
              <w:bottom w:val="nil"/>
              <w:right w:val="nil"/>
            </w:tcBorders>
          </w:tcPr>
          <w:p w14:paraId="69CA37F3" w14:textId="02F6353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B21933C" w14:textId="49B8F59E"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1AD65B5" w14:textId="2FE0B8E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E752E9D" w14:textId="77777777" w:rsidTr="00AB56EB">
        <w:trPr>
          <w:trHeight w:val="300"/>
        </w:trPr>
        <w:tc>
          <w:tcPr>
            <w:tcW w:w="1800" w:type="dxa"/>
            <w:tcBorders>
              <w:top w:val="nil"/>
              <w:left w:val="nil"/>
              <w:bottom w:val="nil"/>
              <w:right w:val="nil"/>
            </w:tcBorders>
            <w:shd w:val="clear" w:color="auto" w:fill="auto"/>
            <w:noWrap/>
            <w:vAlign w:val="center"/>
            <w:hideMark/>
          </w:tcPr>
          <w:p w14:paraId="597C420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4vsw</w:t>
            </w:r>
          </w:p>
        </w:tc>
        <w:tc>
          <w:tcPr>
            <w:tcW w:w="1125" w:type="dxa"/>
            <w:tcBorders>
              <w:top w:val="nil"/>
              <w:left w:val="nil"/>
              <w:bottom w:val="nil"/>
              <w:right w:val="nil"/>
            </w:tcBorders>
            <w:shd w:val="clear" w:color="auto" w:fill="auto"/>
            <w:noWrap/>
            <w:vAlign w:val="center"/>
            <w:hideMark/>
          </w:tcPr>
          <w:p w14:paraId="0EFF213A" w14:textId="6A0DA04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0.92</w:t>
            </w:r>
          </w:p>
        </w:tc>
        <w:tc>
          <w:tcPr>
            <w:tcW w:w="1260" w:type="dxa"/>
            <w:tcBorders>
              <w:top w:val="nil"/>
              <w:left w:val="nil"/>
              <w:bottom w:val="nil"/>
              <w:right w:val="nil"/>
            </w:tcBorders>
            <w:shd w:val="clear" w:color="auto" w:fill="auto"/>
            <w:noWrap/>
            <w:vAlign w:val="center"/>
            <w:hideMark/>
          </w:tcPr>
          <w:p w14:paraId="6CAA777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080" w:type="dxa"/>
            <w:tcBorders>
              <w:top w:val="nil"/>
              <w:left w:val="nil"/>
              <w:bottom w:val="nil"/>
              <w:right w:val="nil"/>
            </w:tcBorders>
            <w:shd w:val="clear" w:color="auto" w:fill="auto"/>
            <w:noWrap/>
            <w:vAlign w:val="center"/>
            <w:hideMark/>
          </w:tcPr>
          <w:p w14:paraId="62B743A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0.16</w:t>
            </w:r>
          </w:p>
        </w:tc>
        <w:tc>
          <w:tcPr>
            <w:tcW w:w="1530" w:type="dxa"/>
            <w:tcBorders>
              <w:top w:val="nil"/>
              <w:left w:val="nil"/>
              <w:bottom w:val="nil"/>
              <w:right w:val="nil"/>
            </w:tcBorders>
          </w:tcPr>
          <w:p w14:paraId="2FF36D9F" w14:textId="3A6485D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85CB149" w14:textId="191117F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2BAAB1D6" w14:textId="321A5C8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AF51387" w14:textId="77777777" w:rsidTr="00AB56EB">
        <w:trPr>
          <w:trHeight w:val="300"/>
        </w:trPr>
        <w:tc>
          <w:tcPr>
            <w:tcW w:w="1800" w:type="dxa"/>
            <w:tcBorders>
              <w:top w:val="nil"/>
              <w:left w:val="nil"/>
              <w:bottom w:val="nil"/>
              <w:right w:val="nil"/>
            </w:tcBorders>
            <w:shd w:val="clear" w:color="auto" w:fill="auto"/>
            <w:noWrap/>
            <w:vAlign w:val="center"/>
            <w:hideMark/>
          </w:tcPr>
          <w:p w14:paraId="008A2F0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CODVIa</w:t>
            </w:r>
            <w:proofErr w:type="spellEnd"/>
          </w:p>
        </w:tc>
        <w:tc>
          <w:tcPr>
            <w:tcW w:w="1125" w:type="dxa"/>
            <w:tcBorders>
              <w:top w:val="nil"/>
              <w:left w:val="nil"/>
              <w:bottom w:val="nil"/>
              <w:right w:val="nil"/>
            </w:tcBorders>
            <w:shd w:val="clear" w:color="auto" w:fill="auto"/>
            <w:noWrap/>
            <w:vAlign w:val="center"/>
            <w:hideMark/>
          </w:tcPr>
          <w:p w14:paraId="5039F767" w14:textId="4849F4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AD5138B" w14:textId="025CE50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0.74</w:t>
            </w:r>
          </w:p>
        </w:tc>
        <w:tc>
          <w:tcPr>
            <w:tcW w:w="1080" w:type="dxa"/>
            <w:tcBorders>
              <w:top w:val="nil"/>
              <w:left w:val="nil"/>
              <w:bottom w:val="nil"/>
              <w:right w:val="nil"/>
            </w:tcBorders>
            <w:shd w:val="clear" w:color="auto" w:fill="auto"/>
            <w:noWrap/>
            <w:vAlign w:val="center"/>
            <w:hideMark/>
          </w:tcPr>
          <w:p w14:paraId="3B5B9A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0.14</w:t>
            </w:r>
          </w:p>
        </w:tc>
        <w:tc>
          <w:tcPr>
            <w:tcW w:w="1530" w:type="dxa"/>
            <w:tcBorders>
              <w:top w:val="nil"/>
              <w:left w:val="nil"/>
              <w:bottom w:val="nil"/>
              <w:right w:val="nil"/>
            </w:tcBorders>
          </w:tcPr>
          <w:p w14:paraId="1A035084" w14:textId="3D6FD43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E9CDB0" w14:textId="7FEFF73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44BCC9A" w14:textId="570A1C3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7AAE0F4" w14:textId="77777777" w:rsidTr="00AB56EB">
        <w:trPr>
          <w:trHeight w:val="300"/>
        </w:trPr>
        <w:tc>
          <w:tcPr>
            <w:tcW w:w="1800" w:type="dxa"/>
            <w:tcBorders>
              <w:top w:val="nil"/>
              <w:left w:val="nil"/>
              <w:bottom w:val="nil"/>
              <w:right w:val="nil"/>
            </w:tcBorders>
            <w:shd w:val="clear" w:color="auto" w:fill="auto"/>
            <w:noWrap/>
            <w:vAlign w:val="center"/>
            <w:hideMark/>
          </w:tcPr>
          <w:p w14:paraId="16FAE4E2"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COD5Zjm</w:t>
            </w:r>
          </w:p>
        </w:tc>
        <w:tc>
          <w:tcPr>
            <w:tcW w:w="1125" w:type="dxa"/>
            <w:tcBorders>
              <w:top w:val="nil"/>
              <w:left w:val="nil"/>
              <w:bottom w:val="nil"/>
              <w:right w:val="nil"/>
            </w:tcBorders>
            <w:shd w:val="clear" w:color="auto" w:fill="auto"/>
            <w:noWrap/>
            <w:vAlign w:val="center"/>
            <w:hideMark/>
          </w:tcPr>
          <w:p w14:paraId="322B667A" w14:textId="254DC02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46072EE3" w14:textId="3CB3765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0.31</w:t>
            </w:r>
          </w:p>
        </w:tc>
        <w:tc>
          <w:tcPr>
            <w:tcW w:w="1080" w:type="dxa"/>
            <w:tcBorders>
              <w:top w:val="nil"/>
              <w:left w:val="nil"/>
              <w:bottom w:val="nil"/>
              <w:right w:val="nil"/>
            </w:tcBorders>
            <w:shd w:val="clear" w:color="auto" w:fill="auto"/>
            <w:noWrap/>
            <w:vAlign w:val="center"/>
            <w:hideMark/>
          </w:tcPr>
          <w:p w14:paraId="1C9E88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59317179" w14:textId="062E030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2D3ED93" w14:textId="6968046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F199ED" w14:textId="5984B30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4239CC4" w14:textId="77777777" w:rsidTr="00AB56EB">
        <w:trPr>
          <w:trHeight w:val="300"/>
        </w:trPr>
        <w:tc>
          <w:tcPr>
            <w:tcW w:w="1800" w:type="dxa"/>
            <w:tcBorders>
              <w:top w:val="nil"/>
              <w:left w:val="nil"/>
              <w:bottom w:val="nil"/>
              <w:right w:val="nil"/>
            </w:tcBorders>
            <w:shd w:val="clear" w:color="auto" w:fill="auto"/>
            <w:noWrap/>
            <w:vAlign w:val="center"/>
            <w:hideMark/>
          </w:tcPr>
          <w:p w14:paraId="3184D1E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CODIS</w:t>
            </w:r>
          </w:p>
        </w:tc>
        <w:tc>
          <w:tcPr>
            <w:tcW w:w="1125" w:type="dxa"/>
            <w:tcBorders>
              <w:top w:val="nil"/>
              <w:left w:val="nil"/>
              <w:bottom w:val="nil"/>
              <w:right w:val="nil"/>
            </w:tcBorders>
            <w:shd w:val="clear" w:color="auto" w:fill="auto"/>
            <w:noWrap/>
            <w:vAlign w:val="center"/>
            <w:hideMark/>
          </w:tcPr>
          <w:p w14:paraId="4F75358D" w14:textId="126981B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-1.08</w:t>
            </w:r>
          </w:p>
        </w:tc>
        <w:tc>
          <w:tcPr>
            <w:tcW w:w="1260" w:type="dxa"/>
            <w:tcBorders>
              <w:top w:val="nil"/>
              <w:left w:val="nil"/>
              <w:bottom w:val="nil"/>
              <w:right w:val="nil"/>
            </w:tcBorders>
            <w:shd w:val="clear" w:color="auto" w:fill="auto"/>
            <w:noWrap/>
            <w:vAlign w:val="center"/>
            <w:hideMark/>
          </w:tcPr>
          <w:p w14:paraId="5E94499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080" w:type="dxa"/>
            <w:tcBorders>
              <w:top w:val="nil"/>
              <w:left w:val="nil"/>
              <w:bottom w:val="nil"/>
              <w:right w:val="nil"/>
            </w:tcBorders>
            <w:shd w:val="clear" w:color="auto" w:fill="auto"/>
            <w:noWrap/>
            <w:vAlign w:val="center"/>
            <w:hideMark/>
          </w:tcPr>
          <w:p w14:paraId="79D94C1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6865AF54" w14:textId="2E37C9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95A2218" w14:textId="5B65779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04863A6" w14:textId="274E13C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16A3AD8" w14:textId="77777777" w:rsidTr="00AB56EB">
        <w:trPr>
          <w:trHeight w:val="300"/>
        </w:trPr>
        <w:tc>
          <w:tcPr>
            <w:tcW w:w="1800" w:type="dxa"/>
            <w:tcBorders>
              <w:top w:val="nil"/>
              <w:left w:val="nil"/>
              <w:bottom w:val="nil"/>
              <w:right w:val="nil"/>
            </w:tcBorders>
            <w:shd w:val="clear" w:color="auto" w:fill="auto"/>
            <w:noWrap/>
            <w:vAlign w:val="center"/>
            <w:hideMark/>
          </w:tcPr>
          <w:p w14:paraId="3541CD4A"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w:t>
            </w:r>
          </w:p>
        </w:tc>
        <w:tc>
          <w:tcPr>
            <w:tcW w:w="1125" w:type="dxa"/>
            <w:tcBorders>
              <w:top w:val="nil"/>
              <w:left w:val="nil"/>
              <w:bottom w:val="nil"/>
              <w:right w:val="nil"/>
            </w:tcBorders>
            <w:shd w:val="clear" w:color="auto" w:fill="auto"/>
            <w:noWrap/>
            <w:vAlign w:val="center"/>
            <w:hideMark/>
          </w:tcPr>
          <w:p w14:paraId="386D71AA" w14:textId="2E3FFEB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1.67</w:t>
            </w:r>
          </w:p>
        </w:tc>
        <w:tc>
          <w:tcPr>
            <w:tcW w:w="1260" w:type="dxa"/>
            <w:tcBorders>
              <w:top w:val="nil"/>
              <w:left w:val="nil"/>
              <w:bottom w:val="nil"/>
              <w:right w:val="nil"/>
            </w:tcBorders>
            <w:shd w:val="clear" w:color="auto" w:fill="auto"/>
            <w:noWrap/>
            <w:vAlign w:val="center"/>
            <w:hideMark/>
          </w:tcPr>
          <w:p w14:paraId="59AE622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-0.12</w:t>
            </w:r>
          </w:p>
        </w:tc>
        <w:tc>
          <w:tcPr>
            <w:tcW w:w="1080" w:type="dxa"/>
            <w:tcBorders>
              <w:top w:val="nil"/>
              <w:left w:val="nil"/>
              <w:bottom w:val="nil"/>
              <w:right w:val="nil"/>
            </w:tcBorders>
            <w:shd w:val="clear" w:color="auto" w:fill="auto"/>
            <w:noWrap/>
            <w:vAlign w:val="center"/>
            <w:hideMark/>
          </w:tcPr>
          <w:p w14:paraId="11F8FC8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0.09</w:t>
            </w:r>
          </w:p>
        </w:tc>
        <w:tc>
          <w:tcPr>
            <w:tcW w:w="1530" w:type="dxa"/>
            <w:tcBorders>
              <w:top w:val="nil"/>
              <w:left w:val="nil"/>
              <w:bottom w:val="nil"/>
              <w:right w:val="nil"/>
            </w:tcBorders>
          </w:tcPr>
          <w:p w14:paraId="570CB431" w14:textId="2D47E95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13F4641B" w14:textId="486871C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FD09B6" w14:textId="11DADA4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CF91D5E" w14:textId="77777777" w:rsidTr="00AB56EB">
        <w:trPr>
          <w:trHeight w:val="300"/>
        </w:trPr>
        <w:tc>
          <w:tcPr>
            <w:tcW w:w="1800" w:type="dxa"/>
            <w:tcBorders>
              <w:top w:val="nil"/>
              <w:left w:val="nil"/>
              <w:bottom w:val="nil"/>
              <w:right w:val="nil"/>
            </w:tcBorders>
            <w:shd w:val="clear" w:color="auto" w:fill="auto"/>
            <w:noWrap/>
            <w:vAlign w:val="center"/>
            <w:hideMark/>
          </w:tcPr>
          <w:p w14:paraId="4360655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COD1IN</w:t>
            </w:r>
          </w:p>
        </w:tc>
        <w:tc>
          <w:tcPr>
            <w:tcW w:w="1125" w:type="dxa"/>
            <w:tcBorders>
              <w:top w:val="nil"/>
              <w:left w:val="nil"/>
              <w:bottom w:val="nil"/>
              <w:right w:val="nil"/>
            </w:tcBorders>
            <w:shd w:val="clear" w:color="auto" w:fill="auto"/>
            <w:noWrap/>
            <w:vAlign w:val="center"/>
            <w:hideMark/>
          </w:tcPr>
          <w:p w14:paraId="641D3BAF" w14:textId="7630153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50878A6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0.29</w:t>
            </w:r>
          </w:p>
        </w:tc>
        <w:tc>
          <w:tcPr>
            <w:tcW w:w="1080" w:type="dxa"/>
            <w:tcBorders>
              <w:top w:val="nil"/>
              <w:left w:val="nil"/>
              <w:bottom w:val="nil"/>
              <w:right w:val="nil"/>
            </w:tcBorders>
            <w:shd w:val="clear" w:color="auto" w:fill="auto"/>
            <w:noWrap/>
            <w:vAlign w:val="center"/>
            <w:hideMark/>
          </w:tcPr>
          <w:p w14:paraId="7AD680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0.08</w:t>
            </w:r>
          </w:p>
        </w:tc>
        <w:tc>
          <w:tcPr>
            <w:tcW w:w="1530" w:type="dxa"/>
            <w:tcBorders>
              <w:top w:val="nil"/>
              <w:left w:val="nil"/>
              <w:bottom w:val="nil"/>
              <w:right w:val="nil"/>
            </w:tcBorders>
          </w:tcPr>
          <w:p w14:paraId="79226947" w14:textId="3ACFA87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3A1B48" w14:textId="35343D22"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2067668" w14:textId="21B12DE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76A4694D" w14:textId="77777777" w:rsidTr="00AB56EB">
        <w:trPr>
          <w:trHeight w:val="300"/>
        </w:trPr>
        <w:tc>
          <w:tcPr>
            <w:tcW w:w="1800" w:type="dxa"/>
            <w:tcBorders>
              <w:top w:val="nil"/>
              <w:left w:val="nil"/>
              <w:bottom w:val="nil"/>
              <w:right w:val="nil"/>
            </w:tcBorders>
            <w:shd w:val="clear" w:color="auto" w:fill="auto"/>
            <w:noWrap/>
            <w:vAlign w:val="center"/>
            <w:hideMark/>
          </w:tcPr>
          <w:p w14:paraId="1BE871B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4tvn-SPM</w:t>
            </w:r>
          </w:p>
        </w:tc>
        <w:tc>
          <w:tcPr>
            <w:tcW w:w="1125" w:type="dxa"/>
            <w:tcBorders>
              <w:top w:val="nil"/>
              <w:left w:val="nil"/>
              <w:bottom w:val="nil"/>
              <w:right w:val="nil"/>
            </w:tcBorders>
            <w:shd w:val="clear" w:color="auto" w:fill="auto"/>
            <w:noWrap/>
            <w:vAlign w:val="center"/>
            <w:hideMark/>
          </w:tcPr>
          <w:p w14:paraId="3F5F8021" w14:textId="2C3ED1E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1.22</w:t>
            </w:r>
          </w:p>
        </w:tc>
        <w:tc>
          <w:tcPr>
            <w:tcW w:w="1260" w:type="dxa"/>
            <w:tcBorders>
              <w:top w:val="nil"/>
              <w:left w:val="nil"/>
              <w:bottom w:val="nil"/>
              <w:right w:val="nil"/>
            </w:tcBorders>
            <w:shd w:val="clear" w:color="auto" w:fill="auto"/>
            <w:noWrap/>
            <w:vAlign w:val="center"/>
            <w:hideMark/>
          </w:tcPr>
          <w:p w14:paraId="4DC3352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080" w:type="dxa"/>
            <w:tcBorders>
              <w:top w:val="nil"/>
              <w:left w:val="nil"/>
              <w:bottom w:val="nil"/>
              <w:right w:val="nil"/>
            </w:tcBorders>
            <w:shd w:val="clear" w:color="auto" w:fill="auto"/>
            <w:noWrap/>
            <w:vAlign w:val="center"/>
            <w:hideMark/>
          </w:tcPr>
          <w:p w14:paraId="54D9DCD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530" w:type="dxa"/>
            <w:tcBorders>
              <w:top w:val="nil"/>
              <w:left w:val="nil"/>
              <w:bottom w:val="nil"/>
              <w:right w:val="nil"/>
            </w:tcBorders>
          </w:tcPr>
          <w:p w14:paraId="4F17754C" w14:textId="4B7DB7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B1DC02" w14:textId="52EF5D1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4FB4575" w14:textId="41356D6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C020AEC" w14:textId="77777777" w:rsidTr="00AB56EB">
        <w:trPr>
          <w:trHeight w:val="300"/>
        </w:trPr>
        <w:tc>
          <w:tcPr>
            <w:tcW w:w="1800" w:type="dxa"/>
            <w:tcBorders>
              <w:top w:val="nil"/>
              <w:left w:val="nil"/>
              <w:bottom w:val="nil"/>
              <w:right w:val="nil"/>
            </w:tcBorders>
            <w:shd w:val="clear" w:color="auto" w:fill="auto"/>
            <w:noWrap/>
            <w:vAlign w:val="center"/>
            <w:hideMark/>
          </w:tcPr>
          <w:p w14:paraId="1C6899F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COD1F-XIV</w:t>
            </w:r>
          </w:p>
        </w:tc>
        <w:tc>
          <w:tcPr>
            <w:tcW w:w="1125" w:type="dxa"/>
            <w:tcBorders>
              <w:top w:val="nil"/>
              <w:left w:val="nil"/>
              <w:bottom w:val="nil"/>
              <w:right w:val="nil"/>
            </w:tcBorders>
            <w:shd w:val="clear" w:color="auto" w:fill="auto"/>
            <w:noWrap/>
            <w:vAlign w:val="center"/>
            <w:hideMark/>
          </w:tcPr>
          <w:p w14:paraId="73E7A79E" w14:textId="1294A4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260" w:type="dxa"/>
            <w:tcBorders>
              <w:top w:val="nil"/>
              <w:left w:val="nil"/>
              <w:bottom w:val="nil"/>
              <w:right w:val="nil"/>
            </w:tcBorders>
            <w:shd w:val="clear" w:color="auto" w:fill="auto"/>
            <w:noWrap/>
            <w:vAlign w:val="center"/>
            <w:hideMark/>
          </w:tcPr>
          <w:p w14:paraId="1916412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0.34</w:t>
            </w:r>
          </w:p>
        </w:tc>
        <w:tc>
          <w:tcPr>
            <w:tcW w:w="1080" w:type="dxa"/>
            <w:tcBorders>
              <w:top w:val="nil"/>
              <w:left w:val="nil"/>
              <w:bottom w:val="nil"/>
              <w:right w:val="nil"/>
            </w:tcBorders>
            <w:shd w:val="clear" w:color="auto" w:fill="auto"/>
            <w:noWrap/>
            <w:vAlign w:val="center"/>
            <w:hideMark/>
          </w:tcPr>
          <w:p w14:paraId="05CE264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38E2C4" w14:textId="310377B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E13360" w14:textId="501BD156"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09E17C0" w14:textId="7752144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17BDD2AB" w14:textId="77777777" w:rsidTr="00AB56EB">
        <w:trPr>
          <w:trHeight w:val="300"/>
        </w:trPr>
        <w:tc>
          <w:tcPr>
            <w:tcW w:w="1800" w:type="dxa"/>
            <w:tcBorders>
              <w:top w:val="nil"/>
              <w:left w:val="nil"/>
              <w:bottom w:val="nil"/>
              <w:right w:val="nil"/>
            </w:tcBorders>
            <w:shd w:val="clear" w:color="auto" w:fill="auto"/>
            <w:noWrap/>
            <w:vAlign w:val="center"/>
            <w:hideMark/>
          </w:tcPr>
          <w:p w14:paraId="5569E855"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2j3kl-SPM</w:t>
            </w:r>
          </w:p>
        </w:tc>
        <w:tc>
          <w:tcPr>
            <w:tcW w:w="1125" w:type="dxa"/>
            <w:tcBorders>
              <w:top w:val="nil"/>
              <w:left w:val="nil"/>
              <w:bottom w:val="nil"/>
              <w:right w:val="nil"/>
            </w:tcBorders>
            <w:shd w:val="clear" w:color="auto" w:fill="auto"/>
            <w:noWrap/>
            <w:vAlign w:val="center"/>
            <w:hideMark/>
          </w:tcPr>
          <w:p w14:paraId="5B02F498" w14:textId="7F6CCA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0.89</w:t>
            </w:r>
          </w:p>
        </w:tc>
        <w:tc>
          <w:tcPr>
            <w:tcW w:w="1260" w:type="dxa"/>
            <w:tcBorders>
              <w:top w:val="nil"/>
              <w:left w:val="nil"/>
              <w:bottom w:val="nil"/>
              <w:right w:val="nil"/>
            </w:tcBorders>
            <w:shd w:val="clear" w:color="auto" w:fill="auto"/>
            <w:noWrap/>
            <w:vAlign w:val="center"/>
            <w:hideMark/>
          </w:tcPr>
          <w:p w14:paraId="1B6E64C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751C0B6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231F3601" w14:textId="6D13BC6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EA9F4F8" w14:textId="3C1681A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FEED067" w14:textId="347CB14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60AD219" w14:textId="77777777" w:rsidTr="00AB56EB">
        <w:trPr>
          <w:trHeight w:val="300"/>
        </w:trPr>
        <w:tc>
          <w:tcPr>
            <w:tcW w:w="1800" w:type="dxa"/>
            <w:tcBorders>
              <w:top w:val="nil"/>
              <w:left w:val="nil"/>
              <w:bottom w:val="nil"/>
              <w:right w:val="nil"/>
            </w:tcBorders>
            <w:shd w:val="clear" w:color="auto" w:fill="auto"/>
            <w:noWrap/>
            <w:vAlign w:val="center"/>
            <w:hideMark/>
          </w:tcPr>
          <w:p w14:paraId="6847960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COD3NO</w:t>
            </w:r>
          </w:p>
        </w:tc>
        <w:tc>
          <w:tcPr>
            <w:tcW w:w="1125" w:type="dxa"/>
            <w:tcBorders>
              <w:top w:val="nil"/>
              <w:left w:val="nil"/>
              <w:bottom w:val="nil"/>
              <w:right w:val="nil"/>
            </w:tcBorders>
            <w:shd w:val="clear" w:color="auto" w:fill="auto"/>
            <w:noWrap/>
            <w:vAlign w:val="center"/>
            <w:hideMark/>
          </w:tcPr>
          <w:p w14:paraId="1D537551" w14:textId="1CBFA2F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5C8780C" w14:textId="4BCF18DB" w:rsidR="00AB56EB" w:rsidRPr="00AB56EB" w:rsidRDefault="00AB56EB" w:rsidP="00AB56EB">
            <w:pPr>
              <w:spacing w:after="0" w:line="240" w:lineRule="auto"/>
              <w:jc w:val="center"/>
              <w:rPr>
                <w:rFonts w:ascii="Times New Roman" w:eastAsia="Times New Roman" w:hAnsi="Times New Roman" w:cs="Times New Roman"/>
                <w:kern w:val="0"/>
                <w:sz w:val="20"/>
                <w:szCs w:val="20"/>
                <w14:ligatures w14:val="none"/>
              </w:rPr>
            </w:pPr>
          </w:p>
        </w:tc>
        <w:tc>
          <w:tcPr>
            <w:tcW w:w="1080" w:type="dxa"/>
            <w:tcBorders>
              <w:top w:val="nil"/>
              <w:left w:val="nil"/>
              <w:bottom w:val="nil"/>
              <w:right w:val="nil"/>
            </w:tcBorders>
            <w:shd w:val="clear" w:color="auto" w:fill="auto"/>
            <w:noWrap/>
            <w:vAlign w:val="center"/>
            <w:hideMark/>
          </w:tcPr>
          <w:p w14:paraId="16B233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FC5045" w14:textId="292FCC5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E03F44C" w14:textId="79977E8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D5F8F57" w14:textId="4927917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FA5106C" w14:textId="77777777" w:rsidTr="00AB56EB">
        <w:trPr>
          <w:trHeight w:val="300"/>
        </w:trPr>
        <w:tc>
          <w:tcPr>
            <w:tcW w:w="1800" w:type="dxa"/>
            <w:tcBorders>
              <w:top w:val="nil"/>
              <w:left w:val="nil"/>
              <w:bottom w:val="nil"/>
              <w:right w:val="nil"/>
            </w:tcBorders>
            <w:shd w:val="clear" w:color="auto" w:fill="auto"/>
            <w:noWrap/>
            <w:vAlign w:val="center"/>
            <w:hideMark/>
          </w:tcPr>
          <w:p w14:paraId="482AEC9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w:t>
            </w:r>
          </w:p>
        </w:tc>
        <w:tc>
          <w:tcPr>
            <w:tcW w:w="1125" w:type="dxa"/>
            <w:tcBorders>
              <w:top w:val="nil"/>
              <w:left w:val="nil"/>
              <w:bottom w:val="nil"/>
              <w:right w:val="nil"/>
            </w:tcBorders>
            <w:shd w:val="clear" w:color="auto" w:fill="auto"/>
            <w:noWrap/>
            <w:vAlign w:val="center"/>
            <w:hideMark/>
          </w:tcPr>
          <w:p w14:paraId="31C318B9" w14:textId="503D754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498501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080" w:type="dxa"/>
            <w:tcBorders>
              <w:top w:val="nil"/>
              <w:left w:val="nil"/>
              <w:bottom w:val="nil"/>
              <w:right w:val="nil"/>
            </w:tcBorders>
            <w:shd w:val="clear" w:color="auto" w:fill="auto"/>
            <w:noWrap/>
            <w:vAlign w:val="center"/>
            <w:hideMark/>
          </w:tcPr>
          <w:p w14:paraId="0244745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0.02</w:t>
            </w:r>
          </w:p>
        </w:tc>
        <w:tc>
          <w:tcPr>
            <w:tcW w:w="1530" w:type="dxa"/>
            <w:tcBorders>
              <w:top w:val="nil"/>
              <w:left w:val="nil"/>
              <w:bottom w:val="nil"/>
              <w:right w:val="nil"/>
            </w:tcBorders>
          </w:tcPr>
          <w:p w14:paraId="3E0EBD1F" w14:textId="29BE97B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FB53E6F" w14:textId="11F61A4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310BF9" w14:textId="48BFC35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bl>
    <w:p w14:paraId="254287D6" w14:textId="77777777" w:rsidR="00BE1103" w:rsidRDefault="00BE1103" w:rsidP="00C23353"/>
    <w:p w14:paraId="14B0E639" w14:textId="77777777" w:rsidR="00B520C0" w:rsidRPr="00B520C0" w:rsidRDefault="00B520C0" w:rsidP="00B520C0">
      <w:r w:rsidRPr="00B520C0">
        <w:t>Table X summarizes cod stocks that experienced severe historical depletion and evaluates their recovery outcomes in relation to production at the lowest observed biomass (δ0\delta_0δ0</w:t>
      </w:r>
      <w:r w:rsidRPr="00B520C0">
        <w:rPr>
          <w:rFonts w:ascii="Arial" w:hAnsi="Arial" w:cs="Arial"/>
        </w:rPr>
        <w:t>​</w:t>
      </w:r>
      <w:r w:rsidRPr="00B520C0">
        <w:t>) and the estimated strength of Allee effects (</w:t>
      </w:r>
      <w:proofErr w:type="spellStart"/>
      <w:r w:rsidRPr="00B520C0">
        <w:t>AsA_sAs</w:t>
      </w:r>
      <w:proofErr w:type="spellEnd"/>
      <w:r w:rsidRPr="00B520C0">
        <w:rPr>
          <w:rFonts w:ascii="Arial" w:hAnsi="Arial" w:cs="Arial"/>
        </w:rPr>
        <w:t>​</w:t>
      </w:r>
      <w:r w:rsidRPr="00B520C0">
        <w:t>). All stocks listed reached very low relative biomass levels (depletion ≤ 0.6, with smaller values indicating greater depletion), and all are classified as collapsed. Despite broadly comparable depletion histories, recovery outcomes varied substantially among stocks.</w:t>
      </w:r>
    </w:p>
    <w:p w14:paraId="617CE19C" w14:textId="77777777" w:rsidR="00B520C0" w:rsidRPr="00B520C0" w:rsidRDefault="00B520C0" w:rsidP="00B520C0">
      <w:r w:rsidRPr="00B520C0">
        <w:t xml:space="preserve">Stocks that recovered generally retained positive production at their lowest observed biomass and showed little or no evidence of an Allee effect. </w:t>
      </w:r>
      <w:r w:rsidRPr="00B520C0">
        <w:rPr>
          <w:highlight w:val="yellow"/>
        </w:rPr>
        <w:t>For example, CODICE (As=−0.35A_s = -0.35As</w:t>
      </w:r>
      <w:r w:rsidRPr="00B520C0">
        <w:rPr>
          <w:rFonts w:ascii="Arial" w:hAnsi="Arial" w:cs="Arial"/>
          <w:highlight w:val="yellow"/>
        </w:rPr>
        <w:t>​</w:t>
      </w:r>
      <w:r w:rsidRPr="00B520C0">
        <w:rPr>
          <w:highlight w:val="yellow"/>
        </w:rPr>
        <w:t>=−0.35) and CODNEAR recovered with δ0≈0.5\delta_0 \</w:t>
      </w:r>
      <w:proofErr w:type="spellStart"/>
      <w:r w:rsidRPr="00B520C0">
        <w:rPr>
          <w:highlight w:val="yellow"/>
        </w:rPr>
        <w:t>approx</w:t>
      </w:r>
      <w:proofErr w:type="spellEnd"/>
      <w:r w:rsidRPr="00B520C0">
        <w:rPr>
          <w:highlight w:val="yellow"/>
        </w:rPr>
        <w:t xml:space="preserve"> 0.5δ0</w:t>
      </w:r>
      <w:r w:rsidRPr="00B520C0">
        <w:rPr>
          <w:rFonts w:ascii="Arial" w:hAnsi="Arial" w:cs="Arial"/>
          <w:highlight w:val="yellow"/>
        </w:rPr>
        <w:t>​</w:t>
      </w:r>
      <w:r w:rsidRPr="00B520C0">
        <w:rPr>
          <w:highlight w:val="yellow"/>
        </w:rPr>
        <w:t>≈0.5, indicating positive production even at their lowest observed biomass despite a modest relative reduction in production rate.</w:t>
      </w:r>
      <w:r w:rsidRPr="00B520C0">
        <w:t xml:space="preserve"> Recovery was also observed for COD1F-XIV and COD1IN at much lower depletion levels (&lt; 0.1). Although COD1IN exhibited a negative </w:t>
      </w:r>
      <w:proofErr w:type="spellStart"/>
      <w:r w:rsidRPr="00B520C0">
        <w:t>AsA_sAs</w:t>
      </w:r>
      <w:proofErr w:type="spellEnd"/>
      <w:r w:rsidRPr="00B520C0">
        <w:rPr>
          <w:rFonts w:ascii="Arial" w:hAnsi="Arial" w:cs="Arial"/>
        </w:rPr>
        <w:t>​</w:t>
      </w:r>
      <w:r w:rsidRPr="00B520C0">
        <w:t xml:space="preserve"> (−0.53-0.53−0.53), indicating a relative reduction in production rate at low </w:t>
      </w:r>
      <w:r w:rsidRPr="00B520C0">
        <w:lastRenderedPageBreak/>
        <w:t>biomass, production remained positive (δ0=0.29\delta_0 = 0.29δ0</w:t>
      </w:r>
      <w:r w:rsidRPr="00B520C0">
        <w:rPr>
          <w:rFonts w:ascii="Arial" w:hAnsi="Arial" w:cs="Arial"/>
        </w:rPr>
        <w:t>​</w:t>
      </w:r>
      <w:r w:rsidRPr="00B520C0">
        <w:t>=0.29), suggesting that depensation was not strong enough to prevent recovery.</w:t>
      </w:r>
    </w:p>
    <w:p w14:paraId="0EE813C3" w14:textId="77777777" w:rsidR="00B520C0" w:rsidRPr="00B520C0" w:rsidRDefault="00B520C0" w:rsidP="00B520C0">
      <w:r w:rsidRPr="00B520C0">
        <w:t xml:space="preserve">In contrast, many stocks that failed to recover exhibited strong Allee effects, reflected by negative </w:t>
      </w:r>
      <w:proofErr w:type="spellStart"/>
      <w:r w:rsidRPr="00B520C0">
        <w:t>AsA_sAs</w:t>
      </w:r>
      <w:proofErr w:type="spellEnd"/>
      <w:r w:rsidRPr="00B520C0">
        <w:rPr>
          <w:rFonts w:ascii="Arial" w:hAnsi="Arial" w:cs="Arial"/>
        </w:rPr>
        <w:t>​</w:t>
      </w:r>
      <w:r w:rsidRPr="00B520C0">
        <w:t xml:space="preserve"> values and very low or negative production at the lowest observed biomass. Stocks such as 3Pn4RS, 4X5Y, 4vsw, 4tvn, 4tvn-SPM, and 2J3KL-SPM showed pronounced reductions in production rate at low biomass (As&lt;0A_s &lt; 0As</w:t>
      </w:r>
      <w:r w:rsidRPr="00B520C0">
        <w:rPr>
          <w:rFonts w:ascii="Arial" w:hAnsi="Arial" w:cs="Arial"/>
        </w:rPr>
        <w:t>​</w:t>
      </w:r>
      <w:r w:rsidRPr="00B520C0">
        <w:t>&lt;0) combined with δ0\delta_0δ0</w:t>
      </w:r>
      <w:r w:rsidRPr="00B520C0">
        <w:rPr>
          <w:rFonts w:ascii="Arial" w:hAnsi="Arial" w:cs="Arial"/>
        </w:rPr>
        <w:t>​</w:t>
      </w:r>
      <w:r w:rsidRPr="00B520C0">
        <w:t xml:space="preserve"> values near zero or negative (≤ 0.04). These stocks also tended to be among the most severely depleted (depletion &lt; 0.3), indicating that depensatory dynamics likely constrained population growth following collapse.</w:t>
      </w:r>
    </w:p>
    <w:p w14:paraId="784ADD81" w14:textId="77777777" w:rsidR="00B520C0" w:rsidRPr="00B520C0" w:rsidRDefault="00B520C0" w:rsidP="00B520C0">
      <w:r w:rsidRPr="00B520C0">
        <w:t xml:space="preserve">Stocks with positive </w:t>
      </w:r>
      <w:proofErr w:type="spellStart"/>
      <w:r w:rsidRPr="00B520C0">
        <w:t>AsA_sAs</w:t>
      </w:r>
      <w:proofErr w:type="spellEnd"/>
      <w:r w:rsidRPr="00B520C0">
        <w:rPr>
          <w:rFonts w:ascii="Arial" w:hAnsi="Arial" w:cs="Arial"/>
        </w:rPr>
        <w:t>​</w:t>
      </w:r>
      <w:r w:rsidRPr="00B520C0">
        <w:t xml:space="preserve"> values, indicating no detectable Allee effect, displayed mixed recovery outcomes depending on production at low biomass. Several such stocks (e.g., CODBA2224, CODBA2532, </w:t>
      </w:r>
      <w:proofErr w:type="spellStart"/>
      <w:r w:rsidRPr="00B520C0">
        <w:t>CODVIIek</w:t>
      </w:r>
      <w:proofErr w:type="spellEnd"/>
      <w:r w:rsidRPr="00B520C0">
        <w:t xml:space="preserve">, </w:t>
      </w:r>
      <w:proofErr w:type="spellStart"/>
      <w:r w:rsidRPr="00B520C0">
        <w:t>CODVIa</w:t>
      </w:r>
      <w:proofErr w:type="spellEnd"/>
      <w:r w:rsidRPr="00B520C0">
        <w:t xml:space="preserve">, COD5Zjm, CODIS, and COD3NO) did not recover despite the absence of depensation, reflecting limited production at their lowest observed biomass. Conversely, recovery in COD1F-XIV, which had a positive </w:t>
      </w:r>
      <w:proofErr w:type="spellStart"/>
      <w:r w:rsidRPr="00B520C0">
        <w:t>AsA_sAs</w:t>
      </w:r>
      <w:proofErr w:type="spellEnd"/>
      <w:r w:rsidRPr="00B520C0">
        <w:rPr>
          <w:rFonts w:ascii="Arial" w:hAnsi="Arial" w:cs="Arial"/>
        </w:rPr>
        <w:t>​</w:t>
      </w:r>
      <w:r w:rsidRPr="00B520C0">
        <w:t xml:space="preserve"> and moderate δ0\delta_0δ0</w:t>
      </w:r>
      <w:r w:rsidRPr="00B520C0">
        <w:rPr>
          <w:rFonts w:ascii="Arial" w:hAnsi="Arial" w:cs="Arial"/>
        </w:rPr>
        <w:t>​</w:t>
      </w:r>
      <w:r w:rsidRPr="00B520C0">
        <w:t>, underscores the importance of maintaining positive production at low biomass even in the absence of Allee effects.</w:t>
      </w:r>
    </w:p>
    <w:p w14:paraId="6B208A82" w14:textId="77777777" w:rsidR="00B520C0" w:rsidRPr="00B520C0" w:rsidRDefault="00B520C0" w:rsidP="00B520C0">
      <w:r w:rsidRPr="00B520C0">
        <w:t xml:space="preserve">Overall, these results indicate that recovery potential is jointly determined by depletion severity, production at the lowest observed biomass, and the strength of depensatory dynamics. Stocks experiencing extreme depletion combined with strong reductions in production rate at low biomass (negative </w:t>
      </w:r>
      <w:proofErr w:type="spellStart"/>
      <w:r w:rsidRPr="00B520C0">
        <w:t>AsA_sAs</w:t>
      </w:r>
      <w:proofErr w:type="spellEnd"/>
      <w:r w:rsidRPr="00B520C0">
        <w:rPr>
          <w:rFonts w:ascii="Arial" w:hAnsi="Arial" w:cs="Arial"/>
        </w:rPr>
        <w:t>​</w:t>
      </w:r>
      <w:r w:rsidRPr="00B520C0">
        <w:t>) and near-zero or negative δ0\delta_0δ0</w:t>
      </w:r>
      <w:r w:rsidRPr="00B520C0">
        <w:rPr>
          <w:rFonts w:ascii="Arial" w:hAnsi="Arial" w:cs="Arial"/>
        </w:rPr>
        <w:t>​</w:t>
      </w:r>
      <w:r w:rsidRPr="00B520C0">
        <w:t xml:space="preserve"> consistently failed to recover. In contrast, recovery was most likely when production remained positive at the lowest observed biomass, even when moderate reductions in production rate were present, highlighting the critical role of low-biomass productivity in rebuilding depleted stocks.</w:t>
      </w:r>
    </w:p>
    <w:p w14:paraId="73D7518F" w14:textId="41461B49" w:rsidR="009149B3" w:rsidRDefault="00F13184" w:rsidP="00C23353">
      <w:r>
        <w:t>Discussion</w:t>
      </w:r>
    </w:p>
    <w:p w14:paraId="3F481227" w14:textId="3303021E" w:rsidR="00F13184" w:rsidRDefault="00F13184" w:rsidP="00C23353">
      <w:r>
        <w:t xml:space="preserve">Novelty here is using surplus production and a quantification of the alle effect strength. Easier to routinely implement in stock assessments than a stock recruit function with depensation parameter. </w:t>
      </w:r>
    </w:p>
    <w:p w14:paraId="38AD2F43" w14:textId="34FF4007" w:rsidR="00F13184" w:rsidRDefault="00F13184" w:rsidP="00C23353">
      <w:r>
        <w:t xml:space="preserve">The biomass estimates used in surplus production are population model estimates from stock assessment models and are </w:t>
      </w:r>
      <w:proofErr w:type="spellStart"/>
      <w:r>
        <w:t>dependant</w:t>
      </w:r>
      <w:proofErr w:type="spellEnd"/>
      <w:r>
        <w:t xml:space="preserve"> of assumptions therein. </w:t>
      </w:r>
    </w:p>
    <w:p w14:paraId="6D904FCE" w14:textId="21811DB2" w:rsidR="00494B72" w:rsidRDefault="00494B72">
      <w:r>
        <w:br w:type="page"/>
      </w:r>
    </w:p>
    <w:p w14:paraId="715CE9A9" w14:textId="147CFAD9" w:rsidR="00494B72" w:rsidRDefault="00494B72">
      <w:r>
        <w:lastRenderedPageBreak/>
        <w:br w:type="page"/>
      </w:r>
    </w:p>
    <w:p w14:paraId="19B01374" w14:textId="77777777" w:rsidR="009149B3" w:rsidRDefault="009149B3" w:rsidP="00C23353"/>
    <w:p w14:paraId="6B2E05E2" w14:textId="77777777" w:rsidR="009149B3" w:rsidRPr="00F3430B" w:rsidRDefault="009149B3" w:rsidP="009149B3">
      <w:r w:rsidRPr="00AB6F41">
        <w:rPr>
          <w:rFonts w:cs="Arial"/>
          <w:highlight w:val="yellow"/>
        </w:rPr>
        <w:t>notes</w:t>
      </w:r>
    </w:p>
    <w:p w14:paraId="5FA48D23" w14:textId="77777777" w:rsidR="009149B3" w:rsidRDefault="009149B3" w:rsidP="009149B3">
      <w:pPr>
        <w:rPr>
          <w:highlight w:val="yellow"/>
        </w:rPr>
      </w:pPr>
      <w:r w:rsidRPr="0032630D">
        <w:rPr>
          <w:highlight w:val="yellow"/>
        </w:rPr>
        <w:t>Ray Hilborn, Daniel J. Hively, Olaf P. Jensen, Trevor A. Branch, The dynamics of fish populations at low abundance and prospects for rebuilding and recovery, </w:t>
      </w:r>
      <w:r w:rsidRPr="0032630D">
        <w:rPr>
          <w:i/>
          <w:iCs/>
          <w:highlight w:val="yellow"/>
        </w:rPr>
        <w:t>ICES Journal of Marine Science</w:t>
      </w:r>
      <w:r w:rsidRPr="0032630D">
        <w:rPr>
          <w:highlight w:val="yellow"/>
        </w:rPr>
        <w:t>, Volume 71, Issue 8, October 2014, Pages 2141–2151, </w:t>
      </w:r>
      <w:hyperlink r:id="rId14" w:history="1">
        <w:r w:rsidRPr="0032630D">
          <w:rPr>
            <w:rStyle w:val="Hyperlink"/>
            <w:highlight w:val="yellow"/>
          </w:rPr>
          <w:t>https://doi.org/10.1093/icesjms/fsu035</w:t>
        </w:r>
      </w:hyperlink>
    </w:p>
    <w:p w14:paraId="675708D8" w14:textId="77777777" w:rsidR="009149B3" w:rsidRDefault="009149B3" w:rsidP="009149B3">
      <w:r w:rsidRPr="0029046C">
        <w:rPr>
          <w:highlight w:val="yellow"/>
        </w:rPr>
        <w:t xml:space="preserve">How to test if </w:t>
      </w:r>
      <w:proofErr w:type="spellStart"/>
      <w:r w:rsidRPr="0029046C">
        <w:rPr>
          <w:highlight w:val="yellow"/>
        </w:rPr>
        <w:t>allee</w:t>
      </w:r>
      <w:proofErr w:type="spellEnd"/>
      <w:r w:rsidRPr="0029046C">
        <w:rPr>
          <w:highlight w:val="yellow"/>
        </w:rPr>
        <w:t xml:space="preserve"> effects are m induced?</w:t>
      </w:r>
      <w:r>
        <w:t xml:space="preserve"> – </w:t>
      </w:r>
      <w:r w:rsidRPr="00AB6F41">
        <w:rPr>
          <w:highlight w:val="yellow"/>
        </w:rPr>
        <w:t xml:space="preserve">plot </w:t>
      </w:r>
      <w:proofErr w:type="spellStart"/>
      <w:r w:rsidRPr="00AB6F41">
        <w:rPr>
          <w:highlight w:val="yellow"/>
        </w:rPr>
        <w:t>srr</w:t>
      </w:r>
      <w:proofErr w:type="spellEnd"/>
      <w:r w:rsidRPr="00AB6F41">
        <w:rPr>
          <w:highlight w:val="yellow"/>
        </w:rPr>
        <w:t xml:space="preserve"> and look for depensation</w:t>
      </w:r>
      <w:r>
        <w:rPr>
          <w:highlight w:val="yellow"/>
        </w:rPr>
        <w:t xml:space="preserve"> to rule out recruitment (but M induced age truncation and reduced fecundity of older larger females may be reflected in SRR, along with changes in growth and maturity)</w:t>
      </w:r>
      <w:r w:rsidRPr="00AB6F41">
        <w:rPr>
          <w:highlight w:val="yellow"/>
        </w:rPr>
        <w:t>.</w:t>
      </w:r>
      <w:r>
        <w:t xml:space="preserve"> </w:t>
      </w:r>
    </w:p>
    <w:p w14:paraId="10FB258E" w14:textId="77777777" w:rsidR="009149B3" w:rsidRDefault="009149B3" w:rsidP="009149B3">
      <w:r w:rsidRPr="00F3430B">
        <w:rPr>
          <w:highlight w:val="yellow"/>
        </w:rPr>
        <w:t>Notes from Neuenhoff et al 2019 4tvn cod</w:t>
      </w:r>
      <w:r>
        <w:t xml:space="preserve"> </w:t>
      </w:r>
    </w:p>
    <w:p w14:paraId="0DDC7F52" w14:textId="77777777" w:rsidR="009149B3" w:rsidRDefault="009149B3" w:rsidP="009149B3">
      <w:r>
        <w:t xml:space="preserve">Atlantic cod in the </w:t>
      </w:r>
      <w:proofErr w:type="spellStart"/>
      <w:r>
        <w:t>sGSL</w:t>
      </w:r>
      <w:proofErr w:type="spellEnd"/>
      <w:r>
        <w:t xml:space="preserve"> are currently experiencing a strong Allee effect, with the rate of surplus production declining to neg- </w:t>
      </w:r>
      <w:proofErr w:type="spellStart"/>
      <w:r>
        <w:t>ative</w:t>
      </w:r>
      <w:proofErr w:type="spellEnd"/>
      <w:r>
        <w:t xml:space="preser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 </w:t>
      </w:r>
      <w:r w:rsidRPr="003D1E89">
        <w:t xml:space="preserve">Instead, the positive density dependence of population productivity at low abundance </w:t>
      </w:r>
      <w:proofErr w:type="spellStart"/>
      <w:r w:rsidRPr="003D1E89">
        <w:t>ofthis</w:t>
      </w:r>
      <w:proofErr w:type="spellEnd"/>
      <w:r w:rsidRPr="003D1E89">
        <w:t xml:space="preserve"> stock appears to result from predation-driven Allee effects. Given a type II </w:t>
      </w:r>
      <w:proofErr w:type="spellStart"/>
      <w:r w:rsidRPr="003D1E89">
        <w:t>func</w:t>
      </w:r>
      <w:proofErr w:type="spellEnd"/>
      <w:r w:rsidRPr="003D1E89">
        <w:t xml:space="preserve">- </w:t>
      </w:r>
      <w:proofErr w:type="spellStart"/>
      <w:r w:rsidRPr="003D1E89">
        <w:t>tional</w:t>
      </w:r>
      <w:proofErr w:type="spellEnd"/>
      <w:r w:rsidRPr="003D1E89">
        <w:t xml:space="preserve"> response, the predation mortality generated per predator increases as prey abundance declines, resulting in a demographic Allee effect (Gascoigne and </w:t>
      </w:r>
      <w:proofErr w:type="spellStart"/>
      <w:r w:rsidRPr="003D1E89">
        <w:t>Lipcius</w:t>
      </w:r>
      <w:proofErr w:type="spellEnd"/>
      <w:r w:rsidRPr="003D1E89">
        <w:t xml:space="preserve"> 2004). This is reflected in the slight peak in predation mortality in the mid-1970s and the sharp</w:t>
      </w:r>
      <w:r>
        <w:t xml:space="preserve"> </w:t>
      </w:r>
      <w:r w:rsidRPr="003D1E89">
        <w:t>increase in predation mortality as the stock collapsed in the late 1980s and early 1990s (Fig. 2c). However, much of the large in- crease in 5+ M in the 1990s and 2000s reflects an emergent Allee effect, resulting from increasing grey seal abundance when Atlan- tic cod abundance is severely depleted.</w:t>
      </w:r>
    </w:p>
    <w:p w14:paraId="5F0D323F" w14:textId="77777777" w:rsidR="009149B3" w:rsidRDefault="009149B3" w:rsidP="009149B3"/>
    <w:p w14:paraId="184D8357" w14:textId="77777777" w:rsidR="009149B3" w:rsidRDefault="009149B3" w:rsidP="009149B3"/>
    <w:p w14:paraId="70B45C05" w14:textId="77777777" w:rsidR="009149B3" w:rsidRDefault="009149B3" w:rsidP="009149B3"/>
    <w:p w14:paraId="523B2D97" w14:textId="77777777" w:rsidR="009149B3" w:rsidRDefault="009149B3" w:rsidP="009149B3">
      <w:r w:rsidRPr="00B74207">
        <w:rPr>
          <w:noProof/>
        </w:rPr>
        <w:lastRenderedPageBreak/>
        <w:drawing>
          <wp:inline distT="0" distB="0" distL="0" distR="0" wp14:anchorId="5D2B147B" wp14:editId="58BDA912">
            <wp:extent cx="5943600" cy="5976620"/>
            <wp:effectExtent l="0" t="0" r="0" b="5080"/>
            <wp:docPr id="1984290214"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90214" name="Picture 1" descr="A graph of a graph&#10;&#10;AI-generated content may be incorrect."/>
                    <pic:cNvPicPr/>
                  </pic:nvPicPr>
                  <pic:blipFill>
                    <a:blip r:embed="rId15"/>
                    <a:stretch>
                      <a:fillRect/>
                    </a:stretch>
                  </pic:blipFill>
                  <pic:spPr>
                    <a:xfrm>
                      <a:off x="0" y="0"/>
                      <a:ext cx="5943600" cy="5976620"/>
                    </a:xfrm>
                    <a:prstGeom prst="rect">
                      <a:avLst/>
                    </a:prstGeom>
                  </pic:spPr>
                </pic:pic>
              </a:graphicData>
            </a:graphic>
          </wp:inline>
        </w:drawing>
      </w:r>
    </w:p>
    <w:p w14:paraId="4350EAC6" w14:textId="77777777" w:rsidR="009149B3" w:rsidRDefault="009149B3" w:rsidP="009149B3">
      <w:pPr>
        <w:rPr>
          <w:u w:val="single"/>
        </w:rPr>
      </w:pPr>
    </w:p>
    <w:p w14:paraId="124B7D82" w14:textId="77777777" w:rsidR="009149B3" w:rsidRDefault="009149B3" w:rsidP="009149B3">
      <w:pPr>
        <w:rPr>
          <w:u w:val="single"/>
        </w:rPr>
      </w:pPr>
    </w:p>
    <w:p w14:paraId="751A93F4" w14:textId="77777777" w:rsidR="009149B3" w:rsidRDefault="009149B3" w:rsidP="009149B3"/>
    <w:p w14:paraId="17AAEC88" w14:textId="77777777" w:rsidR="009149B3" w:rsidRDefault="009149B3" w:rsidP="009149B3">
      <w:r w:rsidRPr="0029046C">
        <w:rPr>
          <w:highlight w:val="yellow"/>
        </w:rPr>
        <w:t>Notes</w:t>
      </w:r>
    </w:p>
    <w:p w14:paraId="1340DEAC" w14:textId="77777777" w:rsidR="009149B3" w:rsidRDefault="009149B3" w:rsidP="009149B3">
      <w:r w:rsidRPr="001D4A58">
        <w:t>Kuparinen, A., and Hutchings, J.A. 2025. Increased natural mortality at low abundance can generate an Allee effect in a marine fish Subject Areas</w:t>
      </w:r>
      <w:r w:rsidRPr="001D4A58">
        <w:rPr>
          <w:rFonts w:ascii="Arial" w:hAnsi="Arial" w:cs="Arial"/>
        </w:rPr>
        <w:t> </w:t>
      </w:r>
      <w:r w:rsidRPr="001D4A58">
        <w:t>: Author for correspondence</w:t>
      </w:r>
      <w:r w:rsidRPr="001D4A58">
        <w:rPr>
          <w:rFonts w:ascii="Arial" w:hAnsi="Arial" w:cs="Arial"/>
        </w:rPr>
        <w:t> </w:t>
      </w:r>
      <w:r w:rsidRPr="001D4A58">
        <w:t>: R. Sic. open sci. (December). doi:10.1098/rsos.140075/224120/rsos.140075.pdf.</w:t>
      </w:r>
    </w:p>
    <w:p w14:paraId="3AAB27FA" w14:textId="77777777" w:rsidR="009149B3" w:rsidRDefault="009149B3" w:rsidP="009149B3">
      <w:r w:rsidRPr="001D4A58">
        <w:lastRenderedPageBreak/>
        <w:t>Our results suggest that increased mortality at low abundance can generate a demographic Allee effect that slows the recovery of depleted populations. In addition to the general importance of this finding for threatened species, our work has specific relevance to the rebuilding of over-exploited populations, indicating that recovery can be significantly retarded even in the absence of exploitation.</w:t>
      </w:r>
    </w:p>
    <w:p w14:paraId="53298433" w14:textId="77777777" w:rsidR="009149B3" w:rsidRDefault="009149B3" w:rsidP="009149B3"/>
    <w:p w14:paraId="7AC18552" w14:textId="77777777" w:rsidR="009149B3" w:rsidRPr="00DE78B6" w:rsidRDefault="009149B3" w:rsidP="009149B3">
      <w:r w:rsidRPr="00DE78B6">
        <w:t xml:space="preserve">Winter, A.M., Vasilyeva, N., and Vladimirov, A. 2023. Spawner weight and ocean temperature drive Allee effect dynamics in Atlantic cod, Gadus </w:t>
      </w:r>
      <w:proofErr w:type="spellStart"/>
      <w:r w:rsidRPr="00DE78B6">
        <w:t>morhua</w:t>
      </w:r>
      <w:proofErr w:type="spellEnd"/>
      <w:r w:rsidRPr="00DE78B6">
        <w:t xml:space="preserve">: inherent and emergent density regulation. </w:t>
      </w:r>
      <w:proofErr w:type="spellStart"/>
      <w:r w:rsidRPr="00DE78B6">
        <w:t>Biogeosciences</w:t>
      </w:r>
      <w:proofErr w:type="spellEnd"/>
      <w:r w:rsidRPr="00DE78B6">
        <w:t xml:space="preserve"> </w:t>
      </w:r>
      <w:r w:rsidRPr="00DE78B6">
        <w:rPr>
          <w:b/>
          <w:bCs/>
        </w:rPr>
        <w:t>20</w:t>
      </w:r>
      <w:r w:rsidRPr="00DE78B6">
        <w:t>(17): 3683–3716. doi:10.5194/bg-20-3683-2023.</w:t>
      </w:r>
    </w:p>
    <w:p w14:paraId="6D249119" w14:textId="77777777" w:rsidR="009149B3" w:rsidRDefault="009149B3" w:rsidP="009149B3">
      <w:bookmarkStart w:id="1" w:name="_Hlk218170420"/>
      <w:r>
        <w:t xml:space="preserve">The Allee effect is defined as a decline in the individual growth rate or recruitment per capita ratio, </w:t>
      </w:r>
      <w:proofErr w:type="spellStart"/>
      <w:r>
        <w:t>Rcap</w:t>
      </w:r>
      <w:proofErr w:type="spellEnd"/>
      <w:r>
        <w:t>, at small population density or abundance (</w:t>
      </w:r>
      <w:proofErr w:type="spellStart"/>
      <w:r>
        <w:t>Courchamp</w:t>
      </w:r>
      <w:proofErr w:type="spellEnd"/>
      <w:r>
        <w:t xml:space="preserve"> et al., 1999; Hutchings, 2015). The threshold below which recruitment per capita decreases is termed the Allee effect threshold. If the individual growth rate decreases to zero at a positive population abundance, the Allee effect is usually considered strong (Berec et al., 2007; Hutchings, 2015). Here, we </w:t>
      </w:r>
      <w:proofErr w:type="spellStart"/>
      <w:r>
        <w:t>esti</w:t>
      </w:r>
      <w:proofErr w:type="spellEnd"/>
      <w:r>
        <w:t xml:space="preserve">- mated the Allee effect strength, As, as the ratio between </w:t>
      </w:r>
      <w:proofErr w:type="spellStart"/>
      <w:r>
        <w:t>Rcap</w:t>
      </w:r>
      <w:proofErr w:type="spellEnd"/>
      <w:r>
        <w:t xml:space="preserve"> at the Allee effect threshold SSB0 and the minimum </w:t>
      </w:r>
      <w:proofErr w:type="spellStart"/>
      <w:r>
        <w:t>Rcap</w:t>
      </w:r>
      <w:proofErr w:type="spellEnd"/>
      <w:r>
        <w:t xml:space="preserve"> at SSBN below the Allee effect threshold (Eq. 9). With- out an Allee effect, SSB0 is simply the inflection point. We considered SSBN in order to focus on spawner abundance, because Allee effects are density- or abundance-dependent phenomena. At the Allee effect threshold, </w:t>
      </w:r>
      <w:proofErr w:type="spellStart"/>
      <w:r>
        <w:t>Rcap</w:t>
      </w:r>
      <w:proofErr w:type="spellEnd"/>
      <w:r>
        <w:t xml:space="preserve"> is maximal, and the corresponding biomass is SSB0. Because all stocks show to some extent a decline in the per capita growth rate (Fig. 3), an Allee effect can be quantified for each stock as the decline in recruitment per capita relative to its maximum so that As </w:t>
      </w:r>
      <w:r>
        <w:rPr>
          <w:rFonts w:ascii="Cambria Math" w:hAnsi="Cambria Math" w:cs="Cambria Math"/>
        </w:rPr>
        <w:t>∈</w:t>
      </w:r>
      <w:r>
        <w:t xml:space="preserve"> [0,1]. When there is no Allee effect As = 0 and As = 1 when recruitment per capita declines to 0. Ap- </w:t>
      </w:r>
      <w:proofErr w:type="spellStart"/>
      <w:r>
        <w:t>pendix</w:t>
      </w:r>
      <w:proofErr w:type="spellEnd"/>
      <w:r>
        <w:t xml:space="preserve"> C Fig. C1 shows a scheme of the definition:</w:t>
      </w:r>
    </w:p>
    <w:bookmarkEnd w:id="1"/>
    <w:p w14:paraId="2EDF6518" w14:textId="77777777" w:rsidR="009149B3" w:rsidRDefault="009149B3" w:rsidP="009149B3"/>
    <w:p w14:paraId="4B360AAE" w14:textId="77777777" w:rsidR="009149B3" w:rsidRDefault="009149B3" w:rsidP="009149B3"/>
    <w:p w14:paraId="7344A18E" w14:textId="77777777" w:rsidR="009149B3" w:rsidRDefault="009149B3" w:rsidP="009149B3"/>
    <w:p w14:paraId="2AF6B774" w14:textId="77777777" w:rsidR="009149B3" w:rsidRPr="003E2455" w:rsidRDefault="009149B3" w:rsidP="009149B3">
      <w:r w:rsidRPr="003E2455">
        <w:t xml:space="preserve">Keith, D.M., and Hutchings, J.A. 2012. Population dynamics of marine fishes at low abundance. Can. J. Fish. </w:t>
      </w:r>
      <w:proofErr w:type="spellStart"/>
      <w:r w:rsidRPr="003E2455">
        <w:t>Aquat</w:t>
      </w:r>
      <w:proofErr w:type="spellEnd"/>
      <w:r w:rsidRPr="003E2455">
        <w:t xml:space="preserve">. Sci. </w:t>
      </w:r>
      <w:r w:rsidRPr="003E2455">
        <w:rPr>
          <w:b/>
          <w:bCs/>
        </w:rPr>
        <w:t>69</w:t>
      </w:r>
      <w:r w:rsidRPr="003E2455">
        <w:t>(7): 1150–1163. doi:10.1139/F2012-055.</w:t>
      </w:r>
    </w:p>
    <w:p w14:paraId="55E8A226" w14:textId="77777777" w:rsidR="009149B3" w:rsidRDefault="009149B3" w:rsidP="009149B3">
      <w:r>
        <w:t xml:space="preserve">Our analysis suggests that the assumption of an increase in Recruits per SSB as SSB declines is well founded for many species across much of their historical range in SSB. Overall, there is a steady increase in RPSZ as SSB declines, although this trend slows at the </w:t>
      </w:r>
      <w:r>
        <w:lastRenderedPageBreak/>
        <w:t xml:space="preserve">lowest values of SSB. At their lowest his- </w:t>
      </w:r>
      <w:proofErr w:type="spellStart"/>
      <w:r>
        <w:t>torical</w:t>
      </w:r>
      <w:proofErr w:type="spellEnd"/>
      <w:r>
        <w:t xml:space="preserve"> abundances, there is an estimated decline in RPSZ in over 20% of species. </w:t>
      </w:r>
    </w:p>
    <w:p w14:paraId="58A170CF" w14:textId="77777777" w:rsidR="009149B3" w:rsidRDefault="009149B3" w:rsidP="009149B3">
      <w:r w:rsidRPr="003E2455">
        <w:rPr>
          <w:highlight w:val="yellow"/>
        </w:rPr>
        <w:t xml:space="preserve">They use recruits per </w:t>
      </w:r>
      <w:proofErr w:type="spellStart"/>
      <w:r w:rsidRPr="003E2455">
        <w:rPr>
          <w:highlight w:val="yellow"/>
        </w:rPr>
        <w:t>ssb</w:t>
      </w:r>
      <w:proofErr w:type="spellEnd"/>
      <w:r w:rsidRPr="003E2455">
        <w:rPr>
          <w:highlight w:val="yellow"/>
        </w:rPr>
        <w:t xml:space="preserve"> as y axis, implying that this is the mechanism behind population growth. We use surplus production rate per capita.</w:t>
      </w:r>
      <w:r>
        <w:t xml:space="preserve"> </w:t>
      </w:r>
    </w:p>
    <w:p w14:paraId="44718958" w14:textId="77777777" w:rsidR="009149B3" w:rsidRDefault="009149B3" w:rsidP="009149B3"/>
    <w:p w14:paraId="52AECE22" w14:textId="77777777" w:rsidR="009149B3" w:rsidRDefault="009149B3" w:rsidP="009149B3">
      <w:r w:rsidRPr="00C23353">
        <w:t xml:space="preserve">Hutchings, J.A. 2015. Thresholds for impaired species recovery. Proc. R. Soc. B Biol. Sci. </w:t>
      </w:r>
      <w:r w:rsidRPr="00C23353">
        <w:rPr>
          <w:b/>
          <w:bCs/>
        </w:rPr>
        <w:t>282</w:t>
      </w:r>
      <w:r w:rsidRPr="00C23353">
        <w:t>(1809). doi:10.1098/rspb.2015.0654.</w:t>
      </w:r>
    </w:p>
    <w:p w14:paraId="1726CE0A" w14:textId="77777777" w:rsidR="009149B3" w:rsidRDefault="009149B3" w:rsidP="009149B3">
      <w:bookmarkStart w:id="2" w:name="_Hlk218170391"/>
      <w:r>
        <w:t xml:space="preserve">The concept of ‘threshold’ is central to Allee effects. If the pat- tern between realized and N changes from a negative to a positive relationship as populations decline, an obvious and fundamental question emerges: at what level of abundance are Allee effects likely to be manifest in natural populations? Despite the logical necessity in posing this question, </w:t>
      </w:r>
      <w:proofErr w:type="spellStart"/>
      <w:r>
        <w:t>surpris</w:t>
      </w:r>
      <w:proofErr w:type="spellEnd"/>
      <w:r>
        <w:t xml:space="preserve">- </w:t>
      </w:r>
      <w:proofErr w:type="spellStart"/>
      <w:r>
        <w:t>ingly</w:t>
      </w:r>
      <w:proofErr w:type="spellEnd"/>
      <w:r>
        <w:t xml:space="preserve"> little work has been devoted to answering it. This might reflect an influence of the prevailing conservation- biology paradigms and their emphasis on extinction rather than recovery, resulting in greater study being directed to strong rather than weak Allee effects ([13,30,36]; ISI Web of Science searches). </w:t>
      </w:r>
    </w:p>
    <w:bookmarkEnd w:id="2"/>
    <w:p w14:paraId="1170E59D" w14:textId="77777777" w:rsidR="00CA0E4B" w:rsidRDefault="00CA0E4B" w:rsidP="009149B3"/>
    <w:p w14:paraId="411B29EA" w14:textId="77777777" w:rsidR="00CA0E4B" w:rsidRDefault="00CA0E4B" w:rsidP="009149B3"/>
    <w:p w14:paraId="57E16C6C" w14:textId="54A80488" w:rsidR="00CA0E4B" w:rsidRDefault="00CA0E4B" w:rsidP="009149B3">
      <w:r>
        <w:t xml:space="preserve">From Jacobsen and Essington: </w:t>
      </w:r>
      <w:bookmarkStart w:id="3" w:name="_Hlk218170346"/>
      <w:r w:rsidRPr="00CA0E4B">
        <w:t xml:space="preserve">Here, we quantified the role of natural mortality fluctuations </w:t>
      </w:r>
      <w:proofErr w:type="spellStart"/>
      <w:r w:rsidRPr="00CA0E4B">
        <w:t>onforage</w:t>
      </w:r>
      <w:proofErr w:type="spellEnd"/>
      <w:r w:rsidRPr="00CA0E4B">
        <w:t xml:space="preserve"> fish population dynamics, illustrating a depensatory trend </w:t>
      </w:r>
      <w:proofErr w:type="spellStart"/>
      <w:r w:rsidRPr="00CA0E4B">
        <w:t>inmortality</w:t>
      </w:r>
      <w:proofErr w:type="spellEnd"/>
      <w:r w:rsidRPr="00CA0E4B">
        <w:t xml:space="preserve"> in periods of population cycles leading to population </w:t>
      </w:r>
      <w:proofErr w:type="spellStart"/>
      <w:r w:rsidRPr="00CA0E4B">
        <w:t>peaksand</w:t>
      </w:r>
      <w:proofErr w:type="spellEnd"/>
      <w:r w:rsidRPr="00CA0E4B">
        <w:t xml:space="preserve"> troughs. Namely, we found that density-dependent </w:t>
      </w:r>
      <w:proofErr w:type="spellStart"/>
      <w:r w:rsidRPr="00CA0E4B">
        <w:t>mortalityworked</w:t>
      </w:r>
      <w:proofErr w:type="spellEnd"/>
      <w:r w:rsidRPr="00CA0E4B">
        <w:t xml:space="preserve"> in two ways: on average mortality increased before a </w:t>
      </w:r>
      <w:proofErr w:type="spellStart"/>
      <w:r w:rsidRPr="00CA0E4B">
        <w:t>troughand</w:t>
      </w:r>
      <w:proofErr w:type="spellEnd"/>
      <w:r w:rsidRPr="00CA0E4B">
        <w:t xml:space="preserve"> decreased before a peak, albeit with a stronger signal </w:t>
      </w:r>
      <w:proofErr w:type="spellStart"/>
      <w:r w:rsidRPr="00CA0E4B">
        <w:t>beforetrough</w:t>
      </w:r>
      <w:proofErr w:type="spellEnd"/>
      <w:r w:rsidRPr="00CA0E4B">
        <w:t xml:space="preserve">. The analysis also showed that the peaks and troughs </w:t>
      </w:r>
      <w:proofErr w:type="spellStart"/>
      <w:r w:rsidRPr="00CA0E4B">
        <w:t>wouldhave</w:t>
      </w:r>
      <w:proofErr w:type="spellEnd"/>
      <w:r w:rsidRPr="00CA0E4B">
        <w:t xml:space="preserve"> occurred if mortality was constant, but in smaller magnitudes(Figure 4). This result does not implicate that mortality will always </w:t>
      </w:r>
      <w:proofErr w:type="spellStart"/>
      <w:r w:rsidRPr="00CA0E4B">
        <w:t>bedepensatory</w:t>
      </w:r>
      <w:proofErr w:type="spellEnd"/>
      <w:r w:rsidRPr="00CA0E4B">
        <w:t xml:space="preserve"> during population cycles, but that depensatory mortal-</w:t>
      </w:r>
      <w:proofErr w:type="spellStart"/>
      <w:r w:rsidRPr="00CA0E4B">
        <w:t>ity</w:t>
      </w:r>
      <w:proofErr w:type="spellEnd"/>
      <w:r w:rsidRPr="00CA0E4B">
        <w:t xml:space="preserve"> is frequently occurring in forage fish populations. As fishing am-</w:t>
      </w:r>
      <w:proofErr w:type="spellStart"/>
      <w:r w:rsidRPr="00CA0E4B">
        <w:t>plifies</w:t>
      </w:r>
      <w:proofErr w:type="spellEnd"/>
      <w:r w:rsidRPr="00CA0E4B">
        <w:t xml:space="preserve"> crashes in forage fish populations (</w:t>
      </w:r>
      <w:proofErr w:type="spellStart"/>
      <w:r w:rsidRPr="00CA0E4B">
        <w:t>Beverton</w:t>
      </w:r>
      <w:proofErr w:type="spellEnd"/>
      <w:r w:rsidRPr="00CA0E4B">
        <w:t xml:space="preserve">, 1990; </w:t>
      </w:r>
      <w:proofErr w:type="spellStart"/>
      <w:r w:rsidRPr="00CA0E4B">
        <w:t>Essingtonet</w:t>
      </w:r>
      <w:proofErr w:type="spellEnd"/>
      <w:r w:rsidRPr="00CA0E4B">
        <w:t xml:space="preserve"> al., 2015), the effects of natural and fishing mortality are </w:t>
      </w:r>
      <w:proofErr w:type="spellStart"/>
      <w:r w:rsidRPr="00CA0E4B">
        <w:t>likelysynergistic</w:t>
      </w:r>
      <w:proofErr w:type="spellEnd"/>
      <w:r w:rsidRPr="00CA0E4B">
        <w:t xml:space="preserve"> in contributing to the large-scale fluctuations often </w:t>
      </w:r>
      <w:proofErr w:type="spellStart"/>
      <w:r w:rsidRPr="00CA0E4B">
        <w:t>ob</w:t>
      </w:r>
      <w:proofErr w:type="spellEnd"/>
      <w:r w:rsidRPr="00CA0E4B">
        <w:t xml:space="preserve">-served in forage fish populations. This work contributes to </w:t>
      </w:r>
      <w:proofErr w:type="spellStart"/>
      <w:r w:rsidRPr="00CA0E4B">
        <w:t>specificcase</w:t>
      </w:r>
      <w:proofErr w:type="spellEnd"/>
      <w:r w:rsidRPr="00CA0E4B">
        <w:t>-studies illustrating Allee effects and depensation (Gascoigne &amp;</w:t>
      </w:r>
      <w:proofErr w:type="spellStart"/>
      <w:r w:rsidRPr="00CA0E4B">
        <w:t>Lipcius</w:t>
      </w:r>
      <w:proofErr w:type="spellEnd"/>
      <w:r w:rsidRPr="00CA0E4B">
        <w:t xml:space="preserve">, 2004; Wood, 1987), but is the first to demonstrate </w:t>
      </w:r>
      <w:proofErr w:type="spellStart"/>
      <w:r w:rsidRPr="00CA0E4B">
        <w:t>naturalmortality</w:t>
      </w:r>
      <w:proofErr w:type="spellEnd"/>
      <w:r w:rsidRPr="00CA0E4B">
        <w:t xml:space="preserve"> as a widespread depensatory mechanism across </w:t>
      </w:r>
      <w:proofErr w:type="spellStart"/>
      <w:r w:rsidRPr="00CA0E4B">
        <w:t>multiplemarine</w:t>
      </w:r>
      <w:proofErr w:type="spellEnd"/>
      <w:r w:rsidRPr="00CA0E4B">
        <w:t xml:space="preserve"> fish populations</w:t>
      </w:r>
      <w:bookmarkEnd w:id="3"/>
    </w:p>
    <w:p w14:paraId="192A4504" w14:textId="77777777" w:rsidR="009B3FFA" w:rsidRPr="009149B3" w:rsidRDefault="009B3FFA" w:rsidP="009B3FFA">
      <w:pPr>
        <w:tabs>
          <w:tab w:val="num" w:pos="720"/>
        </w:tabs>
        <w:rPr>
          <w:rFonts w:cs="Arial"/>
        </w:rPr>
      </w:pPr>
    </w:p>
    <w:p w14:paraId="05A66F77" w14:textId="77777777" w:rsidR="009B3FFA" w:rsidRDefault="009B3FFA" w:rsidP="009B3FFA">
      <w:pPr>
        <w:rPr>
          <w:rFonts w:cs="Arial"/>
        </w:rPr>
      </w:pPr>
      <w:r w:rsidRPr="009149B3">
        <w:rPr>
          <w:rFonts w:cs="Arial"/>
          <w:highlight w:val="yellow"/>
        </w:rPr>
        <w:lastRenderedPageBreak/>
        <w:t>Maybe - Investigate the likely sources of the Allee effects by looking for signs of depensation in stock recruit relationships, and M analysis? Other productivity drivers</w:t>
      </w:r>
    </w:p>
    <w:p w14:paraId="5D0EE6DE" w14:textId="77777777" w:rsidR="009B3FFA" w:rsidRDefault="009B3FFA" w:rsidP="009B3FFA">
      <w:pPr>
        <w:rPr>
          <w:rFonts w:cs="Arial"/>
        </w:rPr>
      </w:pPr>
    </w:p>
    <w:p w14:paraId="1FBBCD29" w14:textId="77777777" w:rsidR="009B3FFA" w:rsidRDefault="009B3FFA" w:rsidP="009B3FFA">
      <w:pPr>
        <w:rPr>
          <w:rFonts w:cs="Arial"/>
        </w:rPr>
      </w:pPr>
      <w:r w:rsidRPr="00672D7B">
        <w:rPr>
          <w:rFonts w:cs="Arial"/>
          <w:highlight w:val="yellow"/>
        </w:rPr>
        <w:t>Allee effects are most often investigated via stock recruit relationships, however the mechanism is a decrease in the production rate, which does not necessarily translate to a decrease in recruitment rate. Other drivers (</w:t>
      </w:r>
      <w:proofErr w:type="spellStart"/>
      <w:r w:rsidRPr="00672D7B">
        <w:rPr>
          <w:rFonts w:cs="Arial"/>
          <w:highlight w:val="yellow"/>
        </w:rPr>
        <w:t>growth,maturity</w:t>
      </w:r>
      <w:proofErr w:type="spellEnd"/>
      <w:r w:rsidRPr="00672D7B">
        <w:rPr>
          <w:rFonts w:cs="Arial"/>
          <w:highlight w:val="yellow"/>
        </w:rPr>
        <w:t xml:space="preserve"> and mortality) can also contribute to the emergence of </w:t>
      </w:r>
      <w:proofErr w:type="spellStart"/>
      <w:r w:rsidRPr="00672D7B">
        <w:rPr>
          <w:rFonts w:cs="Arial"/>
          <w:highlight w:val="yellow"/>
        </w:rPr>
        <w:t>allee</w:t>
      </w:r>
      <w:proofErr w:type="spellEnd"/>
      <w:r w:rsidRPr="00672D7B">
        <w:rPr>
          <w:rFonts w:cs="Arial"/>
          <w:highlight w:val="yellow"/>
        </w:rPr>
        <w:t xml:space="preserve"> effects.</w:t>
      </w:r>
    </w:p>
    <w:p w14:paraId="7D240DB0" w14:textId="77777777" w:rsidR="009149B3" w:rsidRDefault="009149B3" w:rsidP="00C23353"/>
    <w:sectPr w:rsidR="009149B3">
      <w:headerReference w:type="even" r:id="rId16"/>
      <w:headerReference w:type="default" r:id="rId17"/>
      <w:head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urcotte, François (DFO/MPO)" w:date="2026-01-01T15:54:00Z" w:initials="FT">
    <w:p w14:paraId="0C1BD635" w14:textId="77777777" w:rsidR="009000AD" w:rsidRDefault="009000AD" w:rsidP="009000AD">
      <w:pPr>
        <w:pStyle w:val="CommentText"/>
      </w:pPr>
      <w:r>
        <w:rPr>
          <w:rStyle w:val="CommentReference"/>
        </w:rPr>
        <w:annotationRef/>
      </w:r>
      <w:r>
        <w:t>Check that refs are still valid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BD6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C5DE57" w16cex:dateUtc="2026-01-01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BD635" w16cid:durableId="4EC5DE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49587" w14:textId="77777777" w:rsidR="00C36EA8" w:rsidRDefault="00C36EA8" w:rsidP="00C23353">
      <w:pPr>
        <w:spacing w:after="0" w:line="240" w:lineRule="auto"/>
      </w:pPr>
      <w:r>
        <w:separator/>
      </w:r>
    </w:p>
  </w:endnote>
  <w:endnote w:type="continuationSeparator" w:id="0">
    <w:p w14:paraId="3621DAFE" w14:textId="77777777" w:rsidR="00C36EA8" w:rsidRDefault="00C36EA8"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E6173" w14:textId="77777777" w:rsidR="00C36EA8" w:rsidRDefault="00C36EA8" w:rsidP="00C23353">
      <w:pPr>
        <w:spacing w:after="0" w:line="240" w:lineRule="auto"/>
      </w:pPr>
      <w:r>
        <w:separator/>
      </w:r>
    </w:p>
  </w:footnote>
  <w:footnote w:type="continuationSeparator" w:id="0">
    <w:p w14:paraId="0B720A0A" w14:textId="77777777" w:rsidR="00C36EA8" w:rsidRDefault="00C36EA8"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9F022" w14:textId="056B7835"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2B521" w14:textId="153973D8"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376E" w14:textId="55CFC1E1"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133294">
    <w:abstractNumId w:val="0"/>
  </w:num>
  <w:num w:numId="2" w16cid:durableId="4032575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urcotte, François (DFO/MPO)">
    <w15:presenceInfo w15:providerId="AD" w15:userId="S::Francois.Turcotte@dfo-mpo.gc.ca::97ed8cfd-390e-4e3b-8ea4-6053e9c15d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55"/>
    <w:rsid w:val="0006744B"/>
    <w:rsid w:val="000B04CC"/>
    <w:rsid w:val="000F196C"/>
    <w:rsid w:val="001D4A58"/>
    <w:rsid w:val="0021289B"/>
    <w:rsid w:val="0029046C"/>
    <w:rsid w:val="002E07CA"/>
    <w:rsid w:val="0032630D"/>
    <w:rsid w:val="003D1E89"/>
    <w:rsid w:val="003E2455"/>
    <w:rsid w:val="003F7F71"/>
    <w:rsid w:val="00494B72"/>
    <w:rsid w:val="004A7342"/>
    <w:rsid w:val="004C200E"/>
    <w:rsid w:val="00515B8C"/>
    <w:rsid w:val="00517F42"/>
    <w:rsid w:val="005538EA"/>
    <w:rsid w:val="00570DD7"/>
    <w:rsid w:val="00612589"/>
    <w:rsid w:val="00651716"/>
    <w:rsid w:val="00672D7B"/>
    <w:rsid w:val="006C4694"/>
    <w:rsid w:val="0072607F"/>
    <w:rsid w:val="00763FD2"/>
    <w:rsid w:val="007A2B00"/>
    <w:rsid w:val="007C1359"/>
    <w:rsid w:val="007E0C1C"/>
    <w:rsid w:val="00825082"/>
    <w:rsid w:val="009000AD"/>
    <w:rsid w:val="009149B3"/>
    <w:rsid w:val="00932197"/>
    <w:rsid w:val="00972F3E"/>
    <w:rsid w:val="009B3FFA"/>
    <w:rsid w:val="00A95AC9"/>
    <w:rsid w:val="00AB56EB"/>
    <w:rsid w:val="00AB6F41"/>
    <w:rsid w:val="00B520C0"/>
    <w:rsid w:val="00B74207"/>
    <w:rsid w:val="00BA1E1F"/>
    <w:rsid w:val="00BA5F40"/>
    <w:rsid w:val="00BE1103"/>
    <w:rsid w:val="00C23353"/>
    <w:rsid w:val="00C36EA8"/>
    <w:rsid w:val="00C7442A"/>
    <w:rsid w:val="00CA0E4B"/>
    <w:rsid w:val="00D04AFD"/>
    <w:rsid w:val="00D12369"/>
    <w:rsid w:val="00D27319"/>
    <w:rsid w:val="00D820CF"/>
    <w:rsid w:val="00DD5182"/>
    <w:rsid w:val="00DE32AE"/>
    <w:rsid w:val="00DE78B6"/>
    <w:rsid w:val="00E37E85"/>
    <w:rsid w:val="00F13184"/>
    <w:rsid w:val="00F3430B"/>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styleId="UnresolvedMention">
    <w:name w:val="Unresolved Mention"/>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4.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93/icesjms/fsu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1694</TotalTime>
  <Pages>14</Pages>
  <Words>2534</Words>
  <Characters>14449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21</cp:revision>
  <dcterms:created xsi:type="dcterms:W3CDTF">2025-12-18T12:23:00Z</dcterms:created>
  <dcterms:modified xsi:type="dcterms:W3CDTF">2026-01-01T21:23:00Z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