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30C5C" w14:textId="77777777" w:rsidR="009B7D76" w:rsidRPr="00345836" w:rsidRDefault="0029046C" w:rsidP="00345836">
      <w:pPr>
        <w:pStyle w:val="Title"/>
        <w:rPr>
          <w:rFonts w:ascii="Arial" w:hAnsi="Arial" w:cs="Arial"/>
          <w:sz w:val="32"/>
          <w:szCs w:val="32"/>
        </w:rPr>
      </w:pPr>
      <w:r w:rsidRPr="00345836">
        <w:rPr>
          <w:rFonts w:ascii="Arial" w:hAnsi="Arial" w:cs="Arial"/>
          <w:sz w:val="32"/>
          <w:szCs w:val="32"/>
        </w:rPr>
        <w:t>Lack of recovery</w:t>
      </w:r>
      <w:r w:rsidR="009B7D76" w:rsidRPr="00345836">
        <w:rPr>
          <w:rFonts w:ascii="Arial" w:hAnsi="Arial" w:cs="Arial"/>
          <w:sz w:val="32"/>
          <w:szCs w:val="32"/>
        </w:rPr>
        <w:t>, decreasing production at low stock size</w:t>
      </w:r>
      <w:r w:rsidRPr="00345836">
        <w:rPr>
          <w:rFonts w:ascii="Arial" w:hAnsi="Arial" w:cs="Arial"/>
          <w:sz w:val="32"/>
          <w:szCs w:val="32"/>
        </w:rPr>
        <w:t xml:space="preserve"> and Alle</w:t>
      </w:r>
      <w:r w:rsidR="009B7D76" w:rsidRPr="00345836">
        <w:rPr>
          <w:rFonts w:ascii="Arial" w:hAnsi="Arial" w:cs="Arial"/>
          <w:sz w:val="32"/>
          <w:szCs w:val="32"/>
        </w:rPr>
        <w:t>e</w:t>
      </w:r>
      <w:r w:rsidRPr="00345836">
        <w:rPr>
          <w:rFonts w:ascii="Arial" w:hAnsi="Arial" w:cs="Arial"/>
          <w:sz w:val="32"/>
          <w:szCs w:val="32"/>
        </w:rPr>
        <w:t xml:space="preserve"> </w:t>
      </w:r>
    </w:p>
    <w:p w14:paraId="57FE0B9F" w14:textId="77777777" w:rsidR="0029046C" w:rsidRDefault="0029046C" w:rsidP="00345836">
      <w:pPr>
        <w:pStyle w:val="Title"/>
        <w:rPr>
          <w:rFonts w:ascii="Arial" w:hAnsi="Arial" w:cs="Arial"/>
          <w:sz w:val="32"/>
          <w:szCs w:val="32"/>
        </w:rPr>
      </w:pPr>
      <w:r w:rsidRPr="00345836">
        <w:rPr>
          <w:rFonts w:ascii="Arial" w:hAnsi="Arial" w:cs="Arial"/>
          <w:sz w:val="32"/>
          <w:szCs w:val="32"/>
        </w:rPr>
        <w:t xml:space="preserve">effect </w:t>
      </w:r>
      <w:r w:rsidR="00763FD2" w:rsidRPr="00345836">
        <w:rPr>
          <w:rFonts w:ascii="Arial" w:hAnsi="Arial" w:cs="Arial"/>
          <w:sz w:val="32"/>
          <w:szCs w:val="32"/>
        </w:rPr>
        <w:t xml:space="preserve">strength </w:t>
      </w:r>
      <w:r w:rsidR="007A2B00" w:rsidRPr="00345836">
        <w:rPr>
          <w:rFonts w:ascii="Arial" w:hAnsi="Arial" w:cs="Arial"/>
          <w:sz w:val="32"/>
          <w:szCs w:val="32"/>
        </w:rPr>
        <w:t>in</w:t>
      </w:r>
      <w:r w:rsidRPr="00345836">
        <w:rPr>
          <w:rFonts w:ascii="Arial" w:hAnsi="Arial" w:cs="Arial"/>
          <w:sz w:val="32"/>
          <w:szCs w:val="32"/>
        </w:rPr>
        <w:t xml:space="preserve"> Atlantic cod stocks</w:t>
      </w:r>
    </w:p>
    <w:p w14:paraId="12EF447C" w14:textId="7F1E9BF3" w:rsidR="002E2E3E" w:rsidRDefault="002E2E3E" w:rsidP="002E2E3E">
      <w:pPr>
        <w:rPr>
          <w:lang w:val="fr-CA"/>
        </w:rPr>
      </w:pPr>
      <w:r w:rsidRPr="002E2E3E">
        <w:rPr>
          <w:lang w:val="fr-CA"/>
        </w:rPr>
        <w:t>François Turcotte</w:t>
      </w:r>
      <w:r w:rsidRPr="002E2E3E">
        <w:rPr>
          <w:vertAlign w:val="superscript"/>
          <w:lang w:val="fr-CA"/>
        </w:rPr>
        <w:t>1</w:t>
      </w:r>
      <w:r w:rsidRPr="002E2E3E">
        <w:rPr>
          <w:lang w:val="fr-CA"/>
        </w:rPr>
        <w:t>, Tim</w:t>
      </w:r>
      <w:r>
        <w:rPr>
          <w:lang w:val="fr-CA"/>
        </w:rPr>
        <w:t>othy J. Barret</w:t>
      </w:r>
      <w:r w:rsidRPr="002E2E3E">
        <w:rPr>
          <w:vertAlign w:val="superscript"/>
          <w:lang w:val="fr-CA"/>
        </w:rPr>
        <w:t>2</w:t>
      </w:r>
    </w:p>
    <w:p w14:paraId="4DEEB578" w14:textId="5B64C00B" w:rsidR="002E2E3E" w:rsidRPr="002E2E3E" w:rsidRDefault="002E2E3E" w:rsidP="002E2E3E">
      <w:r w:rsidRPr="002E2E3E">
        <w:rPr>
          <w:vertAlign w:val="superscript"/>
        </w:rPr>
        <w:t>1</w:t>
      </w:r>
      <w:r w:rsidRPr="002E2E3E">
        <w:t>Fisheries and Oceans Canada, Gulf Fisheries Centre, Moncton, NB E1C 9B6, Canada</w:t>
      </w:r>
    </w:p>
    <w:p w14:paraId="143B7A3A" w14:textId="432847C7" w:rsidR="002E2E3E" w:rsidRDefault="002E2E3E" w:rsidP="002E2E3E">
      <w:pPr>
        <w:pStyle w:val="Heading1"/>
        <w:rPr>
          <w:rFonts w:asciiTheme="minorHAnsi" w:eastAsiaTheme="minorHAnsi" w:hAnsiTheme="minorHAnsi" w:cstheme="minorBidi"/>
          <w:color w:val="auto"/>
          <w:sz w:val="24"/>
          <w:szCs w:val="24"/>
        </w:rPr>
      </w:pPr>
      <w:r w:rsidRPr="002E2E3E">
        <w:rPr>
          <w:rFonts w:asciiTheme="minorHAnsi" w:eastAsiaTheme="minorHAnsi" w:hAnsiTheme="minorHAnsi" w:cstheme="minorBidi"/>
          <w:color w:val="auto"/>
          <w:sz w:val="24"/>
          <w:szCs w:val="24"/>
          <w:vertAlign w:val="superscript"/>
        </w:rPr>
        <w:t>2</w:t>
      </w:r>
      <w:r w:rsidRPr="002E2E3E">
        <w:rPr>
          <w:rFonts w:asciiTheme="minorHAnsi" w:eastAsiaTheme="minorHAnsi" w:hAnsiTheme="minorHAnsi" w:cstheme="minorBidi"/>
          <w:color w:val="auto"/>
          <w:sz w:val="24"/>
          <w:szCs w:val="24"/>
        </w:rPr>
        <w:t>Fisheries and Oceans Canada, St. Andrews Biological Station, St Andrews, NB E5B 2L9, Canada</w:t>
      </w:r>
    </w:p>
    <w:p w14:paraId="3F61824F" w14:textId="77777777" w:rsidR="002E2E3E" w:rsidRDefault="002E2E3E" w:rsidP="002E2E3E"/>
    <w:p w14:paraId="0CAB243A" w14:textId="3E003FC3" w:rsidR="002E2E3E" w:rsidRDefault="002E2E3E" w:rsidP="002E2E3E">
      <w:r>
        <w:t xml:space="preserve">Keywords: Atlantic Cod, stock recovery, Allee effects, population dynamics  </w:t>
      </w:r>
    </w:p>
    <w:p w14:paraId="15E404FB" w14:textId="77777777" w:rsidR="002E2E3E" w:rsidRDefault="002E2E3E" w:rsidP="002E2E3E"/>
    <w:p w14:paraId="5A3B9364" w14:textId="2A9AF634" w:rsidR="002E2E3E" w:rsidRDefault="002E2E3E" w:rsidP="002E2E3E">
      <w:r>
        <w:t>Abstract</w:t>
      </w:r>
    </w:p>
    <w:p w14:paraId="78A4296A" w14:textId="3F9E118C" w:rsidR="002E2E3E" w:rsidRDefault="002E2E3E" w:rsidP="002E2E3E">
      <w:r>
        <w:t>Limited recovery following widespread collapses of Atlantic cod (Gadus morhua) stocks suggests that depensatory processes may constrain rebuilding. We evaluated the presence and strength of Allee effects across 24 cod stocks using a surplus production framework that integrates recruitment, somatic growth, and natural mortality. Surplus production was derived from catch and biomass time series, and per capita production rates were analyzed as a function of biomass using segmented regressions to identify Allee effect thresholds. The strength of depensation was quantified as the relative reduction in production at low biomass compared to expected compensatory dynamics.</w:t>
      </w:r>
      <w:r>
        <w:t xml:space="preserve"> </w:t>
      </w:r>
      <w:r>
        <w:t>All stocks declined below a proxy limit reference point (40% of maximum observed biomass), indicating widespread collapse; however, recovery trajectories varied substantially. Stocks that recovered generally maintained positive production at low biomass and exhibited weak or no evidence of Allee effects. In contrast, non-recovering stocks frequently displayed strong depensatory dynamics, with near-zero or negative production at their lowest observed biomass. The strength of the Allee effect was positively associated with both the severity of depletion and the likelihood of failed recovery. Some stocks without detectable Allee effects also failed to recover, reflecting persistently low productivity across their biomass range.</w:t>
      </w:r>
      <w:r>
        <w:t xml:space="preserve"> </w:t>
      </w:r>
      <w:r>
        <w:t>These results demonstrate that surplus production dynamics provide a robust and integrative framework for detecting and quantifying Allee effects. Recovery potential in Atlantic cod appears to depend jointly on depletion severity, productivity at low biomass, and the strength of depensatory processes.</w:t>
      </w:r>
      <w:r>
        <w:br w:type="page"/>
      </w:r>
    </w:p>
    <w:p w14:paraId="4810C9AC" w14:textId="041DEC7E" w:rsidR="00AB6F41" w:rsidRPr="002E2E3E" w:rsidRDefault="00AB6F41" w:rsidP="002E2E3E">
      <w:pPr>
        <w:pStyle w:val="Heading1"/>
        <w:rPr>
          <w:rFonts w:ascii="Arial" w:hAnsi="Arial" w:cs="Arial"/>
          <w:sz w:val="24"/>
          <w:szCs w:val="24"/>
        </w:rPr>
      </w:pPr>
      <w:bookmarkStart w:id="0" w:name="_Hlk224820388"/>
      <w:r w:rsidRPr="002E2E3E">
        <w:rPr>
          <w:rFonts w:ascii="Arial" w:hAnsi="Arial" w:cs="Arial"/>
          <w:color w:val="auto"/>
          <w:sz w:val="24"/>
          <w:szCs w:val="24"/>
        </w:rPr>
        <w:lastRenderedPageBreak/>
        <w:t>Introduction</w:t>
      </w:r>
    </w:p>
    <w:p w14:paraId="4715AF70" w14:textId="62B3A073" w:rsidR="009000AD" w:rsidRPr="00345836" w:rsidRDefault="00AD68D4" w:rsidP="009000AD">
      <w:pPr>
        <w:spacing w:before="240" w:after="0" w:line="276" w:lineRule="auto"/>
        <w:rPr>
          <w:rFonts w:ascii="Arial" w:hAnsi="Arial" w:cs="Arial"/>
        </w:rPr>
      </w:pPr>
      <w:r w:rsidRPr="00AD68D4">
        <w:rPr>
          <w:rFonts w:ascii="Arial" w:hAnsi="Arial" w:cs="Arial"/>
          <w:highlight w:val="red"/>
        </w:rPr>
        <w:t>Sentence about stocks collapse and lack of recovery.</w:t>
      </w:r>
      <w:r>
        <w:rPr>
          <w:rFonts w:ascii="Arial" w:hAnsi="Arial" w:cs="Arial"/>
        </w:rPr>
        <w:t xml:space="preserve"> </w:t>
      </w:r>
      <w:r w:rsidR="009000AD" w:rsidRPr="00345836">
        <w:rPr>
          <w:rFonts w:ascii="Arial" w:hAnsi="Arial" w:cs="Arial"/>
        </w:rPr>
        <w:t>Under typical density</w:t>
      </w:r>
      <w:r w:rsidR="009000AD" w:rsidRPr="00345836">
        <w:rPr>
          <w:rFonts w:ascii="Cambria Math" w:hAnsi="Cambria Math" w:cs="Cambria Math"/>
        </w:rPr>
        <w:t>‐</w:t>
      </w:r>
      <w:r w:rsidR="009000AD" w:rsidRPr="00345836">
        <w:rPr>
          <w:rFonts w:ascii="Arial" w:hAnsi="Arial"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(Courchamp et al. 1999; Minto et al. 2008; Neubauer et al. 2013).</w:t>
      </w:r>
    </w:p>
    <w:p w14:paraId="25F8415E" w14:textId="77777777" w:rsidR="009000AD" w:rsidRPr="00345836" w:rsidRDefault="009000AD" w:rsidP="009000AD">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Gadus morhua</w:t>
      </w:r>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3FF07948" w14:textId="77777777" w:rsidR="009000AD" w:rsidRPr="00345836" w:rsidRDefault="009000AD" w:rsidP="009000AD">
      <w:pPr>
        <w:spacing w:before="240" w:after="0" w:line="276" w:lineRule="auto"/>
        <w:rPr>
          <w:rFonts w:ascii="Arial" w:hAnsi="Arial" w:cs="Arial"/>
        </w:rPr>
      </w:pPr>
      <w:r w:rsidRPr="00345836">
        <w:rPr>
          <w:rFonts w:ascii="Arial" w:hAnsi="Arial" w:cs="Arial"/>
        </w:rPr>
        <w:t>Surplus production provides an integrative framework for examining Allee effects arising from multiple biological processes. Surplus production represents the net change in biomass in the absence of fishing and reflects the combined effects of recruitment, somatic growth, maturity, and natural mortality. As such, surplus production dynamics are sensitive to depensatory processes regardless of whether they originate from reduced recruitment, elevated mortality, or changes in population demography induced by fishing</w:t>
      </w:r>
      <w:r w:rsidR="00681D03" w:rsidRPr="00345836">
        <w:rPr>
          <w:rFonts w:ascii="Arial" w:hAnsi="Arial" w:cs="Arial"/>
        </w:rPr>
        <w:t xml:space="preserve"> or environmental effects</w:t>
      </w:r>
      <w:r w:rsidRPr="00345836">
        <w:rPr>
          <w:rFonts w:ascii="Arial" w:hAnsi="Arial" w:cs="Arial"/>
        </w:rPr>
        <w:t xml:space="preserve">. Despite this, few studies have </w:t>
      </w:r>
      <w:r w:rsidR="00681D03" w:rsidRPr="00345836">
        <w:rPr>
          <w:rFonts w:ascii="Arial" w:hAnsi="Arial" w:cs="Arial"/>
        </w:rPr>
        <w:t>derived</w:t>
      </w:r>
      <w:r w:rsidRPr="00345836">
        <w:rPr>
          <w:rFonts w:ascii="Arial" w:hAnsi="Arial" w:cs="Arial"/>
        </w:rPr>
        <w:t xml:space="preserve"> Allee effects </w:t>
      </w:r>
      <w:r w:rsidR="00681D03" w:rsidRPr="00345836">
        <w:rPr>
          <w:rFonts w:ascii="Arial" w:hAnsi="Arial" w:cs="Arial"/>
        </w:rPr>
        <w:t xml:space="preserve">from production analyses and quantified the strength of depensation </w:t>
      </w:r>
      <w:r w:rsidRPr="00345836">
        <w:rPr>
          <w:rFonts w:ascii="Arial" w:hAnsi="Arial" w:cs="Arial"/>
        </w:rPr>
        <w:t>across multiple cod stocks</w:t>
      </w:r>
      <w:r w:rsidR="00681D03" w:rsidRPr="00345836">
        <w:rPr>
          <w:rFonts w:ascii="Arial" w:hAnsi="Arial" w:cs="Arial"/>
        </w:rPr>
        <w:t>.</w:t>
      </w:r>
      <w:r w:rsidRPr="00345836">
        <w:rPr>
          <w:rFonts w:ascii="Arial" w:hAnsi="Arial" w:cs="Arial"/>
        </w:rPr>
        <w:t xml:space="preserve"> </w:t>
      </w:r>
    </w:p>
    <w:p w14:paraId="07699999" w14:textId="77777777" w:rsidR="00F3430B" w:rsidRPr="00345836" w:rsidRDefault="00DE32AE" w:rsidP="009000AD">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 xml:space="preserve">in surplus production </w:t>
      </w:r>
      <w:r w:rsidRPr="00345836">
        <w:rPr>
          <w:rFonts w:ascii="Arial" w:hAnsi="Arial" w:cs="Arial"/>
        </w:rPr>
        <w:lastRenderedPageBreak/>
        <w:t>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p>
    <w:p w14:paraId="79363F45" w14:textId="77777777" w:rsidR="003D1E89" w:rsidRPr="00345836" w:rsidRDefault="003D1E89" w:rsidP="00AB6F41">
      <w:pPr>
        <w:pStyle w:val="Heading1"/>
        <w:rPr>
          <w:rFonts w:ascii="Arial" w:hAnsi="Arial" w:cs="Arial"/>
          <w:sz w:val="24"/>
          <w:szCs w:val="24"/>
        </w:rPr>
      </w:pPr>
      <w:r w:rsidRPr="00345836">
        <w:rPr>
          <w:rFonts w:ascii="Arial" w:hAnsi="Arial" w:cs="Arial"/>
          <w:color w:val="auto"/>
          <w:sz w:val="24"/>
          <w:szCs w:val="24"/>
        </w:rPr>
        <w:t>Methods</w:t>
      </w:r>
    </w:p>
    <w:p w14:paraId="31263F37" w14:textId="662643AD" w:rsidR="00932197" w:rsidRPr="00345836" w:rsidRDefault="002E0419" w:rsidP="00F3430B">
      <w:pPr>
        <w:rPr>
          <w:rFonts w:ascii="Arial" w:hAnsi="Arial" w:cs="Arial"/>
        </w:rPr>
      </w:pPr>
      <w:r w:rsidRPr="00345836">
        <w:rPr>
          <w:rFonts w:ascii="Arial" w:hAnsi="Arial" w:cs="Arial"/>
        </w:rPr>
        <w:t>Atlantic Cod st</w:t>
      </w:r>
      <w:r w:rsidR="00AD68D4">
        <w:rPr>
          <w:rFonts w:ascii="Arial" w:hAnsi="Arial" w:cs="Arial"/>
        </w:rPr>
        <w:t>o</w:t>
      </w:r>
      <w:r w:rsidRPr="00345836">
        <w:rPr>
          <w:rFonts w:ascii="Arial" w:hAnsi="Arial" w:cs="Arial"/>
        </w:rPr>
        <w:t>cks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B25A0F" w:rsidRPr="00345836">
        <w:rPr>
          <w:rFonts w:ascii="Arial" w:hAnsi="Arial" w:cs="Arial"/>
        </w:rPr>
        <w:t xml:space="preserve">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345836">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000000" w:rsidP="00345836">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345836">
      <w:pPr>
        <w:pStyle w:val="BodyText"/>
        <w:spacing w:line="276" w:lineRule="auto"/>
        <w:rPr>
          <w:rFonts w:cs="Arial"/>
          <w:lang w:val="en-CA"/>
        </w:rPr>
      </w:pPr>
      <w:r w:rsidRPr="00345836">
        <w:rPr>
          <w:rFonts w:cs="Arial"/>
        </w:rPr>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345836">
      <w:pPr>
        <w:pStyle w:val="BodyText"/>
        <w:spacing w:line="276" w:lineRule="auto"/>
        <w:rPr>
          <w:rFonts w:cs="Arial"/>
          <w:lang w:val="en-CA"/>
        </w:rPr>
      </w:pPr>
      <w:r w:rsidRPr="00345836">
        <w:rPr>
          <w:rFonts w:cs="Arial"/>
          <w:lang w:val="en-CA"/>
        </w:rPr>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345836">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Pr="00345836" w:rsidRDefault="00345836" w:rsidP="00345836">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3A92C98F" w14:textId="77777777" w:rsidR="00345836" w:rsidRPr="00345836" w:rsidRDefault="00345836" w:rsidP="00F3430B">
      <w:pPr>
        <w:rPr>
          <w:rFonts w:ascii="Arial" w:hAnsi="Arial" w:cs="Arial"/>
          <w:lang w:val="en-CA"/>
        </w:rPr>
      </w:pPr>
    </w:p>
    <w:p w14:paraId="66826AB4" w14:textId="77777777" w:rsidR="00AA0B61" w:rsidRDefault="00AA0B61">
      <w:r>
        <w:br w:type="page"/>
      </w:r>
    </w:p>
    <w:p w14:paraId="34445E39" w14:textId="77777777" w:rsidR="00AA0B61" w:rsidRPr="00932197" w:rsidRDefault="00AA0B61" w:rsidP="00F3430B"/>
    <w:p w14:paraId="29C2A1A6" w14:textId="74F08887" w:rsidR="004441D1" w:rsidRPr="004441D1" w:rsidRDefault="004441D1" w:rsidP="004441D1">
      <w:pPr>
        <w:pStyle w:val="Caption"/>
        <w:keepNext/>
        <w:rPr>
          <w:color w:val="auto"/>
          <w:sz w:val="20"/>
          <w:szCs w:val="20"/>
        </w:rPr>
      </w:pPr>
      <w:r w:rsidRPr="004441D1">
        <w:rPr>
          <w:color w:val="auto"/>
          <w:sz w:val="20"/>
          <w:szCs w:val="20"/>
        </w:rPr>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00070BC3">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and data source.</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2704"/>
        <w:gridCol w:w="1300"/>
        <w:gridCol w:w="3200"/>
      </w:tblGrid>
      <w:tr w:rsidR="00862D86" w:rsidRPr="009B7D76" w14:paraId="49205D8B" w14:textId="77777777" w:rsidTr="00862D86">
        <w:trPr>
          <w:trHeight w:val="397"/>
        </w:trPr>
        <w:tc>
          <w:tcPr>
            <w:tcW w:w="1521" w:type="dxa"/>
            <w:shd w:val="clear" w:color="auto" w:fill="auto"/>
            <w:noWrap/>
            <w:vAlign w:val="center"/>
            <w:hideMark/>
          </w:tcPr>
          <w:p w14:paraId="3DDF7A9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704" w:type="dxa"/>
            <w:shd w:val="clear" w:color="auto" w:fill="auto"/>
            <w:noWrap/>
            <w:vAlign w:val="center"/>
            <w:hideMark/>
          </w:tcPr>
          <w:p w14:paraId="416EAA1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300" w:type="dxa"/>
            <w:shd w:val="clear" w:color="auto" w:fill="auto"/>
            <w:noWrap/>
            <w:vAlign w:val="center"/>
            <w:hideMark/>
          </w:tcPr>
          <w:p w14:paraId="4D7F961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3200" w:type="dxa"/>
            <w:vAlign w:val="center"/>
          </w:tcPr>
          <w:p w14:paraId="483F8D6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862D86" w:rsidRPr="009B7D76" w14:paraId="0DA013E3" w14:textId="77777777" w:rsidTr="00862D86">
        <w:trPr>
          <w:trHeight w:val="300"/>
        </w:trPr>
        <w:tc>
          <w:tcPr>
            <w:tcW w:w="8725" w:type="dxa"/>
            <w:gridSpan w:val="4"/>
            <w:shd w:val="clear" w:color="auto" w:fill="auto"/>
            <w:noWrap/>
            <w:vAlign w:val="center"/>
          </w:tcPr>
          <w:p w14:paraId="297DF6C6" w14:textId="77777777" w:rsidR="00862D8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862D86" w:rsidRPr="009B7D76" w14:paraId="6BB3E535" w14:textId="77777777" w:rsidTr="00862D86">
        <w:trPr>
          <w:trHeight w:val="311"/>
        </w:trPr>
        <w:tc>
          <w:tcPr>
            <w:tcW w:w="1521" w:type="dxa"/>
            <w:shd w:val="clear" w:color="auto" w:fill="auto"/>
            <w:noWrap/>
            <w:vAlign w:val="center"/>
            <w:hideMark/>
          </w:tcPr>
          <w:p w14:paraId="79B16F0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704" w:type="dxa"/>
            <w:shd w:val="clear" w:color="auto" w:fill="auto"/>
            <w:noWrap/>
            <w:vAlign w:val="center"/>
            <w:hideMark/>
          </w:tcPr>
          <w:p w14:paraId="26FCDE4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300" w:type="dxa"/>
            <w:shd w:val="clear" w:color="auto" w:fill="auto"/>
            <w:noWrap/>
            <w:vAlign w:val="center"/>
            <w:hideMark/>
          </w:tcPr>
          <w:p w14:paraId="4DE7D39C" w14:textId="2E6892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3200" w:type="dxa"/>
            <w:vAlign w:val="center"/>
          </w:tcPr>
          <w:p w14:paraId="15835DD8" w14:textId="62E3F03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Schijns et al. 2021</w:t>
            </w:r>
          </w:p>
        </w:tc>
      </w:tr>
      <w:tr w:rsidR="00862D86" w:rsidRPr="009B7D76" w14:paraId="49BEB598" w14:textId="77777777" w:rsidTr="00862D86">
        <w:trPr>
          <w:trHeight w:val="300"/>
        </w:trPr>
        <w:tc>
          <w:tcPr>
            <w:tcW w:w="1521" w:type="dxa"/>
            <w:shd w:val="clear" w:color="auto" w:fill="auto"/>
            <w:noWrap/>
            <w:vAlign w:val="center"/>
            <w:hideMark/>
          </w:tcPr>
          <w:p w14:paraId="65AF55D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704" w:type="dxa"/>
            <w:shd w:val="clear" w:color="auto" w:fill="auto"/>
            <w:noWrap/>
            <w:vAlign w:val="center"/>
            <w:hideMark/>
          </w:tcPr>
          <w:p w14:paraId="127E0DE0"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300" w:type="dxa"/>
            <w:shd w:val="clear" w:color="auto" w:fill="auto"/>
            <w:noWrap/>
            <w:vAlign w:val="center"/>
            <w:hideMark/>
          </w:tcPr>
          <w:p w14:paraId="08E71741" w14:textId="3DFEF3B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3200" w:type="dxa"/>
            <w:vAlign w:val="center"/>
          </w:tcPr>
          <w:p w14:paraId="0B8007FA" w14:textId="5D82EA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Ouellette-Plante et al. 2025</w:t>
            </w:r>
          </w:p>
        </w:tc>
      </w:tr>
      <w:tr w:rsidR="00862D86" w:rsidRPr="009B7D76" w14:paraId="01474981" w14:textId="77777777" w:rsidTr="00862D86">
        <w:trPr>
          <w:trHeight w:val="300"/>
        </w:trPr>
        <w:tc>
          <w:tcPr>
            <w:tcW w:w="1521" w:type="dxa"/>
            <w:shd w:val="clear" w:color="auto" w:fill="auto"/>
            <w:noWrap/>
            <w:vAlign w:val="center"/>
            <w:hideMark/>
          </w:tcPr>
          <w:p w14:paraId="344975C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704" w:type="dxa"/>
            <w:shd w:val="clear" w:color="auto" w:fill="auto"/>
            <w:noWrap/>
            <w:vAlign w:val="center"/>
            <w:hideMark/>
          </w:tcPr>
          <w:p w14:paraId="0137A91D"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300" w:type="dxa"/>
            <w:shd w:val="clear" w:color="auto" w:fill="auto"/>
            <w:noWrap/>
            <w:vAlign w:val="center"/>
            <w:hideMark/>
          </w:tcPr>
          <w:p w14:paraId="4F5F66E5" w14:textId="70E2421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3200" w:type="dxa"/>
            <w:vAlign w:val="center"/>
          </w:tcPr>
          <w:p w14:paraId="574EB374" w14:textId="2965C85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Varkey et al. 2025</w:t>
            </w:r>
          </w:p>
        </w:tc>
      </w:tr>
      <w:tr w:rsidR="00862D86" w:rsidRPr="009B7D76" w14:paraId="3A295F54" w14:textId="77777777" w:rsidTr="00862D86">
        <w:trPr>
          <w:trHeight w:val="300"/>
        </w:trPr>
        <w:tc>
          <w:tcPr>
            <w:tcW w:w="1521" w:type="dxa"/>
            <w:shd w:val="clear" w:color="auto" w:fill="auto"/>
            <w:noWrap/>
            <w:vAlign w:val="center"/>
            <w:hideMark/>
          </w:tcPr>
          <w:p w14:paraId="6062106B" w14:textId="46FEE71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704" w:type="dxa"/>
            <w:shd w:val="clear" w:color="auto" w:fill="auto"/>
            <w:noWrap/>
            <w:vAlign w:val="center"/>
            <w:hideMark/>
          </w:tcPr>
          <w:p w14:paraId="2D1CB8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300" w:type="dxa"/>
            <w:shd w:val="clear" w:color="auto" w:fill="auto"/>
            <w:noWrap/>
            <w:vAlign w:val="center"/>
            <w:hideMark/>
          </w:tcPr>
          <w:p w14:paraId="41DB37F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3200" w:type="dxa"/>
            <w:vAlign w:val="center"/>
          </w:tcPr>
          <w:p w14:paraId="7204B890" w14:textId="40C26AA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Turcotte et al. 2024</w:t>
            </w:r>
          </w:p>
        </w:tc>
      </w:tr>
      <w:tr w:rsidR="00862D86" w:rsidRPr="009B7D76" w14:paraId="3CC008EF" w14:textId="77777777" w:rsidTr="00862D86">
        <w:trPr>
          <w:trHeight w:val="300"/>
        </w:trPr>
        <w:tc>
          <w:tcPr>
            <w:tcW w:w="1521" w:type="dxa"/>
            <w:shd w:val="clear" w:color="auto" w:fill="auto"/>
            <w:noWrap/>
            <w:vAlign w:val="center"/>
            <w:hideMark/>
          </w:tcPr>
          <w:p w14:paraId="603AEC7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704" w:type="dxa"/>
            <w:shd w:val="clear" w:color="auto" w:fill="auto"/>
            <w:noWrap/>
            <w:vAlign w:val="center"/>
            <w:hideMark/>
          </w:tcPr>
          <w:p w14:paraId="4F8E47A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300" w:type="dxa"/>
            <w:shd w:val="clear" w:color="auto" w:fill="auto"/>
            <w:noWrap/>
            <w:vAlign w:val="center"/>
            <w:hideMark/>
          </w:tcPr>
          <w:p w14:paraId="205EC062" w14:textId="474C4C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3200" w:type="dxa"/>
            <w:vAlign w:val="center"/>
          </w:tcPr>
          <w:p w14:paraId="2771330C" w14:textId="7D8318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Mohn and Rowe 2012</w:t>
            </w:r>
          </w:p>
        </w:tc>
      </w:tr>
      <w:tr w:rsidR="00862D86" w:rsidRPr="009B7D76" w14:paraId="2B949778" w14:textId="77777777" w:rsidTr="00862D86">
        <w:trPr>
          <w:trHeight w:val="300"/>
        </w:trPr>
        <w:tc>
          <w:tcPr>
            <w:tcW w:w="1521" w:type="dxa"/>
            <w:shd w:val="clear" w:color="auto" w:fill="auto"/>
            <w:noWrap/>
            <w:vAlign w:val="center"/>
            <w:hideMark/>
          </w:tcPr>
          <w:p w14:paraId="2E238D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704" w:type="dxa"/>
            <w:shd w:val="clear" w:color="auto" w:fill="auto"/>
            <w:noWrap/>
            <w:vAlign w:val="center"/>
            <w:hideMark/>
          </w:tcPr>
          <w:p w14:paraId="25037DD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300" w:type="dxa"/>
            <w:shd w:val="clear" w:color="auto" w:fill="auto"/>
            <w:noWrap/>
            <w:vAlign w:val="center"/>
            <w:hideMark/>
          </w:tcPr>
          <w:p w14:paraId="11FF5376" w14:textId="6C890CF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3200" w:type="dxa"/>
            <w:vAlign w:val="center"/>
          </w:tcPr>
          <w:p w14:paraId="06CAC282" w14:textId="29500CC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 xml:space="preserve">Andrucschenko et al. 2022 and </w:t>
            </w:r>
          </w:p>
        </w:tc>
      </w:tr>
      <w:tr w:rsidR="00862D86" w:rsidRPr="009B7D76" w14:paraId="12FB7C24" w14:textId="77777777" w:rsidTr="00862D86">
        <w:trPr>
          <w:trHeight w:val="300"/>
        </w:trPr>
        <w:tc>
          <w:tcPr>
            <w:tcW w:w="1521" w:type="dxa"/>
            <w:shd w:val="clear" w:color="auto" w:fill="auto"/>
            <w:noWrap/>
            <w:vAlign w:val="center"/>
          </w:tcPr>
          <w:p w14:paraId="676B65DD" w14:textId="5D6A14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5Zjm</w:t>
            </w:r>
          </w:p>
        </w:tc>
        <w:tc>
          <w:tcPr>
            <w:tcW w:w="2704" w:type="dxa"/>
            <w:shd w:val="clear" w:color="auto" w:fill="auto"/>
            <w:noWrap/>
            <w:vAlign w:val="center"/>
          </w:tcPr>
          <w:p w14:paraId="1E2FC467" w14:textId="54B2044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300" w:type="dxa"/>
            <w:shd w:val="clear" w:color="auto" w:fill="auto"/>
            <w:noWrap/>
            <w:vAlign w:val="center"/>
          </w:tcPr>
          <w:p w14:paraId="298E5339" w14:textId="4C5B7C06"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3200" w:type="dxa"/>
            <w:vAlign w:val="center"/>
          </w:tcPr>
          <w:p w14:paraId="3F1E9308" w14:textId="7D84DB1F"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E1ABD21" w14:textId="77777777" w:rsidTr="00862D86">
        <w:trPr>
          <w:trHeight w:val="300"/>
        </w:trPr>
        <w:tc>
          <w:tcPr>
            <w:tcW w:w="1521" w:type="dxa"/>
            <w:shd w:val="clear" w:color="auto" w:fill="auto"/>
            <w:noWrap/>
            <w:vAlign w:val="center"/>
          </w:tcPr>
          <w:p w14:paraId="32A47CA6" w14:textId="021196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704" w:type="dxa"/>
            <w:shd w:val="clear" w:color="auto" w:fill="auto"/>
            <w:noWrap/>
            <w:vAlign w:val="center"/>
          </w:tcPr>
          <w:p w14:paraId="6B4EBC40" w14:textId="77BD842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300" w:type="dxa"/>
            <w:shd w:val="clear" w:color="auto" w:fill="auto"/>
            <w:noWrap/>
            <w:vAlign w:val="center"/>
          </w:tcPr>
          <w:p w14:paraId="4698DC2F" w14:textId="3C842F9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3200" w:type="dxa"/>
            <w:vAlign w:val="center"/>
          </w:tcPr>
          <w:p w14:paraId="52AF674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66875E40" w14:textId="77777777" w:rsidTr="00862D86">
        <w:trPr>
          <w:trHeight w:val="300"/>
        </w:trPr>
        <w:tc>
          <w:tcPr>
            <w:tcW w:w="1521" w:type="dxa"/>
            <w:shd w:val="clear" w:color="auto" w:fill="auto"/>
            <w:noWrap/>
            <w:vAlign w:val="center"/>
          </w:tcPr>
          <w:p w14:paraId="6011EEFA" w14:textId="54B145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704" w:type="dxa"/>
            <w:shd w:val="clear" w:color="auto" w:fill="auto"/>
            <w:noWrap/>
            <w:vAlign w:val="center"/>
          </w:tcPr>
          <w:p w14:paraId="2B09DB7E" w14:textId="2FD73A5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300" w:type="dxa"/>
            <w:shd w:val="clear" w:color="auto" w:fill="auto"/>
            <w:noWrap/>
            <w:vAlign w:val="center"/>
          </w:tcPr>
          <w:p w14:paraId="34362F1D" w14:textId="6EE66C0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0EBC3D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7CF85C14" w14:textId="77777777" w:rsidTr="00862D86">
        <w:trPr>
          <w:trHeight w:val="300"/>
        </w:trPr>
        <w:tc>
          <w:tcPr>
            <w:tcW w:w="1521" w:type="dxa"/>
            <w:shd w:val="clear" w:color="auto" w:fill="auto"/>
            <w:noWrap/>
            <w:vAlign w:val="center"/>
          </w:tcPr>
          <w:p w14:paraId="239F2911" w14:textId="6E0E366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704" w:type="dxa"/>
            <w:shd w:val="clear" w:color="auto" w:fill="auto"/>
            <w:noWrap/>
            <w:vAlign w:val="center"/>
          </w:tcPr>
          <w:p w14:paraId="2BF72A59" w14:textId="3248E7A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300" w:type="dxa"/>
            <w:shd w:val="clear" w:color="auto" w:fill="auto"/>
            <w:noWrap/>
            <w:vAlign w:val="center"/>
          </w:tcPr>
          <w:p w14:paraId="44206283" w14:textId="31ECB9C8"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AF03A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2E00C752" w14:textId="77777777" w:rsidTr="00862D86">
        <w:trPr>
          <w:trHeight w:val="300"/>
        </w:trPr>
        <w:tc>
          <w:tcPr>
            <w:tcW w:w="1521" w:type="dxa"/>
            <w:shd w:val="clear" w:color="auto" w:fill="auto"/>
            <w:noWrap/>
            <w:vAlign w:val="center"/>
          </w:tcPr>
          <w:p w14:paraId="5EF16480" w14:textId="4FDFAC4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704" w:type="dxa"/>
            <w:shd w:val="clear" w:color="auto" w:fill="auto"/>
            <w:noWrap/>
            <w:vAlign w:val="center"/>
          </w:tcPr>
          <w:p w14:paraId="6DA95871" w14:textId="52E009F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300" w:type="dxa"/>
            <w:shd w:val="clear" w:color="auto" w:fill="auto"/>
            <w:noWrap/>
            <w:vAlign w:val="center"/>
          </w:tcPr>
          <w:p w14:paraId="14B2CE01" w14:textId="77EA0B3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EDA767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00205C8B" w14:textId="77777777" w:rsidTr="00862D86">
        <w:trPr>
          <w:trHeight w:val="300"/>
        </w:trPr>
        <w:tc>
          <w:tcPr>
            <w:tcW w:w="1521" w:type="dxa"/>
            <w:shd w:val="clear" w:color="auto" w:fill="auto"/>
            <w:noWrap/>
            <w:vAlign w:val="center"/>
          </w:tcPr>
          <w:p w14:paraId="38C7F489" w14:textId="7D1F298E"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3NO</w:t>
            </w:r>
          </w:p>
        </w:tc>
        <w:tc>
          <w:tcPr>
            <w:tcW w:w="2704" w:type="dxa"/>
            <w:shd w:val="clear" w:color="auto" w:fill="auto"/>
            <w:noWrap/>
            <w:vAlign w:val="center"/>
          </w:tcPr>
          <w:p w14:paraId="69FCEB4E" w14:textId="2918DDC2"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300" w:type="dxa"/>
            <w:shd w:val="clear" w:color="auto" w:fill="auto"/>
            <w:noWrap/>
            <w:vAlign w:val="center"/>
          </w:tcPr>
          <w:p w14:paraId="26DC10BD" w14:textId="3A001D30"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3200" w:type="dxa"/>
            <w:vAlign w:val="center"/>
          </w:tcPr>
          <w:p w14:paraId="7E724079" w14:textId="4363AEF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Rideout et al. 2021</w:t>
            </w:r>
          </w:p>
        </w:tc>
      </w:tr>
      <w:tr w:rsidR="00862D86" w:rsidRPr="009B7D76" w14:paraId="282EF9E6" w14:textId="77777777" w:rsidTr="00862D86">
        <w:trPr>
          <w:trHeight w:val="300"/>
        </w:trPr>
        <w:tc>
          <w:tcPr>
            <w:tcW w:w="1521" w:type="dxa"/>
            <w:shd w:val="clear" w:color="auto" w:fill="auto"/>
            <w:noWrap/>
            <w:vAlign w:val="center"/>
          </w:tcPr>
          <w:p w14:paraId="487B7969" w14:textId="04F379C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1IN</w:t>
            </w:r>
          </w:p>
        </w:tc>
        <w:tc>
          <w:tcPr>
            <w:tcW w:w="2704" w:type="dxa"/>
            <w:shd w:val="clear" w:color="auto" w:fill="auto"/>
            <w:noWrap/>
            <w:vAlign w:val="center"/>
          </w:tcPr>
          <w:p w14:paraId="43ED8DE8" w14:textId="1A92AEB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300" w:type="dxa"/>
            <w:shd w:val="clear" w:color="auto" w:fill="auto"/>
            <w:noWrap/>
            <w:vAlign w:val="center"/>
          </w:tcPr>
          <w:p w14:paraId="0B69D22E" w14:textId="0845FB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3200" w:type="dxa"/>
            <w:vAlign w:val="center"/>
          </w:tcPr>
          <w:p w14:paraId="1CBA0A6F" w14:textId="6ED685E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DFCCEB1" w14:textId="77777777" w:rsidTr="00862D86">
        <w:trPr>
          <w:trHeight w:val="300"/>
        </w:trPr>
        <w:tc>
          <w:tcPr>
            <w:tcW w:w="1521" w:type="dxa"/>
            <w:shd w:val="clear" w:color="auto" w:fill="auto"/>
            <w:noWrap/>
            <w:vAlign w:val="center"/>
          </w:tcPr>
          <w:p w14:paraId="1C8B1549" w14:textId="6ADB98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1F-XIV</w:t>
            </w:r>
          </w:p>
        </w:tc>
        <w:tc>
          <w:tcPr>
            <w:tcW w:w="2704" w:type="dxa"/>
            <w:shd w:val="clear" w:color="auto" w:fill="auto"/>
            <w:noWrap/>
            <w:vAlign w:val="center"/>
          </w:tcPr>
          <w:p w14:paraId="1EBC4F1D" w14:textId="75E15A4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300" w:type="dxa"/>
            <w:shd w:val="clear" w:color="auto" w:fill="auto"/>
            <w:noWrap/>
            <w:vAlign w:val="center"/>
          </w:tcPr>
          <w:p w14:paraId="3933CADA" w14:textId="6150D71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3200" w:type="dxa"/>
            <w:vAlign w:val="center"/>
          </w:tcPr>
          <w:p w14:paraId="152D17F5" w14:textId="3981822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3A956E81" w14:textId="77777777" w:rsidTr="00862D86">
        <w:trPr>
          <w:trHeight w:val="300"/>
        </w:trPr>
        <w:tc>
          <w:tcPr>
            <w:tcW w:w="8725" w:type="dxa"/>
            <w:gridSpan w:val="4"/>
            <w:shd w:val="clear" w:color="auto" w:fill="auto"/>
            <w:noWrap/>
            <w:vAlign w:val="center"/>
          </w:tcPr>
          <w:p w14:paraId="6F1D13C1" w14:textId="77777777" w:rsidR="00862D86" w:rsidRPr="009B7D7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9B7D76" w14:paraId="41359D05" w14:textId="77777777" w:rsidTr="00862D86">
        <w:trPr>
          <w:trHeight w:val="300"/>
        </w:trPr>
        <w:tc>
          <w:tcPr>
            <w:tcW w:w="1521" w:type="dxa"/>
            <w:shd w:val="clear" w:color="auto" w:fill="auto"/>
            <w:noWrap/>
            <w:vAlign w:val="center"/>
            <w:hideMark/>
          </w:tcPr>
          <w:p w14:paraId="38D7A853" w14:textId="3CBCE22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BA2224</w:t>
            </w:r>
          </w:p>
        </w:tc>
        <w:tc>
          <w:tcPr>
            <w:tcW w:w="2704" w:type="dxa"/>
            <w:shd w:val="clear" w:color="auto" w:fill="auto"/>
            <w:noWrap/>
            <w:vAlign w:val="center"/>
            <w:hideMark/>
          </w:tcPr>
          <w:p w14:paraId="44614255" w14:textId="4B8EE6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300" w:type="dxa"/>
            <w:shd w:val="clear" w:color="auto" w:fill="auto"/>
            <w:noWrap/>
            <w:vAlign w:val="center"/>
            <w:hideMark/>
          </w:tcPr>
          <w:p w14:paraId="623A89F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3200" w:type="dxa"/>
            <w:vAlign w:val="center"/>
          </w:tcPr>
          <w:p w14:paraId="7F2ECB2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CC15EDE" w14:textId="77777777" w:rsidTr="00862D86">
        <w:trPr>
          <w:trHeight w:val="300"/>
        </w:trPr>
        <w:tc>
          <w:tcPr>
            <w:tcW w:w="1521" w:type="dxa"/>
            <w:shd w:val="clear" w:color="auto" w:fill="auto"/>
            <w:noWrap/>
            <w:vAlign w:val="center"/>
            <w:hideMark/>
          </w:tcPr>
          <w:p w14:paraId="40D5A5A7" w14:textId="178ADD5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BA2532</w:t>
            </w:r>
          </w:p>
        </w:tc>
        <w:tc>
          <w:tcPr>
            <w:tcW w:w="2704" w:type="dxa"/>
            <w:shd w:val="clear" w:color="auto" w:fill="auto"/>
            <w:noWrap/>
            <w:vAlign w:val="center"/>
            <w:hideMark/>
          </w:tcPr>
          <w:p w14:paraId="5F40D387" w14:textId="4440A58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300" w:type="dxa"/>
            <w:shd w:val="clear" w:color="auto" w:fill="auto"/>
            <w:noWrap/>
            <w:vAlign w:val="center"/>
            <w:hideMark/>
          </w:tcPr>
          <w:p w14:paraId="54FFD6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3200" w:type="dxa"/>
            <w:vAlign w:val="center"/>
          </w:tcPr>
          <w:p w14:paraId="7551589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C736F47" w14:textId="77777777" w:rsidTr="00862D86">
        <w:trPr>
          <w:trHeight w:val="300"/>
        </w:trPr>
        <w:tc>
          <w:tcPr>
            <w:tcW w:w="1521" w:type="dxa"/>
            <w:shd w:val="clear" w:color="auto" w:fill="auto"/>
            <w:noWrap/>
            <w:vAlign w:val="center"/>
            <w:hideMark/>
          </w:tcPr>
          <w:p w14:paraId="316150C7" w14:textId="57FCA2D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FAPL</w:t>
            </w:r>
          </w:p>
        </w:tc>
        <w:tc>
          <w:tcPr>
            <w:tcW w:w="2704" w:type="dxa"/>
            <w:shd w:val="clear" w:color="auto" w:fill="auto"/>
            <w:noWrap/>
            <w:vAlign w:val="center"/>
            <w:hideMark/>
          </w:tcPr>
          <w:p w14:paraId="7D64ABDE" w14:textId="7F1AB3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300" w:type="dxa"/>
            <w:shd w:val="clear" w:color="auto" w:fill="auto"/>
            <w:noWrap/>
            <w:vAlign w:val="center"/>
            <w:hideMark/>
          </w:tcPr>
          <w:p w14:paraId="1A227217"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3200" w:type="dxa"/>
            <w:vAlign w:val="center"/>
          </w:tcPr>
          <w:p w14:paraId="58785C22"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98F2E3F" w14:textId="77777777" w:rsidTr="00862D86">
        <w:trPr>
          <w:trHeight w:val="300"/>
        </w:trPr>
        <w:tc>
          <w:tcPr>
            <w:tcW w:w="1521" w:type="dxa"/>
            <w:shd w:val="clear" w:color="auto" w:fill="auto"/>
            <w:noWrap/>
            <w:vAlign w:val="center"/>
            <w:hideMark/>
          </w:tcPr>
          <w:p w14:paraId="1380B1FD" w14:textId="095A738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w:t>
            </w:r>
          </w:p>
        </w:tc>
        <w:tc>
          <w:tcPr>
            <w:tcW w:w="2704" w:type="dxa"/>
            <w:shd w:val="clear" w:color="auto" w:fill="auto"/>
            <w:noWrap/>
            <w:vAlign w:val="center"/>
            <w:hideMark/>
          </w:tcPr>
          <w:p w14:paraId="4B38FD6B" w14:textId="3E71EE6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300" w:type="dxa"/>
            <w:shd w:val="clear" w:color="auto" w:fill="auto"/>
            <w:noWrap/>
            <w:vAlign w:val="center"/>
            <w:hideMark/>
          </w:tcPr>
          <w:p w14:paraId="645EC8C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3200" w:type="dxa"/>
            <w:vAlign w:val="center"/>
          </w:tcPr>
          <w:p w14:paraId="5EB7BB0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31B601" w14:textId="77777777" w:rsidTr="00862D86">
        <w:trPr>
          <w:trHeight w:val="300"/>
        </w:trPr>
        <w:tc>
          <w:tcPr>
            <w:tcW w:w="1521" w:type="dxa"/>
            <w:shd w:val="clear" w:color="auto" w:fill="auto"/>
            <w:noWrap/>
            <w:vAlign w:val="center"/>
            <w:hideMark/>
          </w:tcPr>
          <w:p w14:paraId="14EE08E5" w14:textId="481870C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IIIaW-IV-VIId</w:t>
            </w:r>
          </w:p>
        </w:tc>
        <w:tc>
          <w:tcPr>
            <w:tcW w:w="2704" w:type="dxa"/>
            <w:shd w:val="clear" w:color="auto" w:fill="auto"/>
            <w:noWrap/>
            <w:vAlign w:val="center"/>
            <w:hideMark/>
          </w:tcPr>
          <w:p w14:paraId="0AD80326" w14:textId="33D3171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300" w:type="dxa"/>
            <w:shd w:val="clear" w:color="auto" w:fill="auto"/>
            <w:noWrap/>
            <w:vAlign w:val="center"/>
            <w:hideMark/>
          </w:tcPr>
          <w:p w14:paraId="1BFD86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3200" w:type="dxa"/>
            <w:vAlign w:val="center"/>
          </w:tcPr>
          <w:p w14:paraId="2FA96FC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78DFBF6" w14:textId="77777777" w:rsidTr="00862D86">
        <w:trPr>
          <w:trHeight w:val="300"/>
        </w:trPr>
        <w:tc>
          <w:tcPr>
            <w:tcW w:w="1521" w:type="dxa"/>
            <w:shd w:val="clear" w:color="auto" w:fill="auto"/>
            <w:noWrap/>
            <w:vAlign w:val="center"/>
            <w:hideMark/>
          </w:tcPr>
          <w:p w14:paraId="18200B40" w14:textId="7297E34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IS</w:t>
            </w:r>
          </w:p>
        </w:tc>
        <w:tc>
          <w:tcPr>
            <w:tcW w:w="2704" w:type="dxa"/>
            <w:shd w:val="clear" w:color="auto" w:fill="auto"/>
            <w:noWrap/>
            <w:vAlign w:val="center"/>
            <w:hideMark/>
          </w:tcPr>
          <w:p w14:paraId="205C4349" w14:textId="442ABAD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300" w:type="dxa"/>
            <w:shd w:val="clear" w:color="auto" w:fill="auto"/>
            <w:noWrap/>
            <w:vAlign w:val="center"/>
            <w:hideMark/>
          </w:tcPr>
          <w:p w14:paraId="0E8E015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3200" w:type="dxa"/>
            <w:vAlign w:val="center"/>
          </w:tcPr>
          <w:p w14:paraId="723F0A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D9CA2F" w14:textId="77777777" w:rsidTr="00862D86">
        <w:trPr>
          <w:trHeight w:val="300"/>
        </w:trPr>
        <w:tc>
          <w:tcPr>
            <w:tcW w:w="1521" w:type="dxa"/>
            <w:shd w:val="clear" w:color="auto" w:fill="auto"/>
            <w:noWrap/>
            <w:vAlign w:val="center"/>
            <w:hideMark/>
          </w:tcPr>
          <w:p w14:paraId="1D081411" w14:textId="3E1AAB7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NEAR</w:t>
            </w:r>
          </w:p>
        </w:tc>
        <w:tc>
          <w:tcPr>
            <w:tcW w:w="2704" w:type="dxa"/>
            <w:shd w:val="clear" w:color="auto" w:fill="auto"/>
            <w:noWrap/>
            <w:vAlign w:val="center"/>
            <w:hideMark/>
          </w:tcPr>
          <w:p w14:paraId="59F681DA" w14:textId="364F3F0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300" w:type="dxa"/>
            <w:shd w:val="clear" w:color="auto" w:fill="auto"/>
            <w:noWrap/>
            <w:vAlign w:val="center"/>
            <w:hideMark/>
          </w:tcPr>
          <w:p w14:paraId="60E0727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3200" w:type="dxa"/>
            <w:vAlign w:val="center"/>
          </w:tcPr>
          <w:p w14:paraId="3655C0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10E7730" w14:textId="77777777" w:rsidTr="00862D86">
        <w:trPr>
          <w:trHeight w:val="300"/>
        </w:trPr>
        <w:tc>
          <w:tcPr>
            <w:tcW w:w="1521" w:type="dxa"/>
            <w:shd w:val="clear" w:color="auto" w:fill="auto"/>
            <w:noWrap/>
            <w:vAlign w:val="center"/>
            <w:hideMark/>
          </w:tcPr>
          <w:p w14:paraId="482E34DB" w14:textId="7758ACA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VIa</w:t>
            </w:r>
          </w:p>
        </w:tc>
        <w:tc>
          <w:tcPr>
            <w:tcW w:w="2704" w:type="dxa"/>
            <w:shd w:val="clear" w:color="auto" w:fill="auto"/>
            <w:noWrap/>
            <w:vAlign w:val="center"/>
            <w:hideMark/>
          </w:tcPr>
          <w:p w14:paraId="2FAE8FD9" w14:textId="193280E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300" w:type="dxa"/>
            <w:shd w:val="clear" w:color="auto" w:fill="auto"/>
            <w:noWrap/>
            <w:vAlign w:val="center"/>
            <w:hideMark/>
          </w:tcPr>
          <w:p w14:paraId="56D14CF3"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3200" w:type="dxa"/>
            <w:vAlign w:val="center"/>
          </w:tcPr>
          <w:p w14:paraId="317999C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720E3A8" w14:textId="77777777" w:rsidTr="00862D86">
        <w:trPr>
          <w:trHeight w:val="300"/>
        </w:trPr>
        <w:tc>
          <w:tcPr>
            <w:tcW w:w="1521" w:type="dxa"/>
            <w:shd w:val="clear" w:color="auto" w:fill="auto"/>
            <w:noWrap/>
            <w:vAlign w:val="center"/>
            <w:hideMark/>
          </w:tcPr>
          <w:p w14:paraId="42FF2FE0" w14:textId="5E511E0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VIIek</w:t>
            </w:r>
          </w:p>
        </w:tc>
        <w:tc>
          <w:tcPr>
            <w:tcW w:w="2704" w:type="dxa"/>
            <w:shd w:val="clear" w:color="auto" w:fill="auto"/>
            <w:noWrap/>
            <w:vAlign w:val="center"/>
            <w:hideMark/>
          </w:tcPr>
          <w:p w14:paraId="52DC6A22" w14:textId="418729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300" w:type="dxa"/>
            <w:shd w:val="clear" w:color="auto" w:fill="auto"/>
            <w:noWrap/>
            <w:vAlign w:val="center"/>
            <w:hideMark/>
          </w:tcPr>
          <w:p w14:paraId="6CE0784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3200" w:type="dxa"/>
            <w:vAlign w:val="center"/>
          </w:tcPr>
          <w:p w14:paraId="5E87B4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F3430B"/>
    <w:p w14:paraId="5D2D1C27" w14:textId="6ABFEE90" w:rsidR="009B7D76" w:rsidRDefault="009B7D76" w:rsidP="00932197">
      <w:pPr>
        <w:pStyle w:val="BodyText"/>
        <w:spacing w:line="276" w:lineRule="auto"/>
        <w:rPr>
          <w:lang w:val="en-CA"/>
        </w:rPr>
      </w:pPr>
      <w:r>
        <w:rPr>
          <w:lang w:val="en-CA"/>
        </w:rPr>
        <w:t xml:space="preserve">For stocks classified as experiencing </w:t>
      </w:r>
      <w:r w:rsidR="00674359">
        <w:rPr>
          <w:lang w:val="en-CA"/>
        </w:rPr>
        <w:t>A</w:t>
      </w:r>
      <w:r>
        <w:rPr>
          <w:lang w:val="en-CA"/>
        </w:rPr>
        <w:t xml:space="preserve">llee effects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345836">
        <w:rPr>
          <w:rFonts w:cs="Arial"/>
        </w:rPr>
        <w:lastRenderedPageBreak/>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345836">
        <w:rPr>
          <w:rFonts w:eastAsiaTheme="minorEastAsia" w:cs="Arial"/>
        </w:rPr>
        <w:t xml:space="preserve"> </w:t>
      </w:r>
      <w:r w:rsidR="00017E8A" w:rsidRPr="00345836">
        <w:rPr>
          <w:rFonts w:eastAsiaTheme="minorEastAsia" w:cs="Arial"/>
        </w:rPr>
        <w:t xml:space="preserve">is the </w:t>
      </w:r>
      <w:r w:rsidR="009B7D76" w:rsidRPr="00345836">
        <w:rPr>
          <w:rFonts w:eastAsiaTheme="minorEastAsia" w:cs="Arial"/>
        </w:rPr>
        <w:t>expected compensatory</w:t>
      </w:r>
      <w:r w:rsidR="00017E8A" w:rsidRPr="00345836">
        <w:rPr>
          <w:rFonts w:eastAsiaTheme="minorEastAsia" w:cs="Arial"/>
        </w:rPr>
        <w:t xml:space="preserve"> production rate </w:t>
      </w:r>
      <w:r w:rsidR="009B7D76" w:rsidRPr="00345836">
        <w:rPr>
          <w:rFonts w:eastAsiaTheme="minorEastAsia" w:cs="Arial"/>
        </w:rPr>
        <w:t>at minimum observed biomass</w:t>
      </w:r>
      <w:r w:rsidR="00017E8A" w:rsidRPr="00345836">
        <w:rPr>
          <w:rFonts w:eastAsiaTheme="minorEastAsia" w:cs="Arial"/>
        </w:rPr>
        <w:t xml:space="preserv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00017E8A" w:rsidRPr="00345836">
        <w:rPr>
          <w:rFonts w:eastAsiaTheme="minorEastAsia" w:cs="Arial"/>
          <w:lang w:val="en-CA"/>
        </w:rPr>
        <w:t xml:space="preserve"> </w:t>
      </w:r>
      <w:r w:rsidR="00017E8A" w:rsidRPr="00345836">
        <w:rPr>
          <w:rFonts w:eastAsiaTheme="minorEastAsia" w:cs="Arial"/>
        </w:rPr>
        <w:t>is the predicted production rate at minimum observed biomass in the depensation zone</w:t>
      </w:r>
      <w:r w:rsidR="009B7D76" w:rsidRPr="00345836">
        <w:rPr>
          <w:rFonts w:eastAsiaTheme="minorEastAsia" w:cs="Arial"/>
        </w:rPr>
        <w:t xml:space="preserve"> (Figure 1)</w:t>
      </w:r>
      <w:r w:rsidR="00017E8A" w:rsidRPr="00345836">
        <w:rPr>
          <w:rFonts w:eastAsiaTheme="minorEastAsia" w:cs="Arial"/>
        </w:rPr>
        <w:t xml:space="preserve">. </w:t>
      </w:r>
      <w:r w:rsidR="00EF0456" w:rsidRPr="00345836">
        <w:rPr>
          <w:rFonts w:eastAsiaTheme="minorEastAsia" w:cs="Arial"/>
          <w:lang w:val="en-CA"/>
        </w:rPr>
        <w:t xml:space="preserve">As is </w:t>
      </w:r>
      <w:r w:rsidR="00017E8A" w:rsidRPr="00345836">
        <w:rPr>
          <w:rFonts w:eastAsiaTheme="minorEastAsia" w:cs="Arial"/>
          <w:lang w:val="en-CA"/>
        </w:rPr>
        <w:t xml:space="preserve">a </w:t>
      </w:r>
      <w:r w:rsidR="00EF0456" w:rsidRPr="00345836">
        <w:rPr>
          <w:rFonts w:eastAsiaTheme="minorEastAsia" w:cs="Arial"/>
          <w:lang w:val="en-CA"/>
        </w:rPr>
        <w:t xml:space="preserve">relative </w:t>
      </w:r>
      <w:r w:rsidR="00017E8A" w:rsidRPr="00345836">
        <w:rPr>
          <w:rFonts w:eastAsiaTheme="minorEastAsia" w:cs="Arial"/>
          <w:lang w:val="en-CA"/>
        </w:rPr>
        <w:t xml:space="preserve">measure of </w:t>
      </w:r>
      <w:r w:rsidR="00EF0456" w:rsidRPr="00345836">
        <w:rPr>
          <w:rFonts w:eastAsiaTheme="minorEastAsia" w:cs="Arial"/>
          <w:lang w:val="en-CA"/>
        </w:rPr>
        <w:t xml:space="preserve">decrease in production rate from the </w:t>
      </w:r>
      <w:r w:rsidR="00017E8A" w:rsidRPr="00345836">
        <w:rPr>
          <w:rFonts w:eastAsiaTheme="minorEastAsia" w:cs="Arial"/>
          <w:lang w:val="en-CA"/>
        </w:rPr>
        <w:t>A</w:t>
      </w:r>
      <w:r w:rsidR="00EF0456" w:rsidRPr="00345836">
        <w:rPr>
          <w:rFonts w:eastAsiaTheme="minorEastAsia" w:cs="Arial"/>
          <w:lang w:val="en-CA"/>
        </w:rPr>
        <w:t>llee effect and can be compared across stocks</w:t>
      </w:r>
      <w:r w:rsidR="00EF0456">
        <w:rPr>
          <w:rFonts w:eastAsiaTheme="minorEastAsia"/>
          <w:lang w:val="en-CA"/>
        </w:rPr>
        <w:t>.</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4441D1" w:rsidRDefault="009B7D76" w:rsidP="00117E5D">
      <w:pPr>
        <w:pStyle w:val="Caption"/>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Pr="004441D1">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pr</w:t>
      </w:r>
      <w:r w:rsidRPr="004441D1">
        <w:rPr>
          <w:rFonts w:cs="Arial"/>
          <w:color w:val="auto"/>
          <w:sz w:val="20"/>
          <w:szCs w:val="20"/>
          <w:vertAlign w:val="subscript"/>
          <w:lang w:val="en-CA"/>
        </w:rPr>
        <w:t>c</w:t>
      </w:r>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pr</w:t>
      </w:r>
      <w:r w:rsidRPr="004441D1">
        <w:rPr>
          <w:rFonts w:cs="Arial"/>
          <w:color w:val="auto"/>
          <w:sz w:val="20"/>
          <w:szCs w:val="20"/>
          <w:vertAlign w:val="subscript"/>
          <w:lang w:val="en-CA"/>
        </w:rPr>
        <w:t>d</w:t>
      </w:r>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pr</w:t>
      </w:r>
      <w:r w:rsidRPr="004441D1">
        <w:rPr>
          <w:rFonts w:cs="Arial"/>
          <w:color w:val="auto"/>
          <w:sz w:val="20"/>
          <w:szCs w:val="20"/>
          <w:vertAlign w:val="subscript"/>
          <w:lang w:val="en-CA"/>
        </w:rPr>
        <w:t>c</w:t>
      </w:r>
      <w:r w:rsidRPr="004441D1">
        <w:rPr>
          <w:rFonts w:cs="Arial"/>
          <w:color w:val="auto"/>
          <w:sz w:val="20"/>
          <w:szCs w:val="20"/>
          <w:lang w:val="en-CA"/>
        </w:rPr>
        <w:t xml:space="preserve"> and pr</w:t>
      </w:r>
      <w:r w:rsidRPr="004441D1">
        <w:rPr>
          <w:rFonts w:cs="Arial"/>
          <w:color w:val="auto"/>
          <w:sz w:val="20"/>
          <w:szCs w:val="20"/>
          <w:vertAlign w:val="subscript"/>
          <w:lang w:val="en-CA"/>
        </w:rPr>
        <w:t>d</w:t>
      </w:r>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7F2F0B" w:rsidRDefault="00BE1103" w:rsidP="00AB6F41">
      <w:pPr>
        <w:pStyle w:val="Heading1"/>
        <w:rPr>
          <w:rFonts w:ascii="Arial" w:hAnsi="Arial" w:cs="Arial"/>
          <w:color w:val="auto"/>
          <w:sz w:val="24"/>
          <w:szCs w:val="24"/>
        </w:rPr>
      </w:pPr>
      <w:r w:rsidRPr="007F2F0B">
        <w:rPr>
          <w:rFonts w:ascii="Arial" w:hAnsi="Arial" w:cs="Arial"/>
          <w:color w:val="auto"/>
          <w:sz w:val="24"/>
          <w:szCs w:val="24"/>
        </w:rPr>
        <w:t>Results</w:t>
      </w:r>
    </w:p>
    <w:p w14:paraId="2B685A8F" w14:textId="50AB9F02" w:rsidR="0046244A" w:rsidRPr="00345836" w:rsidRDefault="00674359" w:rsidP="0046244A">
      <w:pPr>
        <w:rPr>
          <w:rFonts w:ascii="Arial" w:hAnsi="Arial" w:cs="Arial"/>
        </w:rPr>
      </w:pPr>
      <w:r>
        <w:rPr>
          <w:rFonts w:ascii="Arial" w:hAnsi="Arial" w:cs="Arial"/>
        </w:rPr>
        <w:t>2</w:t>
      </w:r>
      <w:r w:rsidR="000F2818">
        <w:rPr>
          <w:rFonts w:ascii="Arial" w:hAnsi="Arial" w:cs="Arial"/>
        </w:rPr>
        <w:t>4</w:t>
      </w:r>
      <w:r w:rsidR="0046244A" w:rsidRPr="00345836">
        <w:rPr>
          <w:rFonts w:ascii="Arial" w:hAnsi="Arial" w:cs="Arial"/>
        </w:rPr>
        <w:t xml:space="preserve"> Atlantic cod stocks were analyzed. 100% of them declined to biomass below their assumed LRP. </w:t>
      </w:r>
    </w:p>
    <w:p w14:paraId="5D66E4A8" w14:textId="16E14A0B" w:rsidR="00EF0456" w:rsidRDefault="00DB11D2" w:rsidP="00EF0456">
      <w:pPr>
        <w:keepNext/>
      </w:pPr>
      <w:r>
        <w:rPr>
          <w:noProof/>
        </w:rPr>
        <w:lastRenderedPageBreak/>
        <w:drawing>
          <wp:inline distT="0" distB="0" distL="0" distR="0" wp14:anchorId="6A1636A3" wp14:editId="0A4C97F3">
            <wp:extent cx="5943600" cy="5094514"/>
            <wp:effectExtent l="0" t="0" r="0" b="0"/>
            <wp:docPr id="37393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3945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r w:rsidR="004441D1">
        <w:rPr>
          <w:noProof/>
        </w:rPr>
        <w:t xml:space="preserve"> </w:t>
      </w:r>
    </w:p>
    <w:p w14:paraId="4F5EF086"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53C3935D" w14:textId="77777777" w:rsidR="00BE1103" w:rsidRDefault="00BE1103" w:rsidP="00C23353"/>
    <w:p w14:paraId="10F9448F" w14:textId="0E5864CB" w:rsidR="00EF0456" w:rsidRDefault="004441D1" w:rsidP="00EF0456">
      <w:pPr>
        <w:keepNext/>
      </w:pPr>
      <w:r>
        <w:rPr>
          <w:noProof/>
        </w:rPr>
        <w:lastRenderedPageBreak/>
        <w:t xml:space="preserve"> </w:t>
      </w:r>
      <w:r>
        <w:rPr>
          <w:noProof/>
        </w:rPr>
        <w:drawing>
          <wp:inline distT="0" distB="0" distL="0" distR="0" wp14:anchorId="1102DD80" wp14:editId="3CCAD9A6">
            <wp:extent cx="5486400" cy="4571999"/>
            <wp:effectExtent l="0" t="0" r="0" b="635"/>
            <wp:docPr id="1555986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486400" cy="4571999"/>
                    </a:xfrm>
                    <a:prstGeom prst="rect">
                      <a:avLst/>
                    </a:prstGeom>
                    <a:noFill/>
                    <a:ln>
                      <a:noFill/>
                    </a:ln>
                  </pic:spPr>
                </pic:pic>
              </a:graphicData>
            </a:graphic>
          </wp:inline>
        </w:drawing>
      </w:r>
      <w:r>
        <w:rPr>
          <w:noProof/>
        </w:rPr>
        <w:t xml:space="preserve">  </w:t>
      </w:r>
    </w:p>
    <w:p w14:paraId="45C7D965"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117E5D"/>
    <w:p w14:paraId="5A3384A9" w14:textId="19E6D716" w:rsidR="00EF0456" w:rsidRDefault="00DB11D2" w:rsidP="00EF0456">
      <w:pPr>
        <w:keepNext/>
      </w:pPr>
      <w:r>
        <w:rPr>
          <w:noProof/>
        </w:rPr>
        <w:lastRenderedPageBreak/>
        <w:drawing>
          <wp:inline distT="0" distB="0" distL="0" distR="0" wp14:anchorId="3E6A4077" wp14:editId="03794A84">
            <wp:extent cx="5943600" cy="5094514"/>
            <wp:effectExtent l="0" t="0" r="0" b="0"/>
            <wp:docPr id="221779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79071"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p>
    <w:p w14:paraId="0575297B" w14:textId="6D159660" w:rsidR="0072607F" w:rsidRDefault="00EF0456" w:rsidP="00EF0456">
      <w:pPr>
        <w:pStyle w:val="Caption"/>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9B7D76" w:rsidRPr="00965A31">
        <w:rPr>
          <w:noProof/>
          <w:sz w:val="20"/>
          <w:szCs w:val="20"/>
        </w:rPr>
        <w:t>4</w:t>
      </w:r>
      <w:r w:rsidRPr="00965A31">
        <w:rPr>
          <w:sz w:val="20"/>
          <w:szCs w:val="20"/>
        </w:rPr>
        <w:fldChar w:fldCharType="end"/>
      </w:r>
      <w:r w:rsidRPr="00965A31">
        <w:rPr>
          <w:sz w:val="20"/>
          <w:szCs w:val="20"/>
        </w:rPr>
        <w:t xml:space="preserve">: </w:t>
      </w:r>
      <w:r w:rsidR="00EF3692">
        <w:rPr>
          <w:sz w:val="20"/>
          <w:szCs w:val="20"/>
        </w:rPr>
        <w:t xml:space="preserve">Depensation stocks; </w:t>
      </w:r>
      <w:r w:rsidR="00965A31" w:rsidRPr="00965A31">
        <w:rPr>
          <w:sz w:val="20"/>
          <w:szCs w:val="20"/>
        </w:rPr>
        <w:t xml:space="preserve">Atlantic cod stocks production rate (y axis) in function of biomass (x axis)  the blue solid line is a linear regression line </w:t>
      </w:r>
      <w:r w:rsidRPr="00965A31">
        <w:rPr>
          <w:sz w:val="20"/>
          <w:szCs w:val="20"/>
        </w:rPr>
        <w:t>over the range of data</w:t>
      </w:r>
      <w:r w:rsidR="00965A31" w:rsidRPr="00965A31">
        <w:rPr>
          <w:sz w:val="20"/>
          <w:szCs w:val="20"/>
        </w:rPr>
        <w:t>, showing only stock where a linear regression had lower AIC than a segmented regression model.</w:t>
      </w:r>
    </w:p>
    <w:p w14:paraId="5F8447FD" w14:textId="77777777" w:rsidR="00EF3692" w:rsidRDefault="00EF3692" w:rsidP="00EF3692">
      <w:pPr>
        <w:keepNext/>
      </w:pPr>
      <w:r>
        <w:rPr>
          <w:noProof/>
        </w:rPr>
        <w:lastRenderedPageBreak/>
        <w:drawing>
          <wp:inline distT="0" distB="0" distL="0" distR="0" wp14:anchorId="2959C4D1" wp14:editId="1BA77D29">
            <wp:extent cx="5943520" cy="6792594"/>
            <wp:effectExtent l="0" t="0" r="635" b="8890"/>
            <wp:docPr id="12775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38786"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43520" cy="6792594"/>
                    </a:xfrm>
                    <a:prstGeom prst="rect">
                      <a:avLst/>
                    </a:prstGeom>
                    <a:noFill/>
                    <a:ln>
                      <a:noFill/>
                    </a:ln>
                  </pic:spPr>
                </pic:pic>
              </a:graphicData>
            </a:graphic>
          </wp:inline>
        </w:drawing>
      </w:r>
    </w:p>
    <w:p w14:paraId="5C16533E" w14:textId="77DAB039" w:rsidR="00EF3692" w:rsidRPr="00EF3692" w:rsidRDefault="00EF3692" w:rsidP="00EF3692">
      <w:r w:rsidRPr="00965A31">
        <w:rPr>
          <w:sz w:val="20"/>
          <w:szCs w:val="20"/>
        </w:rPr>
        <w:t xml:space="preserve">Figure </w:t>
      </w:r>
      <w:r>
        <w:rPr>
          <w:sz w:val="20"/>
          <w:szCs w:val="20"/>
        </w:rPr>
        <w:t>5</w:t>
      </w:r>
      <w:r w:rsidRPr="00965A31">
        <w:rPr>
          <w:sz w:val="20"/>
          <w:szCs w:val="20"/>
        </w:rPr>
        <w:t xml:space="preserve">: </w:t>
      </w:r>
      <w:r>
        <w:rPr>
          <w:sz w:val="20"/>
          <w:szCs w:val="20"/>
        </w:rPr>
        <w:t>Com</w:t>
      </w:r>
      <w:r>
        <w:rPr>
          <w:sz w:val="20"/>
          <w:szCs w:val="20"/>
        </w:rPr>
        <w:t xml:space="preserve">pensation stocks; </w:t>
      </w:r>
      <w:r w:rsidRPr="00965A31">
        <w:rPr>
          <w:sz w:val="20"/>
          <w:szCs w:val="20"/>
        </w:rPr>
        <w:t>Atlantic cod stocks production rate (y axis) in function of biomass (x axis)  the blue solid line is a linear regression line over the range of data, showing only stock where a linear regression had lower AIC than a segmented regression model</w:t>
      </w:r>
    </w:p>
    <w:p w14:paraId="32CBAA72" w14:textId="48CDDDC7" w:rsidR="00070BC3" w:rsidRDefault="00070BC3" w:rsidP="00070BC3">
      <w:pPr>
        <w:pStyle w:val="Caption"/>
        <w:keepNext/>
      </w:pPr>
      <w:r>
        <w:lastRenderedPageBreak/>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4441D1">
        <w:rPr>
          <w:color w:val="auto"/>
          <w:sz w:val="20"/>
          <w:szCs w:val="20"/>
        </w:rPr>
        <w:t xml:space="preserve">Atlantic cod stock identification label (Stock ID), </w:t>
      </w:r>
      <w:r>
        <w:rPr>
          <w:color w:val="auto"/>
          <w:sz w:val="20"/>
          <w:szCs w:val="20"/>
        </w:rPr>
        <w:t>Allee effect strength (As), production rate at lowest observed biomass, lowest depletion level (fraction of proxy for biomass limit reference point), Allee effect detected, and stock status in terminal year.</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070BC3">
        <w:trPr>
          <w:trHeight w:val="980"/>
        </w:trPr>
        <w:tc>
          <w:tcPr>
            <w:tcW w:w="1800" w:type="dxa"/>
            <w:shd w:val="clear" w:color="auto" w:fill="auto"/>
            <w:noWrap/>
            <w:vAlign w:val="center"/>
            <w:hideMark/>
          </w:tcPr>
          <w:p w14:paraId="725A70F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Stock ID</w:t>
            </w:r>
          </w:p>
        </w:tc>
        <w:tc>
          <w:tcPr>
            <w:tcW w:w="1125" w:type="dxa"/>
            <w:shd w:val="clear" w:color="auto" w:fill="auto"/>
            <w:noWrap/>
            <w:vAlign w:val="center"/>
            <w:hideMark/>
          </w:tcPr>
          <w:p w14:paraId="12AC382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shd w:val="clear" w:color="auto" w:fill="auto"/>
            <w:noWrap/>
            <w:vAlign w:val="center"/>
            <w:hideMark/>
          </w:tcPr>
          <w:p w14:paraId="73F2FF37" w14:textId="39814996" w:rsidR="00117E5D" w:rsidRPr="00117E5D" w:rsidRDefault="0057280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Mean p</w:t>
            </w:r>
            <w:r w:rsidR="00117E5D" w:rsidRPr="00117E5D">
              <w:rPr>
                <w:rFonts w:ascii="Aptos Narrow" w:eastAsia="Times New Roman" w:hAnsi="Aptos Narrow" w:cs="Times New Roman"/>
                <w:color w:val="000000"/>
                <w:kern w:val="0"/>
                <w:sz w:val="18"/>
                <w:szCs w:val="18"/>
                <w14:ligatures w14:val="none"/>
              </w:rPr>
              <w:t>roduction rate at lowest observed biomass</w:t>
            </w:r>
          </w:p>
        </w:tc>
        <w:tc>
          <w:tcPr>
            <w:tcW w:w="2227" w:type="dxa"/>
            <w:shd w:val="clear" w:color="auto" w:fill="auto"/>
            <w:noWrap/>
            <w:vAlign w:val="center"/>
            <w:hideMark/>
          </w:tcPr>
          <w:p w14:paraId="4C35D3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Depletion (fraction of lrp proxy, smaller number is more depleted)</w:t>
            </w:r>
          </w:p>
        </w:tc>
        <w:tc>
          <w:tcPr>
            <w:tcW w:w="1418" w:type="dxa"/>
            <w:vAlign w:val="center"/>
          </w:tcPr>
          <w:p w14:paraId="47ED525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shd w:val="clear" w:color="auto" w:fill="auto"/>
            <w:noWrap/>
            <w:vAlign w:val="center"/>
            <w:hideMark/>
          </w:tcPr>
          <w:p w14:paraId="767CA02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572806" w:rsidRPr="00117E5D" w14:paraId="7D800B99" w14:textId="77777777" w:rsidTr="00572806">
        <w:trPr>
          <w:trHeight w:val="300"/>
        </w:trPr>
        <w:tc>
          <w:tcPr>
            <w:tcW w:w="9356" w:type="dxa"/>
            <w:gridSpan w:val="6"/>
            <w:shd w:val="clear" w:color="auto" w:fill="auto"/>
            <w:noWrap/>
            <w:vAlign w:val="center"/>
          </w:tcPr>
          <w:p w14:paraId="64787DD4" w14:textId="6E18EF25" w:rsidR="00572806"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572806" w:rsidRPr="00117E5D" w14:paraId="3ED4BAFD" w14:textId="77777777" w:rsidTr="00572806">
        <w:trPr>
          <w:trHeight w:val="300"/>
        </w:trPr>
        <w:tc>
          <w:tcPr>
            <w:tcW w:w="1800" w:type="dxa"/>
            <w:shd w:val="clear" w:color="auto" w:fill="auto"/>
            <w:noWrap/>
            <w:vAlign w:val="center"/>
          </w:tcPr>
          <w:p w14:paraId="4D24AECF" w14:textId="253BCEB2"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TVn</w:t>
            </w:r>
          </w:p>
        </w:tc>
        <w:tc>
          <w:tcPr>
            <w:tcW w:w="1125" w:type="dxa"/>
            <w:shd w:val="clear" w:color="auto" w:fill="auto"/>
            <w:noWrap/>
            <w:vAlign w:val="center"/>
          </w:tcPr>
          <w:p w14:paraId="13531AD0" w14:textId="16A52E86"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tcPr>
          <w:p w14:paraId="76384858" w14:textId="59F68BCB"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tcPr>
          <w:p w14:paraId="683C4D4E" w14:textId="625DBE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vAlign w:val="center"/>
          </w:tcPr>
          <w:p w14:paraId="6C6E948E" w14:textId="41686A62"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460904" w14:textId="5DC5F7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2E897B37" w14:textId="77777777" w:rsidTr="00070BC3">
        <w:trPr>
          <w:trHeight w:val="300"/>
        </w:trPr>
        <w:tc>
          <w:tcPr>
            <w:tcW w:w="1800" w:type="dxa"/>
            <w:shd w:val="clear" w:color="auto" w:fill="auto"/>
            <w:noWrap/>
            <w:vAlign w:val="center"/>
          </w:tcPr>
          <w:p w14:paraId="7F14DC7B" w14:textId="31BE64B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VSw</w:t>
            </w:r>
          </w:p>
        </w:tc>
        <w:tc>
          <w:tcPr>
            <w:tcW w:w="1125" w:type="dxa"/>
            <w:shd w:val="clear" w:color="auto" w:fill="auto"/>
            <w:noWrap/>
            <w:vAlign w:val="center"/>
          </w:tcPr>
          <w:p w14:paraId="5E5B5843" w14:textId="62D86AB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7155ECA9" w14:textId="238417E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tcPr>
          <w:p w14:paraId="086505EF" w14:textId="1D96A036"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vAlign w:val="center"/>
          </w:tcPr>
          <w:p w14:paraId="26A16317" w14:textId="368D0B8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186324DA" w14:textId="5C00716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4988449" w14:textId="77777777" w:rsidTr="00070BC3">
        <w:trPr>
          <w:trHeight w:val="300"/>
        </w:trPr>
        <w:tc>
          <w:tcPr>
            <w:tcW w:w="1800" w:type="dxa"/>
            <w:shd w:val="clear" w:color="auto" w:fill="auto"/>
            <w:noWrap/>
            <w:vAlign w:val="center"/>
          </w:tcPr>
          <w:p w14:paraId="6B35821E" w14:textId="156257C9"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1125" w:type="dxa"/>
            <w:shd w:val="clear" w:color="auto" w:fill="auto"/>
            <w:noWrap/>
            <w:vAlign w:val="center"/>
          </w:tcPr>
          <w:p w14:paraId="7ECD9A74" w14:textId="78CE72E3"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30AB412A" w14:textId="231A6980"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0.10</w:t>
            </w:r>
          </w:p>
        </w:tc>
        <w:tc>
          <w:tcPr>
            <w:tcW w:w="2227" w:type="dxa"/>
            <w:shd w:val="clear" w:color="auto" w:fill="auto"/>
            <w:noWrap/>
            <w:vAlign w:val="center"/>
          </w:tcPr>
          <w:p w14:paraId="34EFA6D3" w14:textId="474E10D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0.19</w:t>
            </w:r>
          </w:p>
        </w:tc>
        <w:tc>
          <w:tcPr>
            <w:tcW w:w="1418" w:type="dxa"/>
            <w:vAlign w:val="center"/>
          </w:tcPr>
          <w:p w14:paraId="68DFB9D4" w14:textId="18E9E56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E8D74D" w14:textId="601332BB"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7279923" w14:textId="77777777" w:rsidTr="00070BC3">
        <w:trPr>
          <w:trHeight w:val="300"/>
        </w:trPr>
        <w:tc>
          <w:tcPr>
            <w:tcW w:w="1800" w:type="dxa"/>
            <w:shd w:val="clear" w:color="auto" w:fill="auto"/>
            <w:noWrap/>
            <w:vAlign w:val="center"/>
          </w:tcPr>
          <w:p w14:paraId="090D2ADD" w14:textId="067E215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w:t>
            </w:r>
            <w:r>
              <w:rPr>
                <w:rFonts w:ascii="Aptos Narrow" w:eastAsia="Times New Roman" w:hAnsi="Aptos Narrow" w:cs="Times New Roman"/>
                <w:color w:val="000000"/>
                <w:kern w:val="0"/>
                <w:sz w:val="18"/>
                <w:szCs w:val="18"/>
                <w14:ligatures w14:val="none"/>
              </w:rPr>
              <w:t>J</w:t>
            </w:r>
            <w:r w:rsidRPr="00117E5D">
              <w:rPr>
                <w:rFonts w:ascii="Aptos Narrow" w:eastAsia="Times New Roman" w:hAnsi="Aptos Narrow" w:cs="Times New Roman"/>
                <w:color w:val="000000"/>
                <w:kern w:val="0"/>
                <w:sz w:val="18"/>
                <w:szCs w:val="18"/>
                <w14:ligatures w14:val="none"/>
              </w:rPr>
              <w:t>3</w:t>
            </w:r>
            <w:r>
              <w:rPr>
                <w:rFonts w:ascii="Aptos Narrow" w:eastAsia="Times New Roman" w:hAnsi="Aptos Narrow" w:cs="Times New Roman"/>
                <w:color w:val="000000"/>
                <w:kern w:val="0"/>
                <w:sz w:val="18"/>
                <w:szCs w:val="18"/>
                <w14:ligatures w14:val="none"/>
              </w:rPr>
              <w:t>KL</w:t>
            </w:r>
          </w:p>
        </w:tc>
        <w:tc>
          <w:tcPr>
            <w:tcW w:w="1125" w:type="dxa"/>
            <w:shd w:val="clear" w:color="auto" w:fill="auto"/>
            <w:noWrap/>
            <w:vAlign w:val="center"/>
          </w:tcPr>
          <w:p w14:paraId="593204C6" w14:textId="50F03FF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tcPr>
          <w:p w14:paraId="6EEE0B60" w14:textId="2BD317A3"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tcPr>
          <w:p w14:paraId="3D374DD9" w14:textId="5C3E9C6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0DB24DEF" w14:textId="69042E7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C6483F9" w14:textId="60771A11"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572806" w:rsidRPr="00117E5D" w14:paraId="79171397" w14:textId="77777777" w:rsidTr="00070BC3">
        <w:trPr>
          <w:trHeight w:val="300"/>
        </w:trPr>
        <w:tc>
          <w:tcPr>
            <w:tcW w:w="1800" w:type="dxa"/>
            <w:shd w:val="clear" w:color="auto" w:fill="auto"/>
            <w:noWrap/>
            <w:vAlign w:val="center"/>
          </w:tcPr>
          <w:p w14:paraId="61798A24" w14:textId="6D0C90E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1125" w:type="dxa"/>
            <w:shd w:val="clear" w:color="auto" w:fill="auto"/>
            <w:noWrap/>
            <w:vAlign w:val="center"/>
          </w:tcPr>
          <w:p w14:paraId="0EB56CE9" w14:textId="161F3F9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611FD459" w14:textId="47D83A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0.43</w:t>
            </w:r>
          </w:p>
        </w:tc>
        <w:tc>
          <w:tcPr>
            <w:tcW w:w="2227" w:type="dxa"/>
            <w:shd w:val="clear" w:color="auto" w:fill="auto"/>
            <w:noWrap/>
            <w:vAlign w:val="center"/>
          </w:tcPr>
          <w:p w14:paraId="1D2252E5" w14:textId="4D40CA9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0.10</w:t>
            </w:r>
          </w:p>
        </w:tc>
        <w:tc>
          <w:tcPr>
            <w:tcW w:w="1418" w:type="dxa"/>
            <w:vAlign w:val="center"/>
          </w:tcPr>
          <w:p w14:paraId="48D2D8A2" w14:textId="49A945BE"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BCD9697" w14:textId="7DE57505"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9836113" w14:textId="77777777" w:rsidTr="00070BC3">
        <w:trPr>
          <w:trHeight w:val="300"/>
        </w:trPr>
        <w:tc>
          <w:tcPr>
            <w:tcW w:w="1800" w:type="dxa"/>
            <w:shd w:val="clear" w:color="auto" w:fill="auto"/>
            <w:noWrap/>
            <w:vAlign w:val="center"/>
          </w:tcPr>
          <w:p w14:paraId="45F3444F" w14:textId="0A8472D4"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shd w:val="clear" w:color="auto" w:fill="auto"/>
            <w:noWrap/>
            <w:vAlign w:val="center"/>
          </w:tcPr>
          <w:p w14:paraId="20905DF2" w14:textId="1635F89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tcPr>
          <w:p w14:paraId="5D70DF2F" w14:textId="2F8EC74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tcPr>
          <w:p w14:paraId="4E2EF8D9" w14:textId="13806D8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vAlign w:val="center"/>
          </w:tcPr>
          <w:p w14:paraId="7B0D7073" w14:textId="40F783E1"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4D9FE0E4" w14:textId="728B176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0C7F2861" w14:textId="77777777" w:rsidTr="00070BC3">
        <w:trPr>
          <w:trHeight w:val="300"/>
        </w:trPr>
        <w:tc>
          <w:tcPr>
            <w:tcW w:w="1800" w:type="dxa"/>
            <w:shd w:val="clear" w:color="auto" w:fill="auto"/>
            <w:noWrap/>
            <w:vAlign w:val="center"/>
          </w:tcPr>
          <w:p w14:paraId="11CB2AFB" w14:textId="70F20E10"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1IN</w:t>
            </w:r>
          </w:p>
        </w:tc>
        <w:tc>
          <w:tcPr>
            <w:tcW w:w="1125" w:type="dxa"/>
            <w:shd w:val="clear" w:color="auto" w:fill="auto"/>
            <w:noWrap/>
            <w:vAlign w:val="center"/>
          </w:tcPr>
          <w:p w14:paraId="3A3CA1F2" w14:textId="457E5E4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tcPr>
          <w:p w14:paraId="431D94AF" w14:textId="1BF334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tcPr>
          <w:p w14:paraId="60DDDA42" w14:textId="5C382F0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vAlign w:val="center"/>
          </w:tcPr>
          <w:p w14:paraId="3A0B0A44" w14:textId="727208FF"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495A8F2" w14:textId="1BD00178"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572806" w:rsidRPr="00117E5D" w14:paraId="5F207B5F" w14:textId="77777777" w:rsidTr="00070BC3">
        <w:trPr>
          <w:trHeight w:val="300"/>
        </w:trPr>
        <w:tc>
          <w:tcPr>
            <w:tcW w:w="1800" w:type="dxa"/>
            <w:shd w:val="clear" w:color="auto" w:fill="auto"/>
            <w:noWrap/>
            <w:vAlign w:val="center"/>
          </w:tcPr>
          <w:p w14:paraId="3B9466CE" w14:textId="62987A5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shd w:val="clear" w:color="auto" w:fill="auto"/>
            <w:noWrap/>
            <w:vAlign w:val="center"/>
          </w:tcPr>
          <w:p w14:paraId="4738B67E" w14:textId="0E9A4EE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65BDC874" w14:textId="50D27C1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3CBFEB53" w14:textId="35F05035"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vAlign w:val="center"/>
          </w:tcPr>
          <w:p w14:paraId="29B3992F" w14:textId="5F41DBC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A08653B" w14:textId="7C98D83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04B9F70" w14:textId="77777777" w:rsidTr="00070BC3">
        <w:trPr>
          <w:trHeight w:val="300"/>
        </w:trPr>
        <w:tc>
          <w:tcPr>
            <w:tcW w:w="1800" w:type="dxa"/>
            <w:shd w:val="clear" w:color="auto" w:fill="auto"/>
            <w:noWrap/>
            <w:vAlign w:val="center"/>
          </w:tcPr>
          <w:p w14:paraId="3120FE64" w14:textId="3D7BB625"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shd w:val="clear" w:color="auto" w:fill="auto"/>
            <w:noWrap/>
            <w:vAlign w:val="center"/>
          </w:tcPr>
          <w:p w14:paraId="59CBFE45" w14:textId="4E078A79" w:rsidR="00572806" w:rsidRPr="000307F4"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1E682E6" w14:textId="1258266A" w:rsidR="00572806" w:rsidRPr="00117E5D" w:rsidRDefault="00572806" w:rsidP="0057280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03385F44" w14:textId="5AC67DE8"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4AB5F8A" w14:textId="0BD91F7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D7D0592" w14:textId="239937E8" w:rsidR="00572806" w:rsidRPr="00F4606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05CA6A59" w14:textId="77777777" w:rsidTr="00070BC3">
        <w:trPr>
          <w:trHeight w:val="300"/>
        </w:trPr>
        <w:tc>
          <w:tcPr>
            <w:tcW w:w="1800" w:type="dxa"/>
            <w:shd w:val="clear" w:color="auto" w:fill="auto"/>
            <w:noWrap/>
            <w:vAlign w:val="center"/>
          </w:tcPr>
          <w:p w14:paraId="64254B28" w14:textId="3178079F"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3NO</w:t>
            </w:r>
          </w:p>
        </w:tc>
        <w:tc>
          <w:tcPr>
            <w:tcW w:w="1125" w:type="dxa"/>
            <w:shd w:val="clear" w:color="auto" w:fill="auto"/>
            <w:noWrap/>
            <w:vAlign w:val="center"/>
          </w:tcPr>
          <w:p w14:paraId="05C11FFE" w14:textId="64C9299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CF4FA4F" w14:textId="144E577C"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862D86">
              <w:rPr>
                <w:rFonts w:ascii="Times New Roman" w:eastAsia="Times New Roman" w:hAnsi="Times New Roman" w:cs="Times New Roman"/>
                <w:kern w:val="0"/>
                <w:sz w:val="18"/>
                <w:szCs w:val="18"/>
                <w14:ligatures w14:val="none"/>
              </w:rPr>
              <w:t>0.14</w:t>
            </w:r>
          </w:p>
        </w:tc>
        <w:tc>
          <w:tcPr>
            <w:tcW w:w="2227" w:type="dxa"/>
            <w:shd w:val="clear" w:color="auto" w:fill="auto"/>
            <w:noWrap/>
            <w:vAlign w:val="center"/>
          </w:tcPr>
          <w:p w14:paraId="3D339AE4" w14:textId="1C7EF5A8"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w:t>
            </w:r>
            <w:r>
              <w:rPr>
                <w:rFonts w:ascii="Aptos Narrow" w:eastAsia="Times New Roman" w:hAnsi="Aptos Narrow" w:cs="Times New Roman"/>
                <w:color w:val="000000"/>
                <w:kern w:val="0"/>
                <w:sz w:val="18"/>
                <w:szCs w:val="18"/>
                <w14:ligatures w14:val="none"/>
              </w:rPr>
              <w:t>5</w:t>
            </w:r>
          </w:p>
        </w:tc>
        <w:tc>
          <w:tcPr>
            <w:tcW w:w="1418" w:type="dxa"/>
            <w:vAlign w:val="center"/>
          </w:tcPr>
          <w:p w14:paraId="7FC9EFC5" w14:textId="4DA2FE0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1005BB2" w14:textId="00F938A1" w:rsidR="00862D86" w:rsidRPr="00F4606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862D86" w:rsidRPr="00117E5D" w14:paraId="44A28C96" w14:textId="77777777" w:rsidTr="00070BC3">
        <w:trPr>
          <w:trHeight w:val="300"/>
        </w:trPr>
        <w:tc>
          <w:tcPr>
            <w:tcW w:w="1800" w:type="dxa"/>
            <w:shd w:val="clear" w:color="auto" w:fill="auto"/>
            <w:noWrap/>
            <w:vAlign w:val="center"/>
          </w:tcPr>
          <w:p w14:paraId="29A9798C" w14:textId="2586EB6D"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1F-XIV</w:t>
            </w:r>
          </w:p>
        </w:tc>
        <w:tc>
          <w:tcPr>
            <w:tcW w:w="1125" w:type="dxa"/>
            <w:shd w:val="clear" w:color="auto" w:fill="auto"/>
            <w:noWrap/>
            <w:vAlign w:val="center"/>
          </w:tcPr>
          <w:p w14:paraId="65A8C5CD" w14:textId="66192F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6B9306D" w14:textId="03B31BBB"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tcPr>
          <w:p w14:paraId="59838F1A" w14:textId="093B920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2715B98E" w14:textId="4D5CE54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077C3FA7" w14:textId="7FD41E5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78839476" w14:textId="77777777" w:rsidTr="00070BC3">
        <w:trPr>
          <w:trHeight w:val="300"/>
        </w:trPr>
        <w:tc>
          <w:tcPr>
            <w:tcW w:w="1800" w:type="dxa"/>
            <w:shd w:val="clear" w:color="auto" w:fill="auto"/>
            <w:noWrap/>
            <w:vAlign w:val="center"/>
          </w:tcPr>
          <w:p w14:paraId="6D5308EA" w14:textId="4096B82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5Zjm</w:t>
            </w:r>
          </w:p>
        </w:tc>
        <w:tc>
          <w:tcPr>
            <w:tcW w:w="1125" w:type="dxa"/>
            <w:shd w:val="clear" w:color="auto" w:fill="auto"/>
            <w:noWrap/>
            <w:vAlign w:val="center"/>
          </w:tcPr>
          <w:p w14:paraId="2589EEB9" w14:textId="07578AB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3797F078" w14:textId="4471FA6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shd w:val="clear" w:color="auto" w:fill="auto"/>
            <w:noWrap/>
            <w:vAlign w:val="center"/>
          </w:tcPr>
          <w:p w14:paraId="5AF10D73" w14:textId="63A12746"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6C9DD728" w14:textId="386C960D"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E540653" w14:textId="38C5409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AE712BB" w14:textId="77777777" w:rsidTr="00070BC3">
        <w:trPr>
          <w:trHeight w:val="300"/>
        </w:trPr>
        <w:tc>
          <w:tcPr>
            <w:tcW w:w="1800" w:type="dxa"/>
            <w:shd w:val="clear" w:color="auto" w:fill="auto"/>
            <w:noWrap/>
            <w:vAlign w:val="center"/>
          </w:tcPr>
          <w:p w14:paraId="24D6BEB3" w14:textId="7942906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3M</w:t>
            </w:r>
          </w:p>
        </w:tc>
        <w:tc>
          <w:tcPr>
            <w:tcW w:w="1125" w:type="dxa"/>
            <w:shd w:val="clear" w:color="auto" w:fill="auto"/>
            <w:noWrap/>
            <w:vAlign w:val="center"/>
          </w:tcPr>
          <w:p w14:paraId="5D5E9378" w14:textId="43FA101C"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04C5683" w14:textId="32B32018"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highlight w:val="red"/>
                <w14:ligatures w14:val="none"/>
              </w:rPr>
            </w:pPr>
            <w:r w:rsidRPr="00DB11D2">
              <w:rPr>
                <w:rFonts w:ascii="Aptos Narrow" w:eastAsia="Times New Roman" w:hAnsi="Aptos Narrow" w:cs="Times New Roman"/>
                <w:color w:val="000000"/>
                <w:kern w:val="0"/>
                <w:sz w:val="18"/>
                <w:szCs w:val="18"/>
                <w14:ligatures w14:val="none"/>
              </w:rPr>
              <w:t>0.11</w:t>
            </w:r>
          </w:p>
        </w:tc>
        <w:tc>
          <w:tcPr>
            <w:tcW w:w="2227" w:type="dxa"/>
            <w:shd w:val="clear" w:color="auto" w:fill="auto"/>
            <w:noWrap/>
            <w:vAlign w:val="center"/>
          </w:tcPr>
          <w:p w14:paraId="5B9F92FD" w14:textId="5C61AA41"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13D6E4FB" w14:textId="46BF5F5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61B2855" w14:textId="28D9BB7A"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6333E1E5" w14:textId="77777777" w:rsidTr="00070BC3">
        <w:trPr>
          <w:trHeight w:val="300"/>
        </w:trPr>
        <w:tc>
          <w:tcPr>
            <w:tcW w:w="1800" w:type="dxa"/>
            <w:shd w:val="clear" w:color="auto" w:fill="auto"/>
            <w:noWrap/>
            <w:vAlign w:val="center"/>
          </w:tcPr>
          <w:p w14:paraId="5CBD346F" w14:textId="00E7BDE5"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shd w:val="clear" w:color="auto" w:fill="auto"/>
            <w:noWrap/>
            <w:vAlign w:val="center"/>
          </w:tcPr>
          <w:p w14:paraId="61916F5F" w14:textId="556C9BE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36A82AE" w14:textId="42A62071"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1.22</w:t>
            </w:r>
          </w:p>
        </w:tc>
        <w:tc>
          <w:tcPr>
            <w:tcW w:w="2227" w:type="dxa"/>
            <w:shd w:val="clear" w:color="auto" w:fill="auto"/>
            <w:noWrap/>
            <w:vAlign w:val="center"/>
          </w:tcPr>
          <w:p w14:paraId="482407A8" w14:textId="7A375DDF"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0.01</w:t>
            </w:r>
          </w:p>
        </w:tc>
        <w:tc>
          <w:tcPr>
            <w:tcW w:w="1418" w:type="dxa"/>
            <w:vAlign w:val="center"/>
          </w:tcPr>
          <w:p w14:paraId="29468595" w14:textId="3919378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117F7EE5" w14:textId="17736E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40B936CF" w14:textId="77777777" w:rsidTr="00070BC3">
        <w:trPr>
          <w:trHeight w:val="300"/>
        </w:trPr>
        <w:tc>
          <w:tcPr>
            <w:tcW w:w="1800" w:type="dxa"/>
            <w:shd w:val="clear" w:color="auto" w:fill="auto"/>
            <w:noWrap/>
            <w:vAlign w:val="center"/>
          </w:tcPr>
          <w:p w14:paraId="035784CD" w14:textId="42513A1E"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1125" w:type="dxa"/>
            <w:shd w:val="clear" w:color="auto" w:fill="auto"/>
            <w:noWrap/>
            <w:vAlign w:val="center"/>
          </w:tcPr>
          <w:p w14:paraId="4F8E69B0" w14:textId="412F6B7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5796E24" w14:textId="533B650A"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0.80</w:t>
            </w:r>
          </w:p>
        </w:tc>
        <w:tc>
          <w:tcPr>
            <w:tcW w:w="2227" w:type="dxa"/>
            <w:shd w:val="clear" w:color="auto" w:fill="auto"/>
            <w:noWrap/>
            <w:vAlign w:val="center"/>
          </w:tcPr>
          <w:p w14:paraId="3E830F74" w14:textId="28A0072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44F4ADB5" w14:textId="1E401B52"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9B8C70D" w14:textId="1C64E7B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15D2FBE8" w14:textId="77777777" w:rsidTr="00572806">
        <w:trPr>
          <w:trHeight w:val="300"/>
        </w:trPr>
        <w:tc>
          <w:tcPr>
            <w:tcW w:w="9356" w:type="dxa"/>
            <w:gridSpan w:val="6"/>
            <w:shd w:val="clear" w:color="auto" w:fill="auto"/>
            <w:noWrap/>
            <w:vAlign w:val="center"/>
          </w:tcPr>
          <w:p w14:paraId="020BB2B2" w14:textId="57C1DD87" w:rsidR="00862D86"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117E5D" w14:paraId="41692791" w14:textId="77777777" w:rsidTr="00070BC3">
        <w:trPr>
          <w:trHeight w:val="300"/>
        </w:trPr>
        <w:tc>
          <w:tcPr>
            <w:tcW w:w="1800" w:type="dxa"/>
            <w:shd w:val="clear" w:color="auto" w:fill="auto"/>
            <w:noWrap/>
            <w:vAlign w:val="center"/>
          </w:tcPr>
          <w:p w14:paraId="572F0083" w14:textId="0D754823"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IIIaW-IV-VIId</w:t>
            </w:r>
          </w:p>
        </w:tc>
        <w:tc>
          <w:tcPr>
            <w:tcW w:w="1125" w:type="dxa"/>
            <w:shd w:val="clear" w:color="auto" w:fill="auto"/>
            <w:noWrap/>
            <w:vAlign w:val="center"/>
          </w:tcPr>
          <w:p w14:paraId="41337E0D" w14:textId="1DBB73C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tcPr>
          <w:p w14:paraId="6F77981B" w14:textId="3B56256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tcPr>
          <w:p w14:paraId="5A13266A" w14:textId="72E51D5B"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BB58BD9" w14:textId="5AA41675"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EC2C76A" w14:textId="63FE5DA5"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21C50EBF" w14:textId="77777777" w:rsidTr="00070BC3">
        <w:trPr>
          <w:trHeight w:val="300"/>
        </w:trPr>
        <w:tc>
          <w:tcPr>
            <w:tcW w:w="1800" w:type="dxa"/>
            <w:shd w:val="clear" w:color="auto" w:fill="auto"/>
            <w:noWrap/>
            <w:vAlign w:val="center"/>
          </w:tcPr>
          <w:p w14:paraId="3761033F" w14:textId="7AE5D97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ICE</w:t>
            </w:r>
          </w:p>
        </w:tc>
        <w:tc>
          <w:tcPr>
            <w:tcW w:w="1125" w:type="dxa"/>
            <w:shd w:val="clear" w:color="auto" w:fill="auto"/>
            <w:noWrap/>
            <w:vAlign w:val="center"/>
          </w:tcPr>
          <w:p w14:paraId="1FC666E6" w14:textId="535ABAF4"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9664552" w14:textId="5AC300F9"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tcPr>
          <w:p w14:paraId="037E245F" w14:textId="0609449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0.59</w:t>
            </w:r>
          </w:p>
        </w:tc>
        <w:tc>
          <w:tcPr>
            <w:tcW w:w="1418" w:type="dxa"/>
            <w:vAlign w:val="center"/>
          </w:tcPr>
          <w:p w14:paraId="1946123A" w14:textId="2C9969E4"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035FA03" w14:textId="14800E2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17AF00A" w14:textId="77777777" w:rsidTr="00070BC3">
        <w:trPr>
          <w:trHeight w:val="300"/>
        </w:trPr>
        <w:tc>
          <w:tcPr>
            <w:tcW w:w="1800" w:type="dxa"/>
            <w:shd w:val="clear" w:color="auto" w:fill="auto"/>
            <w:noWrap/>
            <w:vAlign w:val="center"/>
            <w:hideMark/>
          </w:tcPr>
          <w:p w14:paraId="02166244" w14:textId="3DE09B6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BA2224</w:t>
            </w:r>
          </w:p>
        </w:tc>
        <w:tc>
          <w:tcPr>
            <w:tcW w:w="1125" w:type="dxa"/>
            <w:shd w:val="clear" w:color="auto" w:fill="auto"/>
            <w:noWrap/>
            <w:vAlign w:val="center"/>
            <w:hideMark/>
          </w:tcPr>
          <w:p w14:paraId="2FC482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vAlign w:val="center"/>
          </w:tcPr>
          <w:p w14:paraId="3F6F875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4A8F99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3CC6DEC0" w14:textId="77777777" w:rsidTr="00070BC3">
        <w:trPr>
          <w:trHeight w:val="279"/>
        </w:trPr>
        <w:tc>
          <w:tcPr>
            <w:tcW w:w="1800" w:type="dxa"/>
            <w:shd w:val="clear" w:color="auto" w:fill="auto"/>
            <w:noWrap/>
            <w:vAlign w:val="center"/>
            <w:hideMark/>
          </w:tcPr>
          <w:p w14:paraId="74578A98" w14:textId="2619C1ED"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NEAR</w:t>
            </w:r>
          </w:p>
        </w:tc>
        <w:tc>
          <w:tcPr>
            <w:tcW w:w="1125" w:type="dxa"/>
            <w:shd w:val="clear" w:color="auto" w:fill="auto"/>
            <w:noWrap/>
            <w:vAlign w:val="center"/>
            <w:hideMark/>
          </w:tcPr>
          <w:p w14:paraId="5D6CD6B0"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shd w:val="clear" w:color="auto" w:fill="auto"/>
            <w:noWrap/>
            <w:vAlign w:val="center"/>
            <w:hideMark/>
          </w:tcPr>
          <w:p w14:paraId="2B8005E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vAlign w:val="center"/>
          </w:tcPr>
          <w:p w14:paraId="696E41E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5E351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D23B59B" w14:textId="77777777" w:rsidTr="00070BC3">
        <w:trPr>
          <w:trHeight w:val="300"/>
        </w:trPr>
        <w:tc>
          <w:tcPr>
            <w:tcW w:w="1800" w:type="dxa"/>
            <w:shd w:val="clear" w:color="auto" w:fill="auto"/>
            <w:noWrap/>
            <w:vAlign w:val="center"/>
            <w:hideMark/>
          </w:tcPr>
          <w:p w14:paraId="4F8BDD1B" w14:textId="326BFA0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BA2532</w:t>
            </w:r>
          </w:p>
        </w:tc>
        <w:tc>
          <w:tcPr>
            <w:tcW w:w="1125" w:type="dxa"/>
            <w:shd w:val="clear" w:color="auto" w:fill="auto"/>
            <w:noWrap/>
            <w:vAlign w:val="center"/>
            <w:hideMark/>
          </w:tcPr>
          <w:p w14:paraId="43AE291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vAlign w:val="center"/>
          </w:tcPr>
          <w:p w14:paraId="03C8A5D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38EECE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119B80C9" w14:textId="77777777" w:rsidTr="00070BC3">
        <w:trPr>
          <w:trHeight w:val="300"/>
        </w:trPr>
        <w:tc>
          <w:tcPr>
            <w:tcW w:w="1800" w:type="dxa"/>
            <w:shd w:val="clear" w:color="auto" w:fill="auto"/>
            <w:noWrap/>
            <w:vAlign w:val="center"/>
            <w:hideMark/>
          </w:tcPr>
          <w:p w14:paraId="1BF2F7C4" w14:textId="7C7508A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FAPL</w:t>
            </w:r>
          </w:p>
        </w:tc>
        <w:tc>
          <w:tcPr>
            <w:tcW w:w="1125" w:type="dxa"/>
            <w:shd w:val="clear" w:color="auto" w:fill="auto"/>
            <w:noWrap/>
            <w:vAlign w:val="center"/>
            <w:hideMark/>
          </w:tcPr>
          <w:p w14:paraId="5317DB8A" w14:textId="4C5ECAD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554E25F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vAlign w:val="center"/>
          </w:tcPr>
          <w:p w14:paraId="1EE4258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17FDF0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88B01AE" w14:textId="77777777" w:rsidTr="00070BC3">
        <w:trPr>
          <w:trHeight w:val="300"/>
        </w:trPr>
        <w:tc>
          <w:tcPr>
            <w:tcW w:w="1800" w:type="dxa"/>
            <w:shd w:val="clear" w:color="auto" w:fill="auto"/>
            <w:noWrap/>
            <w:vAlign w:val="center"/>
            <w:hideMark/>
          </w:tcPr>
          <w:p w14:paraId="15A85AD1" w14:textId="766C9E70"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VIIek</w:t>
            </w:r>
          </w:p>
        </w:tc>
        <w:tc>
          <w:tcPr>
            <w:tcW w:w="1125" w:type="dxa"/>
            <w:shd w:val="clear" w:color="auto" w:fill="auto"/>
            <w:noWrap/>
            <w:vAlign w:val="center"/>
            <w:hideMark/>
          </w:tcPr>
          <w:p w14:paraId="76B0B5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vAlign w:val="center"/>
          </w:tcPr>
          <w:p w14:paraId="5F0E236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C717B1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E5760C3" w14:textId="77777777" w:rsidTr="00070BC3">
        <w:trPr>
          <w:trHeight w:val="300"/>
        </w:trPr>
        <w:tc>
          <w:tcPr>
            <w:tcW w:w="1800" w:type="dxa"/>
            <w:shd w:val="clear" w:color="auto" w:fill="auto"/>
            <w:noWrap/>
            <w:vAlign w:val="center"/>
            <w:hideMark/>
          </w:tcPr>
          <w:p w14:paraId="4402C440" w14:textId="31F49D6A"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VIa</w:t>
            </w:r>
          </w:p>
        </w:tc>
        <w:tc>
          <w:tcPr>
            <w:tcW w:w="1125" w:type="dxa"/>
            <w:shd w:val="clear" w:color="auto" w:fill="auto"/>
            <w:noWrap/>
            <w:vAlign w:val="center"/>
            <w:hideMark/>
          </w:tcPr>
          <w:p w14:paraId="392FA4B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shd w:val="clear" w:color="auto" w:fill="auto"/>
            <w:noWrap/>
            <w:vAlign w:val="center"/>
            <w:hideMark/>
          </w:tcPr>
          <w:p w14:paraId="60E815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vAlign w:val="center"/>
          </w:tcPr>
          <w:p w14:paraId="428CDC09"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0E222A2"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2D5879C" w14:textId="77777777" w:rsidTr="00070BC3">
        <w:trPr>
          <w:trHeight w:val="300"/>
        </w:trPr>
        <w:tc>
          <w:tcPr>
            <w:tcW w:w="1800" w:type="dxa"/>
            <w:shd w:val="clear" w:color="auto" w:fill="auto"/>
            <w:noWrap/>
            <w:vAlign w:val="center"/>
            <w:hideMark/>
          </w:tcPr>
          <w:p w14:paraId="4012DE04" w14:textId="68145A00"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IS</w:t>
            </w:r>
          </w:p>
        </w:tc>
        <w:tc>
          <w:tcPr>
            <w:tcW w:w="1125" w:type="dxa"/>
            <w:shd w:val="clear" w:color="auto" w:fill="auto"/>
            <w:noWrap/>
            <w:vAlign w:val="center"/>
            <w:hideMark/>
          </w:tcPr>
          <w:p w14:paraId="2EDC1EC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01D030D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AEF8BD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C23353"/>
    <w:p w14:paraId="47798D8D" w14:textId="0FCB5C55" w:rsidR="00FE0298" w:rsidRDefault="00FE0298">
      <w:pPr>
        <w:rPr>
          <w:rFonts w:ascii="Arial" w:eastAsiaTheme="majorEastAsia" w:hAnsi="Arial" w:cs="Arial"/>
          <w:color w:val="0F4761" w:themeColor="accent1" w:themeShade="BF"/>
          <w:sz w:val="32"/>
          <w:szCs w:val="32"/>
        </w:rPr>
      </w:pPr>
      <w:r>
        <w:rPr>
          <w:rFonts w:ascii="Arial" w:hAnsi="Arial" w:cs="Arial"/>
        </w:rPr>
        <w:br w:type="page"/>
      </w:r>
    </w:p>
    <w:p w14:paraId="11FFAFA0" w14:textId="39B3E834" w:rsidR="00EF0456" w:rsidRPr="00FE0298" w:rsidRDefault="00FE0298" w:rsidP="00EF0456">
      <w:pPr>
        <w:pStyle w:val="Heading2"/>
        <w:rPr>
          <w:rFonts w:ascii="Arial" w:hAnsi="Arial" w:cs="Arial"/>
          <w:color w:val="auto"/>
          <w:sz w:val="24"/>
          <w:szCs w:val="24"/>
        </w:rPr>
      </w:pPr>
      <w:r w:rsidRPr="00FE0298">
        <w:rPr>
          <w:rFonts w:ascii="Arial" w:hAnsi="Arial" w:cs="Arial"/>
          <w:color w:val="auto"/>
          <w:sz w:val="24"/>
          <w:szCs w:val="24"/>
        </w:rPr>
        <w:lastRenderedPageBreak/>
        <w:t>Discussion</w:t>
      </w:r>
    </w:p>
    <w:p w14:paraId="37833B65" w14:textId="1AE71F96" w:rsidR="003E2836" w:rsidRDefault="003E2836" w:rsidP="003E2836">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CODIIIaW-IV-VIId</w:t>
      </w:r>
      <w:r>
        <w:rPr>
          <w:rFonts w:ascii="Aptos Narrow" w:eastAsia="Times New Roman" w:hAnsi="Aptos Narrow" w:cs="Times New Roman"/>
          <w:color w:val="000000"/>
          <w:kern w:val="0"/>
          <w:sz w:val="18"/>
          <w:szCs w:val="18"/>
          <w14:ligatures w14:val="none"/>
        </w:rPr>
        <w:t xml:space="preserve"> was the only northeast atlantic cod stocks showing an allee effect with breakpoint</w:t>
      </w:r>
    </w:p>
    <w:p w14:paraId="408A763F" w14:textId="77777777" w:rsidR="003E2836" w:rsidRPr="009B7D76" w:rsidRDefault="003E2836" w:rsidP="003E2836">
      <w:pPr>
        <w:spacing w:after="0" w:line="240" w:lineRule="auto"/>
        <w:rPr>
          <w:rFonts w:ascii="Aptos Narrow" w:eastAsia="Times New Roman" w:hAnsi="Aptos Narrow" w:cs="Times New Roman"/>
          <w:color w:val="000000"/>
          <w:kern w:val="0"/>
          <w:sz w:val="18"/>
          <w:szCs w:val="18"/>
          <w14:ligatures w14:val="none"/>
        </w:rPr>
      </w:pPr>
    </w:p>
    <w:p w14:paraId="4F3BD655" w14:textId="008EFB0B" w:rsidR="0015384D" w:rsidRPr="00345836" w:rsidRDefault="0015384D" w:rsidP="0015384D">
      <w:pPr>
        <w:rPr>
          <w:rFonts w:ascii="Arial" w:hAnsi="Arial" w:cs="Arial"/>
        </w:rPr>
      </w:pPr>
      <w:r w:rsidRPr="00345836">
        <w:rPr>
          <w:rFonts w:ascii="Arial" w:hAnsi="Arial" w:cs="Arial"/>
        </w:rPr>
        <w:t>Read and discuss latest david keith paper https://www.researchgate.net/publication/399733907_Demographics_and_recovery_potential_of_exploited_marine_teleosts</w:t>
      </w:r>
    </w:p>
    <w:p w14:paraId="190140E7" w14:textId="77777777" w:rsidR="00B37A75" w:rsidRPr="00345836" w:rsidRDefault="00B37A75" w:rsidP="00B37A75">
      <w:pPr>
        <w:rPr>
          <w:rFonts w:ascii="Arial" w:hAnsi="Arial" w:cs="Arial"/>
        </w:rPr>
      </w:pPr>
      <w:r w:rsidRPr="00345836">
        <w:rPr>
          <w:rFonts w:ascii="Arial" w:hAnsi="Arial" w:cs="Arial"/>
        </w:rPr>
        <w:t>All stocks reached very low relative biomass levels (depletion ≤ 0.6) and were classified as collapsed. Despite broadly similar depletion trajectories, recovery outcomes varied substantially among stocks.</w:t>
      </w:r>
    </w:p>
    <w:p w14:paraId="6023A519" w14:textId="77777777" w:rsidR="00B37A75" w:rsidRPr="00345836" w:rsidRDefault="00B37A75" w:rsidP="00B37A75">
      <w:pPr>
        <w:rPr>
          <w:rFonts w:ascii="Arial" w:hAnsi="Arial" w:cs="Arial"/>
        </w:rPr>
      </w:pPr>
      <w:r w:rsidRPr="00345836">
        <w:rPr>
          <w:rFonts w:ascii="Arial" w:hAnsi="Arial" w:cs="Arial"/>
        </w:rPr>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52819F5A" w14:textId="77777777" w:rsidR="00B37A75" w:rsidRPr="00345836" w:rsidRDefault="00B37A75" w:rsidP="00B37A75">
      <w:pPr>
        <w:rPr>
          <w:rFonts w:ascii="Arial" w:hAnsi="Arial" w:cs="Arial"/>
        </w:rPr>
      </w:pPr>
      <w:r w:rsidRPr="00345836">
        <w:rPr>
          <w:rFonts w:ascii="Arial" w:hAnsi="Arial" w:cs="Arial"/>
        </w:rPr>
        <w:t>In contrast, many stocks that failed to recover exhibited strong Allee effects, indicated by positive As values. These stocks also exhibited very low or negative production at their lowest observed biomass. Stocks such as 3Pn4RS, 4X5Y, 4vsw, 4tvn, 4tvn-SPM, and 2J3KL-SPM showed strong Allee effects, with production values near zero or negative (≤ 0.04). These stocks were also among the most severely depleted (depletion &lt; 0.3), suggesting that depensatory dynamics constrained population growth following collapse.</w:t>
      </w:r>
    </w:p>
    <w:p w14:paraId="51CB0F6B" w14:textId="77777777" w:rsidR="00B37A75" w:rsidRPr="00345836" w:rsidRDefault="00B37A75" w:rsidP="00B37A75">
      <w:pPr>
        <w:rPr>
          <w:rFonts w:ascii="Arial" w:hAnsi="Arial" w:cs="Arial"/>
        </w:rPr>
      </w:pPr>
      <w:r w:rsidRPr="00345836">
        <w:rPr>
          <w:rFonts w:ascii="Arial" w:hAnsi="Arial" w:cs="Arial"/>
        </w:rPr>
        <w:t>Stocks with negative As values, indicating no detectable Allee effect, showed mixed recovery outcomes. Several such stocks (e.g., CODBA2224, CODBA2532, CODVIIek, CODVIa, COD5Zjm, CODIS, and COD3NO) did not recover despite the absence of depensation, likely reflecting low production across their biomass range, including at their lowest observed biomass, and thus weak compensatory dynamics. It si possible that the time series for these stocks are from highly depleted states, masking a potential breakpoint in per capita production rates. In contrast, COD1F-XIV recovered, emphasizing the importance of positive production at low biomass even when Allee effects are weak or absent.</w:t>
      </w:r>
    </w:p>
    <w:p w14:paraId="761B5FE6" w14:textId="77777777" w:rsidR="00B37A75" w:rsidRPr="00345836" w:rsidRDefault="00B37A75" w:rsidP="00B37A75">
      <w:pPr>
        <w:rPr>
          <w:rFonts w:ascii="Arial" w:hAnsi="Arial" w:cs="Arial"/>
        </w:rPr>
      </w:pPr>
      <w:r w:rsidRPr="00345836">
        <w:rPr>
          <w:rFonts w:ascii="Arial" w:hAnsi="Arial" w:cs="Arial"/>
        </w:rPr>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133AE734" w14:textId="77777777" w:rsidR="00B37A75" w:rsidRPr="00345836" w:rsidRDefault="00B37A75" w:rsidP="00B37A75">
      <w:pPr>
        <w:rPr>
          <w:rFonts w:ascii="Arial" w:hAnsi="Arial" w:cs="Arial"/>
        </w:rPr>
      </w:pPr>
      <w:r w:rsidRPr="00345836">
        <w:rPr>
          <w:rFonts w:ascii="Arial" w:hAnsi="Arial" w:cs="Arial"/>
        </w:rPr>
        <w:lastRenderedPageBreak/>
        <w:t>A key contribution of this study is the use of surplus production dynamics to quantify the strength of Allee effects.</w:t>
      </w:r>
    </w:p>
    <w:p w14:paraId="55C4780D" w14:textId="77777777" w:rsidR="00117E5D" w:rsidRPr="00345836" w:rsidRDefault="00117E5D" w:rsidP="00117E5D">
      <w:pPr>
        <w:shd w:val="clear" w:color="auto" w:fill="FFFFFF"/>
        <w:spacing w:after="100" w:line="240" w:lineRule="auto"/>
        <w:rPr>
          <w:rFonts w:ascii="Arial" w:eastAsia="Times New Roman" w:hAnsi="Arial" w:cs="Arial"/>
          <w:color w:val="222222"/>
          <w:kern w:val="0"/>
          <w14:ligatures w14:val="none"/>
        </w:rPr>
      </w:pPr>
      <w:r w:rsidRPr="00345836">
        <w:rPr>
          <w:rFonts w:ascii="Arial" w:eastAsia="Times New Roman" w:hAnsi="Arial" w:cs="Arial"/>
          <w:color w:val="222222"/>
          <w:kern w:val="0"/>
          <w14:ligatures w14:val="none"/>
        </w:rPr>
        <w:t>The quantification of the of the strength of the effect is in production units which is easier to understand than an extra parameter of the stock recruit relationships</w:t>
      </w:r>
    </w:p>
    <w:p w14:paraId="6D3E7378" w14:textId="77777777" w:rsidR="00117E5D" w:rsidRPr="00345836" w:rsidRDefault="00117E5D" w:rsidP="00117E5D">
      <w:pPr>
        <w:rPr>
          <w:rFonts w:ascii="Arial" w:hAnsi="Arial" w:cs="Arial"/>
        </w:rPr>
      </w:pPr>
      <w:r w:rsidRPr="00345836">
        <w:rPr>
          <w:rFonts w:ascii="Arial" w:hAnsi="Arial" w:cs="Arial"/>
        </w:rPr>
        <w:t>Stock–recruitment functions carry inherent assumptions that may be violated in practice.</w:t>
      </w:r>
    </w:p>
    <w:p w14:paraId="0FE0C040" w14:textId="77777777" w:rsidR="00117E5D" w:rsidRPr="00345836" w:rsidRDefault="00117E5D" w:rsidP="00117E5D">
      <w:pPr>
        <w:rPr>
          <w:rFonts w:ascii="Arial" w:hAnsi="Arial" w:cs="Arial"/>
        </w:rPr>
      </w:pPr>
      <w:r w:rsidRPr="00345836">
        <w:rPr>
          <w:rFonts w:ascii="Arial" w:hAnsi="Arial" w:cs="Arial"/>
        </w:rPr>
        <w:t>They assume that recruitment is driven mainly by spawner abundance, but many stocks show weak or inconsistent recruitment dependence once environmental drivers are considered.  </w:t>
      </w:r>
    </w:p>
    <w:p w14:paraId="3C3C2241" w14:textId="77777777" w:rsidR="00490DDF" w:rsidRPr="00345836" w:rsidRDefault="00117E5D" w:rsidP="00117E5D">
      <w:pPr>
        <w:rPr>
          <w:rFonts w:ascii="Arial" w:eastAsia="Times New Roman" w:hAnsi="Arial" w:cs="Arial"/>
          <w:color w:val="222222"/>
        </w:rPr>
      </w:pPr>
      <w:r w:rsidRPr="00345836">
        <w:rPr>
          <w:rFonts w:ascii="Arial" w:hAnsi="Arial" w:cs="Arial"/>
        </w:rPr>
        <w:t>There is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generate misleading stock processes inferences.</w:t>
      </w:r>
      <w:r w:rsidRPr="00345836">
        <w:rPr>
          <w:rFonts w:ascii="Arial" w:eastAsia="Times New Roman" w:hAnsi="Arial" w:cs="Arial"/>
          <w:color w:val="222222"/>
        </w:rPr>
        <w:t xml:space="preserve"> </w:t>
      </w:r>
      <w:r w:rsidR="00490DDF" w:rsidRPr="00345836">
        <w:rPr>
          <w:rFonts w:ascii="Arial" w:hAnsi="Arial" w:cs="Arial"/>
          <w:color w:val="000000"/>
          <w:kern w:val="0"/>
        </w:rPr>
        <w:t>Atlantic cod in the sGSL are currently experiencing a strong Allee effect, with the rate of surplus production declining to neg- ative values as population biomass has decreased over the past decade. Changes in recruitment dynamics do not appear to be the primary cause of this negative productivity. While there does ap- pear to have been a weakening in recruitment compensation be- tween the 1970s and 1990s (cf. Keith and Hutchings 2012), there is no evidence for depensatory recruitment dynamics in this stock.</w:t>
      </w:r>
    </w:p>
    <w:bookmarkEnd w:id="0"/>
    <w:p w14:paraId="06A320E8" w14:textId="21BC6439" w:rsidR="00B37A75" w:rsidRPr="00345836" w:rsidRDefault="00117E5D" w:rsidP="00AD68D4">
      <w:pPr>
        <w:shd w:val="clear" w:color="auto" w:fill="FFFFFF"/>
        <w:spacing w:after="100" w:line="240" w:lineRule="auto"/>
        <w:rPr>
          <w:rFonts w:ascii="Arial" w:hAnsi="Arial" w:cs="Arial"/>
        </w:rPr>
      </w:pPr>
      <w:r w:rsidRPr="00345836">
        <w:rPr>
          <w:rFonts w:ascii="Arial" w:eastAsia="Times New Roman" w:hAnsi="Arial" w:cs="Arial"/>
          <w:color w:val="222222"/>
          <w:kern w:val="0"/>
          <w14:ligatures w14:val="none"/>
        </w:rPr>
        <w:t> </w:t>
      </w:r>
      <w:r w:rsidR="00B37A75" w:rsidRPr="00345836">
        <w:rPr>
          <w:rFonts w:ascii="Arial" w:hAnsi="Arial" w:cs="Arial"/>
          <w:highlight w:val="yellow"/>
        </w:rPr>
        <w:t>This approach may be more straightforward to implement routinely in stock assessments than stock–recruitment models with explicit depensation parameters. How does this approach compare with alternative approaches, including stock–recruitment relationships and surplus production models that explicitly incorporate depensation, to think about….</w:t>
      </w:r>
    </w:p>
    <w:p w14:paraId="3B32106A" w14:textId="77777777" w:rsidR="00B37A75" w:rsidRPr="00345836" w:rsidRDefault="00B37A75" w:rsidP="00B37A75">
      <w:pPr>
        <w:rPr>
          <w:rFonts w:ascii="Arial" w:hAnsi="Arial" w:cs="Arial"/>
        </w:rPr>
      </w:pPr>
      <w:r w:rsidRPr="00345836">
        <w:rPr>
          <w:rFonts w:ascii="Arial" w:hAnsi="Arial" w:cs="Arial"/>
          <w:highlight w:val="yellow"/>
        </w:rPr>
        <w:t>The biomass estimates used here are derived from population models in stock assessments and therefore depend on the underlying model assumptions.</w:t>
      </w:r>
    </w:p>
    <w:p w14:paraId="3F6C8154" w14:textId="77777777" w:rsidR="00345836" w:rsidRPr="00345836" w:rsidRDefault="00345836" w:rsidP="00B37A75">
      <w:pPr>
        <w:rPr>
          <w:rFonts w:ascii="Arial" w:hAnsi="Arial" w:cs="Arial"/>
        </w:rPr>
      </w:pPr>
    </w:p>
    <w:p w14:paraId="5FCB34B6" w14:textId="49F45556" w:rsidR="00345836" w:rsidRPr="00345836" w:rsidRDefault="00345836" w:rsidP="00B37A75">
      <w:pPr>
        <w:rPr>
          <w:rFonts w:ascii="Arial" w:hAnsi="Arial" w:cs="Arial"/>
        </w:rPr>
      </w:pPr>
      <w:r w:rsidRPr="00345836">
        <w:rPr>
          <w:rFonts w:ascii="Arial" w:hAnsi="Arial" w:cs="Arial"/>
          <w:highlight w:val="yellow"/>
        </w:rPr>
        <w:t>Mention 2j3kl and 4tvn short time series from assessments but don’t show the results. Just say in the discussion that length of the time series matter for these stocks with very long history of exploitation. Ran with shorter and same result for 4tvn but didn’t detect allee for 2j3kl</w:t>
      </w:r>
    </w:p>
    <w:p w14:paraId="6DA8D31C" w14:textId="77777777" w:rsidR="00D90AFF" w:rsidRDefault="00D90AFF" w:rsidP="00B37A75">
      <w:pPr>
        <w:rPr>
          <w:rFonts w:ascii="Arial" w:hAnsi="Arial" w:cs="Arial"/>
        </w:rPr>
      </w:pPr>
    </w:p>
    <w:p w14:paraId="4B38FEA8" w14:textId="77777777" w:rsidR="00AD68D4" w:rsidRDefault="00AD68D4" w:rsidP="00B37A75">
      <w:pPr>
        <w:rPr>
          <w:rFonts w:ascii="Arial" w:hAnsi="Arial" w:cs="Arial"/>
        </w:rPr>
      </w:pPr>
    </w:p>
    <w:p w14:paraId="405BED60" w14:textId="77777777" w:rsidR="00AD68D4" w:rsidRDefault="00AD68D4" w:rsidP="00B37A75">
      <w:pPr>
        <w:rPr>
          <w:rFonts w:ascii="Arial" w:hAnsi="Arial" w:cs="Arial"/>
        </w:rPr>
      </w:pPr>
    </w:p>
    <w:p w14:paraId="73768089" w14:textId="77777777" w:rsidR="002E2E3E" w:rsidRPr="00345836" w:rsidRDefault="002E2E3E" w:rsidP="00B37A75">
      <w:pPr>
        <w:rPr>
          <w:rFonts w:ascii="Arial" w:hAnsi="Arial" w:cs="Arial"/>
        </w:rPr>
      </w:pPr>
    </w:p>
    <w:p w14:paraId="187CE4E9" w14:textId="77777777" w:rsidR="00D90AFF" w:rsidRPr="00345836" w:rsidRDefault="00D90AFF" w:rsidP="00B37A75">
      <w:pPr>
        <w:rPr>
          <w:rFonts w:ascii="Arial" w:hAnsi="Arial" w:cs="Arial"/>
        </w:rPr>
      </w:pPr>
      <w:r w:rsidRPr="00345836">
        <w:rPr>
          <w:rFonts w:ascii="Arial" w:hAnsi="Arial" w:cs="Arial"/>
        </w:rPr>
        <w:lastRenderedPageBreak/>
        <w:t>References</w:t>
      </w:r>
    </w:p>
    <w:p w14:paraId="59BBFF0B" w14:textId="11FB42C8" w:rsidR="00E8572F" w:rsidRPr="00E8572F" w:rsidRDefault="00E8572F" w:rsidP="00713784">
      <w:pPr>
        <w:rPr>
          <w:rFonts w:ascii="Helvetica" w:hAnsi="Helvetica" w:cs="Helvetica"/>
          <w:color w:val="000000"/>
          <w:kern w:val="0"/>
          <w:sz w:val="22"/>
          <w:szCs w:val="22"/>
        </w:rPr>
      </w:pPr>
      <w:r>
        <w:rPr>
          <w:rFonts w:ascii="Helvetica" w:hAnsi="Helvetica" w:cs="Helvetica"/>
          <w:color w:val="000000"/>
          <w:kern w:val="0"/>
          <w:sz w:val="22"/>
          <w:szCs w:val="22"/>
        </w:rPr>
        <w:t>Andrushchenko, I., Clark, D., Irvine, F., MacEachern, E., Martin, R. and Wang, Y. 2022. 2018 4X5Y Atlantic Cod Framework Data Inputs. DFO Can. Sci. Advis. Sec. Res. Doc. 2022/006.v + 86 p.</w:t>
      </w:r>
    </w:p>
    <w:p w14:paraId="3B5F830C" w14:textId="6F3DB7D0" w:rsidR="00E8572F" w:rsidRDefault="00EC6F26" w:rsidP="00713784">
      <w:pPr>
        <w:rPr>
          <w:rFonts w:ascii="Arial" w:hAnsi="Arial" w:cs="Arial"/>
        </w:rPr>
      </w:pPr>
      <w:r w:rsidRPr="00345836">
        <w:rPr>
          <w:rFonts w:ascii="Arial" w:hAnsi="Arial" w:cs="Arial"/>
        </w:rPr>
        <w:t>Courchamp, F., Clutton-Brock, T., and Grenfell, B. 1999. Inverse density dependence and the</w:t>
      </w:r>
      <w:r w:rsidR="00E8572F">
        <w:rPr>
          <w:rFonts w:ascii="Arial" w:hAnsi="Arial" w:cs="Arial"/>
        </w:rPr>
        <w:t xml:space="preserve"> </w:t>
      </w:r>
      <w:r w:rsidRPr="00345836">
        <w:rPr>
          <w:rFonts w:ascii="Arial" w:hAnsi="Arial" w:cs="Arial"/>
        </w:rPr>
        <w:t>Allee effect. Trends Ecol. Evol. 14: 405–410</w:t>
      </w:r>
    </w:p>
    <w:p w14:paraId="068BE20E" w14:textId="77777777" w:rsidR="00E8572F" w:rsidRDefault="00E8572F" w:rsidP="00713784">
      <w:pPr>
        <w:rPr>
          <w:rFonts w:ascii="Arial" w:hAnsi="Arial" w:cs="Arial"/>
        </w:rPr>
      </w:pPr>
      <w:r w:rsidRPr="00E8572F">
        <w:rPr>
          <w:rFonts w:ascii="Arial" w:hAnsi="Arial" w:cs="Arial"/>
        </w:rPr>
        <w:t xml:space="preserve">DFO. 2019.  Stock Assessment of Atlantic Cod (Gadus morhua) in NAFO Divisions 4X5Y. DFO Can. Sci. Advis. Sec. Sci. Advis. Rep. 2019/015. </w:t>
      </w:r>
    </w:p>
    <w:p w14:paraId="7B7934F0" w14:textId="3F6BF5FF" w:rsidR="00EC6F26" w:rsidRPr="00345836" w:rsidRDefault="00713784" w:rsidP="00713784">
      <w:pPr>
        <w:rPr>
          <w:rFonts w:ascii="Arial" w:hAnsi="Arial" w:cs="Arial"/>
        </w:rPr>
      </w:pPr>
      <w:r w:rsidRPr="00345836">
        <w:rPr>
          <w:rFonts w:ascii="Arial" w:hAnsi="Arial" w:cs="Arial"/>
        </w:rPr>
        <w:t>Fasola S, Muggeo VM, Kuchenhoff H (2018). “A heuristic, iterative algorithm for change-point detection in abrupt change models.” Computational Statistics, 33(2), 997-1015.</w:t>
      </w:r>
    </w:p>
    <w:p w14:paraId="0A668E86" w14:textId="41865F7E" w:rsidR="005B1F57" w:rsidRPr="00345836" w:rsidRDefault="005B1F57" w:rsidP="00713784">
      <w:pPr>
        <w:rPr>
          <w:rFonts w:ascii="Arial" w:hAnsi="Arial" w:cs="Arial"/>
        </w:rPr>
      </w:pPr>
      <w:r w:rsidRPr="00345836">
        <w:rPr>
          <w:rFonts w:ascii="Arial" w:hAnsi="Arial" w:cs="Arial"/>
        </w:rPr>
        <w:t xml:space="preserve">Hilborn, </w:t>
      </w:r>
      <w:r w:rsidR="00EC6F26" w:rsidRPr="00345836">
        <w:rPr>
          <w:rFonts w:ascii="Arial" w:hAnsi="Arial" w:cs="Arial"/>
        </w:rPr>
        <w:t xml:space="preserve">R., </w:t>
      </w:r>
      <w:r w:rsidRPr="00345836">
        <w:rPr>
          <w:rFonts w:ascii="Arial" w:hAnsi="Arial" w:cs="Arial"/>
        </w:rPr>
        <w:t xml:space="preserve">Hively, </w:t>
      </w:r>
      <w:r w:rsidR="00EC6F26" w:rsidRPr="00345836">
        <w:rPr>
          <w:rFonts w:ascii="Arial" w:hAnsi="Arial" w:cs="Arial"/>
        </w:rPr>
        <w:t xml:space="preserve">D.J., </w:t>
      </w:r>
      <w:r w:rsidRPr="00345836">
        <w:rPr>
          <w:rFonts w:ascii="Arial" w:hAnsi="Arial" w:cs="Arial"/>
        </w:rPr>
        <w:t xml:space="preserve">Jensen, </w:t>
      </w:r>
      <w:r w:rsidR="00EC6F26" w:rsidRPr="00345836">
        <w:rPr>
          <w:rFonts w:ascii="Arial" w:hAnsi="Arial" w:cs="Arial"/>
        </w:rPr>
        <w:t xml:space="preserve">O.P., and </w:t>
      </w:r>
      <w:r w:rsidRPr="00345836">
        <w:rPr>
          <w:rFonts w:ascii="Arial" w:hAnsi="Arial" w:cs="Arial"/>
        </w:rPr>
        <w:t xml:space="preserve">Branch, </w:t>
      </w:r>
      <w:r w:rsidR="00EC6F26" w:rsidRPr="00345836">
        <w:rPr>
          <w:rFonts w:ascii="Arial" w:hAnsi="Arial" w:cs="Arial"/>
        </w:rPr>
        <w:t xml:space="preserve">T.A. 2014. </w:t>
      </w:r>
      <w:r w:rsidRPr="00345836">
        <w:rPr>
          <w:rFonts w:ascii="Arial" w:hAnsi="Arial" w:cs="Arial"/>
        </w:rPr>
        <w:t>The dynamics of fish populations at low abundance and prospects for rebuilding and recovery, ICES Journal of Marine Science</w:t>
      </w:r>
      <w:r w:rsidR="00EC6F26" w:rsidRPr="00345836">
        <w:rPr>
          <w:rFonts w:ascii="Arial" w:hAnsi="Arial" w:cs="Arial"/>
        </w:rPr>
        <w:t>; 71,8, 2141-</w:t>
      </w:r>
      <w:r w:rsidRPr="00345836">
        <w:rPr>
          <w:rFonts w:ascii="Arial" w:hAnsi="Arial" w:cs="Arial"/>
        </w:rPr>
        <w:t>2151, </w:t>
      </w:r>
      <w:hyperlink r:id="rId12" w:history="1">
        <w:r w:rsidRPr="00345836">
          <w:rPr>
            <w:rFonts w:ascii="Arial" w:hAnsi="Arial" w:cs="Arial"/>
          </w:rPr>
          <w:t>https://doi.org/10.1093/icesjms/fsu035</w:t>
        </w:r>
      </w:hyperlink>
    </w:p>
    <w:p w14:paraId="1B764FEC" w14:textId="77777777" w:rsidR="005B1F57" w:rsidRPr="00345836" w:rsidRDefault="005B1F57" w:rsidP="00713784">
      <w:pPr>
        <w:rPr>
          <w:rFonts w:ascii="Arial" w:hAnsi="Arial" w:cs="Arial"/>
        </w:rPr>
      </w:pPr>
      <w:r w:rsidRPr="00345836">
        <w:rPr>
          <w:rFonts w:ascii="Arial" w:hAnsi="Arial" w:cs="Arial"/>
        </w:rPr>
        <w:t>Hutchings, J.A. 2015. Thresholds for impaired species recovery. Proc. R. Soc. B Biol. Sci. 282(1809). doi:10.1098/rspb.2015.0654.</w:t>
      </w:r>
    </w:p>
    <w:p w14:paraId="24E4CEC7" w14:textId="77777777" w:rsidR="005B1F57" w:rsidRPr="00345836" w:rsidRDefault="005B1F57" w:rsidP="00713784">
      <w:pPr>
        <w:rPr>
          <w:rFonts w:ascii="Arial" w:hAnsi="Arial" w:cs="Arial"/>
        </w:rPr>
      </w:pPr>
      <w:r w:rsidRPr="00345836">
        <w:rPr>
          <w:rFonts w:ascii="Arial" w:hAnsi="Arial" w:cs="Arial"/>
        </w:rPr>
        <w:t>Keith, D.M., and Hutchings, J.A. 2012. Population dynamics of marine fishes at low abundance. Can. J. Fish. Aquat. Sci. 69(7): 1150–1163. doi:10.1139/F2012-055.</w:t>
      </w:r>
    </w:p>
    <w:p w14:paraId="2D311A64" w14:textId="00969C84" w:rsidR="00EC6F26" w:rsidRDefault="00EC6F26" w:rsidP="00713784">
      <w:pPr>
        <w:rPr>
          <w:rFonts w:ascii="Arial" w:hAnsi="Arial" w:cs="Arial"/>
        </w:rPr>
      </w:pPr>
      <w:r w:rsidRPr="00345836">
        <w:rPr>
          <w:rFonts w:ascii="Arial" w:hAnsi="Arial" w:cs="Arial"/>
        </w:rPr>
        <w:t>Kuparinen and hutchings 2014</w:t>
      </w:r>
    </w:p>
    <w:p w14:paraId="431315A9" w14:textId="77777777" w:rsidR="00E8572F" w:rsidRDefault="00E8572F" w:rsidP="00713784">
      <w:pPr>
        <w:rPr>
          <w:rFonts w:ascii="Arial" w:hAnsi="Arial" w:cs="Arial"/>
        </w:rPr>
      </w:pPr>
      <w:r w:rsidRPr="00345836">
        <w:rPr>
          <w:rFonts w:ascii="Arial" w:hAnsi="Arial" w:cs="Arial"/>
        </w:rPr>
        <w:t>Minto, C., Myers, R. A., and Blanchard, W. 2008. Survival variability and population density infish populations. Nature, 452: 344–347</w:t>
      </w:r>
    </w:p>
    <w:p w14:paraId="0FE1F12B" w14:textId="6E0D5ED0" w:rsidR="00E8572F" w:rsidRDefault="00E8572F" w:rsidP="00713784">
      <w:pPr>
        <w:rPr>
          <w:rFonts w:ascii="Arial" w:hAnsi="Arial" w:cs="Arial"/>
        </w:rPr>
      </w:pPr>
      <w:r w:rsidRPr="00E8572F">
        <w:rPr>
          <w:rFonts w:ascii="Arial" w:hAnsi="Arial" w:cs="Arial"/>
        </w:rPr>
        <w:t>Mohn, R.K., and Rowe, S. 2012. Recovery Potential Assessment for the Laurentian South Designatable Unit of Atlantic Cod (Gadus morhua): The Eastern Scotian Shelf Cod Stock (NAFO Div. 4VsW). DFO Can. Sci. Advis. Sec. Res. Doc. 2011/138: viii + 71p.</w:t>
      </w:r>
    </w:p>
    <w:p w14:paraId="74DA8A16" w14:textId="4E32D9FF" w:rsidR="00EC6F26" w:rsidRPr="00345836" w:rsidRDefault="00EC6F26" w:rsidP="00713784">
      <w:pPr>
        <w:rPr>
          <w:rFonts w:ascii="Arial" w:hAnsi="Arial" w:cs="Arial"/>
        </w:rPr>
      </w:pPr>
      <w:r w:rsidRPr="00345836">
        <w:rPr>
          <w:rFonts w:ascii="Arial" w:hAnsi="Arial" w:cs="Arial"/>
        </w:rPr>
        <w:t>Nicholson, A. 1933. The balance of animal populations. J. Anim. Ecol. 2: 131–178</w:t>
      </w:r>
    </w:p>
    <w:p w14:paraId="6E198669" w14:textId="42D980DB" w:rsidR="00EC6F26" w:rsidRPr="00345836" w:rsidRDefault="00EC6F26" w:rsidP="00713784">
      <w:pPr>
        <w:rPr>
          <w:rFonts w:ascii="Arial" w:hAnsi="Arial" w:cs="Arial"/>
        </w:rPr>
      </w:pPr>
      <w:r w:rsidRPr="00345836">
        <w:rPr>
          <w:rFonts w:ascii="Arial" w:hAnsi="Arial" w:cs="Arial"/>
        </w:rPr>
        <w:t xml:space="preserve">Neubauer, P., Jensen, O. P., Hutchings, J. A., and Baum, J. K. 2013. Resilience and recoveryof overexploited marine populations. Science, 340: 347–349. </w:t>
      </w:r>
    </w:p>
    <w:p w14:paraId="0266B6AD" w14:textId="6F37266D" w:rsidR="00EC6F26" w:rsidRPr="00572806" w:rsidRDefault="00EC6F26" w:rsidP="00713784">
      <w:pPr>
        <w:rPr>
          <w:rFonts w:ascii="Arial" w:hAnsi="Arial" w:cs="Arial"/>
          <w:lang w:val="fr-CA"/>
        </w:rPr>
      </w:pPr>
      <w:r w:rsidRPr="00345836">
        <w:rPr>
          <w:rFonts w:ascii="Arial" w:hAnsi="Arial" w:cs="Arial"/>
        </w:rPr>
        <w:t xml:space="preserve">Neuenhoff, R.D., Swain, D.P., Cox, S.P., Mcallister, M.K., Trites, A.W., Walters, C.J., andHammill, M.O. 2019. Continued decline of a collapsed population of Atlantic Cod. Can. J.Fish. Aquat. </w:t>
      </w:r>
      <w:r w:rsidRPr="00572806">
        <w:rPr>
          <w:rFonts w:ascii="Arial" w:hAnsi="Arial" w:cs="Arial"/>
          <w:lang w:val="fr-CA"/>
        </w:rPr>
        <w:t xml:space="preserve">Sci. 76: 168–184 </w:t>
      </w:r>
    </w:p>
    <w:p w14:paraId="7E61F8BF" w14:textId="7B205ADD" w:rsidR="00E8572F" w:rsidRPr="00345836" w:rsidRDefault="00E8572F" w:rsidP="00713784">
      <w:pPr>
        <w:rPr>
          <w:rFonts w:ascii="Arial" w:hAnsi="Arial" w:cs="Arial"/>
        </w:rPr>
      </w:pPr>
      <w:r w:rsidRPr="00572806">
        <w:rPr>
          <w:rFonts w:ascii="Arial" w:hAnsi="Arial" w:cs="Arial"/>
          <w:lang w:val="fr-CA"/>
        </w:rPr>
        <w:t xml:space="preserve">Ouellette-Plante, J., Benoît, H.P., and Lussier, J.-F. 2025. </w:t>
      </w:r>
      <w:r w:rsidRPr="00E8572F">
        <w:rPr>
          <w:rFonts w:ascii="Arial" w:hAnsi="Arial" w:cs="Arial"/>
        </w:rPr>
        <w:t>The Status of the Northern Gulf of St. Lawrence (3Pn, 4RS) Atlantic Cod (Gadus morhua) Stock in 2022. DFO Can. Sci. Advis. Sec. Res. Doc. 2025/039. xx + 244 p.</w:t>
      </w:r>
    </w:p>
    <w:p w14:paraId="78DD6B0D" w14:textId="026B77F9" w:rsidR="005B1F57" w:rsidRPr="00345836" w:rsidRDefault="00713784" w:rsidP="00713784">
      <w:pPr>
        <w:rPr>
          <w:rFonts w:ascii="Arial" w:hAnsi="Arial" w:cs="Arial"/>
        </w:rPr>
      </w:pPr>
      <w:r w:rsidRPr="00345836">
        <w:rPr>
          <w:rFonts w:ascii="Arial" w:hAnsi="Arial" w:cs="Arial"/>
        </w:rPr>
        <w:lastRenderedPageBreak/>
        <w:t>Ricard, D., Minto, C., Jensen, O.P. and Baum, J.K. (2012) Evaluating the knowledge base and status of commercially exploited marine species with the RAM Legacy Stock Assessment Database. Fish and Fisheries 13 (4) 380-398. DOI: </w:t>
      </w:r>
      <w:hyperlink r:id="rId13" w:history="1">
        <w:r w:rsidRPr="00345836">
          <w:rPr>
            <w:rFonts w:ascii="Arial" w:hAnsi="Arial" w:cs="Arial"/>
          </w:rPr>
          <w:t>10.1111/j.1467-2979.2011.00435.x</w:t>
        </w:r>
      </w:hyperlink>
    </w:p>
    <w:p w14:paraId="32DBDC05" w14:textId="77777777" w:rsidR="00E8572F" w:rsidRDefault="00E8572F" w:rsidP="00713784">
      <w:pPr>
        <w:rPr>
          <w:rFonts w:ascii="Arial" w:hAnsi="Arial" w:cs="Arial"/>
        </w:rPr>
      </w:pPr>
      <w:r w:rsidRPr="00E8572F">
        <w:rPr>
          <w:rFonts w:ascii="Arial" w:hAnsi="Arial" w:cs="Arial"/>
        </w:rPr>
        <w:t>Schijns, R., Froese, R., Hutchings, J.A., and Pauly, D. 2021. Five centuries of cod catches in Eastern Canada. ICES J. Mar. Sci. 78(8): 2675–2683. Oxford University Press. doi:10.1093/icesjms/fsab153.</w:t>
      </w:r>
    </w:p>
    <w:p w14:paraId="54FE308D" w14:textId="25665B1B" w:rsidR="00E8572F" w:rsidRDefault="00E8572F" w:rsidP="00713784">
      <w:pPr>
        <w:rPr>
          <w:rFonts w:ascii="Arial" w:hAnsi="Arial" w:cs="Arial"/>
        </w:rPr>
      </w:pPr>
      <w:r w:rsidRPr="00E8572F">
        <w:rPr>
          <w:rFonts w:ascii="Arial" w:hAnsi="Arial" w:cs="Arial"/>
        </w:rPr>
        <w:t>Turcotte, F., McDermid, J.L., and Ricard, D. 2024. Scientific requirement for the rebuilding plan of southern Gulf of St. Lawrence (NAFO Division 4TVn) Atlantic Cod (Gadus morhua). DFO Can. Sci. Advis. Sec. Res. Doc. 2024/053(July): iv + xx.</w:t>
      </w:r>
    </w:p>
    <w:p w14:paraId="4A6DC5E7" w14:textId="379472A0" w:rsidR="00E8572F" w:rsidRDefault="00E8572F" w:rsidP="00713784">
      <w:pPr>
        <w:rPr>
          <w:rFonts w:ascii="Arial" w:hAnsi="Arial" w:cs="Arial"/>
        </w:rPr>
      </w:pPr>
      <w:r w:rsidRPr="00E8572F">
        <w:rPr>
          <w:rFonts w:ascii="Arial" w:hAnsi="Arial" w:cs="Arial"/>
        </w:rPr>
        <w:t>Varkey, D., Wheeland, L.J., Regular, P., Rideout, R., Kumar, R., Rogers, B., and Vigneau, J. 2025. Analytical Assessment for the Status of Atlantic Cod (Gadus morhua) Stock in NAFO Subdivision 3Ps in 2021. DFO Can. Sci. Advis. Sec. Res. Doc. 2025/043. iv + 48 p.</w:t>
      </w:r>
    </w:p>
    <w:p w14:paraId="6160CBDB" w14:textId="77777777" w:rsidR="005B1F57" w:rsidRPr="00345836" w:rsidRDefault="005B1F57" w:rsidP="00713784">
      <w:pPr>
        <w:rPr>
          <w:rFonts w:ascii="Arial" w:hAnsi="Arial" w:cs="Arial"/>
        </w:rPr>
      </w:pPr>
      <w:r w:rsidRPr="00345836">
        <w:rPr>
          <w:rFonts w:ascii="Arial" w:hAnsi="Arial" w:cs="Arial"/>
        </w:rPr>
        <w:t>Winter, A.M., Vasilyeva, N., and Vladimirov, A. 2023. Spawner weight and ocean temperature drive Allee effect dynamics in Atlantic cod, Gadus morhua: inherent and emergent density regulation. Biogeosciences 20(17): 3683–3716. doi:10.5194/bg-20-3683-2023.</w:t>
      </w:r>
    </w:p>
    <w:p w14:paraId="59796D65" w14:textId="77777777" w:rsidR="00D90AFF" w:rsidRPr="00345836" w:rsidRDefault="00D90AFF" w:rsidP="00713784">
      <w:pPr>
        <w:rPr>
          <w:rFonts w:ascii="Arial" w:hAnsi="Arial" w:cs="Arial"/>
        </w:rPr>
      </w:pPr>
    </w:p>
    <w:p w14:paraId="54D0F096" w14:textId="77777777" w:rsidR="00494B72" w:rsidRPr="00345836" w:rsidRDefault="00494B72" w:rsidP="00713784">
      <w:pPr>
        <w:rPr>
          <w:rFonts w:ascii="Arial" w:hAnsi="Arial" w:cs="Arial"/>
        </w:rPr>
      </w:pPr>
    </w:p>
    <w:sectPr w:rsidR="00494B72" w:rsidRPr="00345836">
      <w:headerReference w:type="even" r:id="rId14"/>
      <w:headerReference w:type="default" r:id="rId15"/>
      <w:head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DDEA3" w14:textId="77777777" w:rsidR="00374A4C" w:rsidRDefault="00374A4C" w:rsidP="00C23353">
      <w:pPr>
        <w:spacing w:after="0" w:line="240" w:lineRule="auto"/>
      </w:pPr>
      <w:r>
        <w:separator/>
      </w:r>
    </w:p>
  </w:endnote>
  <w:endnote w:type="continuationSeparator" w:id="0">
    <w:p w14:paraId="3C9FD313" w14:textId="77777777" w:rsidR="00374A4C" w:rsidRDefault="00374A4C"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AA3DC" w14:textId="77777777" w:rsidR="00374A4C" w:rsidRDefault="00374A4C" w:rsidP="00C23353">
      <w:pPr>
        <w:spacing w:after="0" w:line="240" w:lineRule="auto"/>
      </w:pPr>
      <w:r>
        <w:separator/>
      </w:r>
    </w:p>
  </w:footnote>
  <w:footnote w:type="continuationSeparator" w:id="0">
    <w:p w14:paraId="0AF65857" w14:textId="77777777" w:rsidR="00374A4C" w:rsidRDefault="00374A4C"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3214356">
    <w:abstractNumId w:val="0"/>
  </w:num>
  <w:num w:numId="2" w16cid:durableId="1822427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55"/>
    <w:rsid w:val="00017E8A"/>
    <w:rsid w:val="000439E1"/>
    <w:rsid w:val="0006744B"/>
    <w:rsid w:val="00070BC3"/>
    <w:rsid w:val="000B04CC"/>
    <w:rsid w:val="000B5F46"/>
    <w:rsid w:val="000F196C"/>
    <w:rsid w:val="000F2818"/>
    <w:rsid w:val="00117E5D"/>
    <w:rsid w:val="0015384D"/>
    <w:rsid w:val="001B7A25"/>
    <w:rsid w:val="001D4A58"/>
    <w:rsid w:val="001D6A94"/>
    <w:rsid w:val="0021289B"/>
    <w:rsid w:val="0029046C"/>
    <w:rsid w:val="002E0419"/>
    <w:rsid w:val="002E07CA"/>
    <w:rsid w:val="002E2E3E"/>
    <w:rsid w:val="00324B6E"/>
    <w:rsid w:val="0032630D"/>
    <w:rsid w:val="00345836"/>
    <w:rsid w:val="00374A4C"/>
    <w:rsid w:val="003D1E89"/>
    <w:rsid w:val="003E1305"/>
    <w:rsid w:val="003E2455"/>
    <w:rsid w:val="003E2836"/>
    <w:rsid w:val="003F7F71"/>
    <w:rsid w:val="0041643F"/>
    <w:rsid w:val="004441D1"/>
    <w:rsid w:val="0046244A"/>
    <w:rsid w:val="00490DDF"/>
    <w:rsid w:val="00494B72"/>
    <w:rsid w:val="004A7342"/>
    <w:rsid w:val="004C200E"/>
    <w:rsid w:val="00515B8C"/>
    <w:rsid w:val="00517F42"/>
    <w:rsid w:val="005538EA"/>
    <w:rsid w:val="00570DD7"/>
    <w:rsid w:val="00572806"/>
    <w:rsid w:val="00580AB6"/>
    <w:rsid w:val="005B1F57"/>
    <w:rsid w:val="005D19FB"/>
    <w:rsid w:val="00612589"/>
    <w:rsid w:val="006142B3"/>
    <w:rsid w:val="00651716"/>
    <w:rsid w:val="00652976"/>
    <w:rsid w:val="00672D7B"/>
    <w:rsid w:val="00674359"/>
    <w:rsid w:val="00681D03"/>
    <w:rsid w:val="006C27B5"/>
    <w:rsid w:val="006C4694"/>
    <w:rsid w:val="006F724D"/>
    <w:rsid w:val="00713784"/>
    <w:rsid w:val="0072607F"/>
    <w:rsid w:val="00763FD2"/>
    <w:rsid w:val="007A2B00"/>
    <w:rsid w:val="007C1359"/>
    <w:rsid w:val="007E0C1C"/>
    <w:rsid w:val="007F2F0B"/>
    <w:rsid w:val="00825082"/>
    <w:rsid w:val="00862D86"/>
    <w:rsid w:val="009000AD"/>
    <w:rsid w:val="009149B3"/>
    <w:rsid w:val="00932197"/>
    <w:rsid w:val="00965A31"/>
    <w:rsid w:val="00972F3E"/>
    <w:rsid w:val="0098011D"/>
    <w:rsid w:val="00984A0D"/>
    <w:rsid w:val="009B3FFA"/>
    <w:rsid w:val="009B7D76"/>
    <w:rsid w:val="00A356D3"/>
    <w:rsid w:val="00A40FAA"/>
    <w:rsid w:val="00A81776"/>
    <w:rsid w:val="00A95AC9"/>
    <w:rsid w:val="00AA0B61"/>
    <w:rsid w:val="00AB56EB"/>
    <w:rsid w:val="00AB6F41"/>
    <w:rsid w:val="00AC19F0"/>
    <w:rsid w:val="00AD68D4"/>
    <w:rsid w:val="00B25A0F"/>
    <w:rsid w:val="00B37A75"/>
    <w:rsid w:val="00B520C0"/>
    <w:rsid w:val="00B74207"/>
    <w:rsid w:val="00B7755D"/>
    <w:rsid w:val="00BA1E1F"/>
    <w:rsid w:val="00BA5F40"/>
    <w:rsid w:val="00BE1103"/>
    <w:rsid w:val="00C23353"/>
    <w:rsid w:val="00C36EA8"/>
    <w:rsid w:val="00C7442A"/>
    <w:rsid w:val="00C95FCC"/>
    <w:rsid w:val="00CA0E4B"/>
    <w:rsid w:val="00CC5A5B"/>
    <w:rsid w:val="00D04AFD"/>
    <w:rsid w:val="00D12369"/>
    <w:rsid w:val="00D27319"/>
    <w:rsid w:val="00D820CF"/>
    <w:rsid w:val="00D90AFF"/>
    <w:rsid w:val="00DB11D2"/>
    <w:rsid w:val="00DD5182"/>
    <w:rsid w:val="00DE32AE"/>
    <w:rsid w:val="00DE78B6"/>
    <w:rsid w:val="00DF09E3"/>
    <w:rsid w:val="00E37E85"/>
    <w:rsid w:val="00E8572F"/>
    <w:rsid w:val="00EB2C8E"/>
    <w:rsid w:val="00EC6F26"/>
    <w:rsid w:val="00EF0456"/>
    <w:rsid w:val="00EF3692"/>
    <w:rsid w:val="00F13184"/>
    <w:rsid w:val="00F3430B"/>
    <w:rsid w:val="00F955B2"/>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185364697">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47232413">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75594129">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nlinelibrary.wiley.com/doi/abs/10.1111/j.1467-2979.2011.00435.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93/icesjms/fsu03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2837</TotalTime>
  <Pages>14</Pages>
  <Words>3176</Words>
  <Characters>18109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53</cp:revision>
  <dcterms:created xsi:type="dcterms:W3CDTF">2025-12-18T12:23:00Z</dcterms:created>
  <dcterms:modified xsi:type="dcterms:W3CDTF">2026-03-19T17:19:00Z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