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7B8DD" w14:textId="77777777" w:rsidR="00AF66E9" w:rsidRPr="00AF66E9" w:rsidRDefault="00AF66E9" w:rsidP="00AF66E9">
      <w:r w:rsidRPr="00AF66E9">
        <w:t xml:space="preserve">notes  </w:t>
      </w:r>
    </w:p>
    <w:p w14:paraId="3E5BBF7E" w14:textId="77777777" w:rsidR="00AF66E9" w:rsidRPr="00AF66E9" w:rsidRDefault="00AF66E9" w:rsidP="00AF66E9"/>
    <w:p w14:paraId="60CE0A01" w14:textId="77777777" w:rsidR="00AF66E9" w:rsidRPr="00AF66E9" w:rsidRDefault="00AF66E9" w:rsidP="00AF66E9">
      <w:r w:rsidRPr="00AF66E9">
        <w:t>Discuss biomass breakpoint as serious harm indicator and check a few LRPs to see if they are above or below. (Turcotte et al. 2026)</w:t>
      </w:r>
    </w:p>
    <w:p w14:paraId="5B62C245" w14:textId="77777777" w:rsidR="00AF66E9" w:rsidRPr="00AF66E9" w:rsidRDefault="00AF66E9" w:rsidP="00AF66E9">
      <w:r w:rsidRPr="00AF66E9">
        <w:t>Re-organize</w:t>
      </w:r>
    </w:p>
    <w:p w14:paraId="76C3BF35" w14:textId="77777777" w:rsidR="00AF66E9" w:rsidRPr="00AF66E9" w:rsidRDefault="00AF66E9" w:rsidP="00AF66E9"/>
    <w:p w14:paraId="4E8B54E8" w14:textId="77777777" w:rsidR="00AF66E9" w:rsidRPr="00AF66E9" w:rsidRDefault="00AF66E9" w:rsidP="00AF66E9">
      <w:r w:rsidRPr="00AF66E9">
        <w:t xml:space="preserve">Walter et al. 2008 The plots are a diagnostic for </w:t>
      </w:r>
      <w:proofErr w:type="spellStart"/>
      <w:r w:rsidRPr="00AF66E9">
        <w:t>whetherstocks</w:t>
      </w:r>
      <w:proofErr w:type="spellEnd"/>
      <w:r w:rsidRPr="00AF66E9">
        <w:t xml:space="preserve"> have exhibited strong compensatory response, i.e., in-crease in SP/B at low stock sizes. Stocks that have </w:t>
      </w:r>
      <w:proofErr w:type="spellStart"/>
      <w:r w:rsidRPr="00AF66E9">
        <w:t>notexhibited</w:t>
      </w:r>
      <w:proofErr w:type="spellEnd"/>
      <w:r w:rsidRPr="00AF66E9">
        <w:t xml:space="preserve"> such responses have very likely been </w:t>
      </w:r>
      <w:proofErr w:type="spellStart"/>
      <w:r w:rsidRPr="00AF66E9">
        <w:t>overfishedover</w:t>
      </w:r>
      <w:proofErr w:type="spellEnd"/>
      <w:r w:rsidRPr="00AF66E9">
        <w:t xml:space="preserve"> the whole period of historical record, e.g., 2J3KL </w:t>
      </w:r>
      <w:proofErr w:type="spellStart"/>
      <w:r w:rsidRPr="00AF66E9">
        <w:t>andKattegat</w:t>
      </w:r>
      <w:proofErr w:type="spellEnd"/>
      <w:r w:rsidRPr="00AF66E9">
        <w:t xml:space="preserve"> cod stocks</w:t>
      </w:r>
    </w:p>
    <w:p w14:paraId="52451D79" w14:textId="77777777" w:rsidR="00AF66E9" w:rsidRPr="00AF66E9" w:rsidRDefault="00AF66E9" w:rsidP="00AF66E9"/>
    <w:p w14:paraId="408898F4" w14:textId="77777777" w:rsidR="00AF66E9" w:rsidRPr="00AF66E9" w:rsidRDefault="00AF66E9" w:rsidP="00AF66E9">
      <w:r w:rsidRPr="00AF66E9">
        <w:t xml:space="preserve">This surplus production approach may be more easily used than the SRR approach, either to detect Allee affects or to routinely perform in stock assessments to </w:t>
      </w:r>
      <w:proofErr w:type="spellStart"/>
      <w:r w:rsidRPr="00AF66E9">
        <w:t>monitot</w:t>
      </w:r>
      <w:proofErr w:type="spellEnd"/>
      <w:r w:rsidRPr="00AF66E9">
        <w:t xml:space="preserve"> emergent Allee effects...</w:t>
      </w:r>
    </w:p>
    <w:p w14:paraId="536094FE" w14:textId="77777777" w:rsidR="00AF66E9" w:rsidRPr="00AF66E9" w:rsidRDefault="00AF66E9" w:rsidP="00AF66E9"/>
    <w:p w14:paraId="3B40B1A2" w14:textId="77777777" w:rsidR="00AF66E9" w:rsidRPr="00AF66E9" w:rsidRDefault="00AF66E9" w:rsidP="00AF66E9">
      <w:r w:rsidRPr="00AF66E9">
        <w:t>...than stock–recruitment models with explicit depensation parameters. How does this approach compare with alternative approaches, including stock–recruitment relationships and surplus production models that explicitly incorporate depensation, to think about….</w:t>
      </w:r>
    </w:p>
    <w:p w14:paraId="3BEB7A21" w14:textId="77777777" w:rsidR="00AF66E9" w:rsidRPr="00AF66E9" w:rsidRDefault="00AF66E9" w:rsidP="00AF66E9"/>
    <w:p w14:paraId="53B91B81" w14:textId="77777777" w:rsidR="00AF66E9" w:rsidRPr="00AF66E9" w:rsidRDefault="00AF66E9" w:rsidP="00AF66E9">
      <w:r w:rsidRPr="00AF66E9">
        <w:t xml:space="preserve">The biomass estimates used here are derived from population models in stock assessments and therefore depend on the underlying model assumptions. Mention 2j3kl and 4tvn short time series from assessments but don’t show the results. Just say in the discussion that length of the time series matter for these stocks with very long history of exploitation. Ran with shorter and same result for 4tvn but didn’t detect </w:t>
      </w:r>
      <w:proofErr w:type="spellStart"/>
      <w:r w:rsidRPr="00AF66E9">
        <w:t>allee</w:t>
      </w:r>
      <w:proofErr w:type="spellEnd"/>
      <w:r w:rsidRPr="00AF66E9">
        <w:t xml:space="preserve"> for 2j3kl.our approach is closer to empirical as we treat biomass and catch directly in the per capita surplus production analysis. it is not purely empirical as biomass is a model output, which as the advantage of reducing noise from data. using a </w:t>
      </w:r>
      <w:proofErr w:type="spellStart"/>
      <w:r w:rsidRPr="00AF66E9">
        <w:t>schafer</w:t>
      </w:r>
      <w:proofErr w:type="spellEnd"/>
      <w:r w:rsidRPr="00AF66E9">
        <w:t xml:space="preserve"> or pt model would force some parametric relationship between production and biomass and the ability to estimate an extra parameter might mask the presence of an </w:t>
      </w:r>
      <w:proofErr w:type="spellStart"/>
      <w:r w:rsidRPr="00AF66E9">
        <w:t>allee</w:t>
      </w:r>
      <w:proofErr w:type="spellEnd"/>
      <w:r w:rsidRPr="00AF66E9">
        <w:t xml:space="preserve"> effect. </w:t>
      </w:r>
    </w:p>
    <w:p w14:paraId="7F6103B1" w14:textId="77777777" w:rsidR="00AF66E9" w:rsidRPr="00AF66E9" w:rsidRDefault="00AF66E9" w:rsidP="00AF66E9"/>
    <w:p w14:paraId="47D7A9B7" w14:textId="77777777" w:rsidR="00AF66E9" w:rsidRPr="00AF66E9" w:rsidRDefault="00AF66E9" w:rsidP="00AF66E9">
      <w:r w:rsidRPr="00AF66E9">
        <w:lastRenderedPageBreak/>
        <w:t xml:space="preserve">Hilborn </w:t>
      </w:r>
      <w:proofErr w:type="spellStart"/>
      <w:r w:rsidRPr="00AF66E9">
        <w:t>didnt</w:t>
      </w:r>
      <w:proofErr w:type="spellEnd"/>
      <w:r w:rsidRPr="00AF66E9">
        <w:t xml:space="preserve"> find depensation in RAM stocks because the Allee stocks are not in the RAM database. He did find 3NO, we have it too with the </w:t>
      </w:r>
      <w:proofErr w:type="spellStart"/>
      <w:r w:rsidRPr="00AF66E9">
        <w:t>lm</w:t>
      </w:r>
      <w:proofErr w:type="spellEnd"/>
      <w:r w:rsidRPr="00AF66E9">
        <w:t xml:space="preserve">. Perala et al have it for 3Ps, we have it too with a breakpoint in biomass (check the equivalent with their </w:t>
      </w:r>
      <w:proofErr w:type="spellStart"/>
      <w:r w:rsidRPr="00AF66E9">
        <w:t>ssb</w:t>
      </w:r>
      <w:proofErr w:type="spellEnd"/>
      <w:r w:rsidRPr="00AF66E9">
        <w:t xml:space="preserve"> at 61-65 kt of </w:t>
      </w:r>
      <w:proofErr w:type="spellStart"/>
      <w:r w:rsidRPr="00AF66E9">
        <w:t>ssb</w:t>
      </w:r>
      <w:proofErr w:type="spellEnd"/>
      <w:r w:rsidRPr="00AF66E9">
        <w:t>).</w:t>
      </w:r>
    </w:p>
    <w:p w14:paraId="3796BA9B" w14:textId="77777777" w:rsidR="00AF66E9" w:rsidRPr="00AF66E9" w:rsidRDefault="00AF66E9" w:rsidP="00AF66E9"/>
    <w:p w14:paraId="2C81A014" w14:textId="77777777" w:rsidR="00AF66E9" w:rsidRPr="00AF66E9" w:rsidRDefault="00AF66E9" w:rsidP="00AF66E9">
      <w:r w:rsidRPr="00AF66E9">
        <w:t>Tommi Perälä, Jeffrey A. Hutchings, Anna Kuparinen; Allee effects and the Allee-effect zone in northwest Atlantic cod. Biol Lett 1 February 2022; 18 (2): 20210439.</w:t>
      </w:r>
    </w:p>
    <w:p w14:paraId="03E6FBF5" w14:textId="77777777" w:rsidR="00AF66E9" w:rsidRPr="00AF66E9" w:rsidRDefault="00AF66E9" w:rsidP="00AF66E9"/>
    <w:p w14:paraId="4F5C8D91" w14:textId="77777777" w:rsidR="00AF66E9" w:rsidRPr="00AF66E9" w:rsidRDefault="00AF66E9" w:rsidP="00AF66E9">
      <w:r w:rsidRPr="00AF66E9">
        <w:t xml:space="preserve">from </w:t>
      </w:r>
      <w:proofErr w:type="spellStart"/>
      <w:r w:rsidRPr="00AF66E9">
        <w:t>barret</w:t>
      </w:r>
      <w:proofErr w:type="spellEnd"/>
      <w:r w:rsidRPr="00AF66E9">
        <w:t xml:space="preserve"> and </w:t>
      </w:r>
      <w:proofErr w:type="spellStart"/>
      <w:r w:rsidRPr="00AF66E9">
        <w:t>huynh</w:t>
      </w:r>
      <w:proofErr w:type="spellEnd"/>
      <w:r w:rsidRPr="00AF66E9">
        <w:t xml:space="preserve">: For example, Myers et al. [16] detected a significant Allee effect in only 3 of 128 stock–recruitment relationships (SRRs) using a likelihood ratio test between SRR models with and without a depensation parameter. Liermann and Hilborn [17] similarly found little evidence for depensation in the same data set. Hilborn et al. [18] repeated the Myers et al. [16] analysis with 15 more years of additional data from the (Ransom A. Myers) RAM Legacy database [19] and only found significant depensation in 4 of 113 stocks when looking at the relationship between recruitment and biomass and in 8 of 109 stocks when looking at the relationship between surplus production and biomass. A separate analysis of the RAM database by Keith and Hutchings [20] that looked at the ratio of recruits to SSB vs. SSB across 104 species also yielded little evidence of Allee effects, with the exception of Atlantic cod (Gadus </w:t>
      </w:r>
      <w:proofErr w:type="spellStart"/>
      <w:r w:rsidRPr="00AF66E9">
        <w:t>morhua</w:t>
      </w:r>
      <w:proofErr w:type="spellEnd"/>
      <w:r w:rsidRPr="00AF66E9">
        <w:t xml:space="preserve">). The ability to detect significant Allee effects in SRRs requires data at low population sizes [18,21,22] and the early statistical evaluations of data suffered from low statistical power [20]. Significant Allee effects were recently reported using Bayesian statistical methods in the estimation of SRR parameters in four of nine Atlantic herring (Clupea </w:t>
      </w:r>
      <w:proofErr w:type="spellStart"/>
      <w:r w:rsidRPr="00AF66E9">
        <w:t>harengus</w:t>
      </w:r>
      <w:proofErr w:type="spellEnd"/>
      <w:r w:rsidRPr="00AF66E9">
        <w:t>) stocks in the Northeast Atlantic [21] and for the St. Pierre Bank (3Ps) Atlantic cod stock [22].</w:t>
      </w:r>
    </w:p>
    <w:p w14:paraId="2CAFC9EB" w14:textId="77777777" w:rsidR="00AF66E9" w:rsidRPr="00AF66E9" w:rsidRDefault="00AF66E9" w:rsidP="00AF66E9"/>
    <w:p w14:paraId="6EE218D4" w14:textId="77777777" w:rsidR="00AF66E9" w:rsidRPr="00AF66E9" w:rsidRDefault="00AF66E9" w:rsidP="00AF66E9">
      <w:r w:rsidRPr="00AF66E9">
        <w:t xml:space="preserve">from </w:t>
      </w:r>
      <w:proofErr w:type="spellStart"/>
      <w:r w:rsidRPr="00AF66E9">
        <w:t>neuenhoff</w:t>
      </w:r>
      <w:proofErr w:type="spellEnd"/>
      <w:r w:rsidRPr="00AF66E9">
        <w:t xml:space="preserve">: Atlantic cod in the </w:t>
      </w:r>
      <w:proofErr w:type="spellStart"/>
      <w:r w:rsidRPr="00AF66E9">
        <w:t>sGSL</w:t>
      </w:r>
      <w:proofErr w:type="spellEnd"/>
      <w:r w:rsidRPr="00AF66E9">
        <w:t xml:space="preserve"> are currently experiencing a </w:t>
      </w:r>
      <w:proofErr w:type="spellStart"/>
      <w:r w:rsidRPr="00AF66E9">
        <w:t>strongAllee</w:t>
      </w:r>
      <w:proofErr w:type="spellEnd"/>
      <w:r w:rsidRPr="00AF66E9">
        <w:t xml:space="preserve"> effect, with the rate of surplus production declining to neg-</w:t>
      </w:r>
      <w:proofErr w:type="spellStart"/>
      <w:r w:rsidRPr="00AF66E9">
        <w:t>ative</w:t>
      </w:r>
      <w:proofErr w:type="spellEnd"/>
      <w:r w:rsidRPr="00AF66E9">
        <w:t xml:space="preserve"> values as population biomass has decreased over the </w:t>
      </w:r>
      <w:proofErr w:type="spellStart"/>
      <w:r w:rsidRPr="00AF66E9">
        <w:t>pastdecade</w:t>
      </w:r>
      <w:proofErr w:type="spellEnd"/>
      <w:r w:rsidRPr="00AF66E9">
        <w:t xml:space="preserve">. Changes in recruitment dynamics do not appear to be </w:t>
      </w:r>
      <w:proofErr w:type="spellStart"/>
      <w:r w:rsidRPr="00AF66E9">
        <w:t>theprimary</w:t>
      </w:r>
      <w:proofErr w:type="spellEnd"/>
      <w:r w:rsidRPr="00AF66E9">
        <w:t xml:space="preserve"> cause of this negative productivity. While there does ap-pear to have been a weakening in recruitment compensation be-tween the 1970s and 1990s (cf. Keith and Hutchings 2012), there </w:t>
      </w:r>
      <w:proofErr w:type="spellStart"/>
      <w:r w:rsidRPr="00AF66E9">
        <w:t>isno</w:t>
      </w:r>
      <w:proofErr w:type="spellEnd"/>
      <w:r w:rsidRPr="00AF66E9">
        <w:t xml:space="preserve"> evidence for depensatory recruitment dynamics in this </w:t>
      </w:r>
      <w:proofErr w:type="spellStart"/>
      <w:r w:rsidRPr="00AF66E9">
        <w:t>stock.Furthermore</w:t>
      </w:r>
      <w:proofErr w:type="spellEnd"/>
      <w:r w:rsidRPr="00AF66E9">
        <w:t xml:space="preserve">, the high recruitment success of </w:t>
      </w:r>
      <w:proofErr w:type="spellStart"/>
      <w:r w:rsidRPr="00AF66E9">
        <w:t>sGSL</w:t>
      </w:r>
      <w:proofErr w:type="spellEnd"/>
      <w:r w:rsidRPr="00AF66E9">
        <w:t xml:space="preserve"> cod in the1970s appears to have resulted primarily from reduced </w:t>
      </w:r>
      <w:proofErr w:type="spellStart"/>
      <w:r w:rsidRPr="00AF66E9">
        <w:t>predationon</w:t>
      </w:r>
      <w:proofErr w:type="spellEnd"/>
      <w:r w:rsidRPr="00AF66E9">
        <w:t xml:space="preserve"> Atlantic cod eggs and larvae by collapsed pelagic fish </w:t>
      </w:r>
      <w:proofErr w:type="spellStart"/>
      <w:r w:rsidRPr="00AF66E9">
        <w:t>stocksrather</w:t>
      </w:r>
      <w:proofErr w:type="spellEnd"/>
      <w:r w:rsidRPr="00AF66E9">
        <w:t xml:space="preserve"> than from compensatory recruitment dynamics (</w:t>
      </w:r>
      <w:proofErr w:type="spellStart"/>
      <w:r w:rsidRPr="00AF66E9">
        <w:t>Swainand</w:t>
      </w:r>
      <w:proofErr w:type="spellEnd"/>
      <w:r w:rsidRPr="00AF66E9">
        <w:t xml:space="preserve"> Sinclair 2000). Instead, the positive density dependence </w:t>
      </w:r>
      <w:proofErr w:type="spellStart"/>
      <w:r w:rsidRPr="00AF66E9">
        <w:t>ofpopulation</w:t>
      </w:r>
      <w:proofErr w:type="spellEnd"/>
      <w:r w:rsidRPr="00AF66E9">
        <w:t xml:space="preserve"> productivity at low abundance of this stock appears </w:t>
      </w:r>
      <w:proofErr w:type="spellStart"/>
      <w:r w:rsidRPr="00AF66E9">
        <w:t>toresult</w:t>
      </w:r>
      <w:proofErr w:type="spellEnd"/>
      <w:r w:rsidRPr="00AF66E9">
        <w:t xml:space="preserve"> from predation-driven Allee effects. Given a type </w:t>
      </w:r>
      <w:r w:rsidRPr="00AF66E9">
        <w:lastRenderedPageBreak/>
        <w:t xml:space="preserve">II </w:t>
      </w:r>
      <w:proofErr w:type="spellStart"/>
      <w:r w:rsidRPr="00AF66E9">
        <w:t>func-tional</w:t>
      </w:r>
      <w:proofErr w:type="spellEnd"/>
      <w:r w:rsidRPr="00AF66E9">
        <w:t xml:space="preserve"> response, the predation mortality generated per </w:t>
      </w:r>
      <w:proofErr w:type="spellStart"/>
      <w:r w:rsidRPr="00AF66E9">
        <w:t>predatorincreases</w:t>
      </w:r>
      <w:proofErr w:type="spellEnd"/>
      <w:r w:rsidRPr="00AF66E9">
        <w:t xml:space="preserve"> as prey abundance declines, resulting in a </w:t>
      </w:r>
      <w:proofErr w:type="spellStart"/>
      <w:r w:rsidRPr="00AF66E9">
        <w:t>demographicAllee</w:t>
      </w:r>
      <w:proofErr w:type="spellEnd"/>
      <w:r w:rsidRPr="00AF66E9">
        <w:t xml:space="preserve"> effect (Gascoigne and </w:t>
      </w:r>
      <w:proofErr w:type="spellStart"/>
      <w:r w:rsidRPr="00AF66E9">
        <w:t>Lipcius</w:t>
      </w:r>
      <w:proofErr w:type="spellEnd"/>
      <w:r w:rsidRPr="00AF66E9">
        <w:t xml:space="preserve"> 2004).</w:t>
      </w:r>
    </w:p>
    <w:p w14:paraId="72DF82C3" w14:textId="77777777" w:rsidR="00AF66E9" w:rsidRPr="00AF66E9" w:rsidRDefault="00AF66E9" w:rsidP="00AF66E9"/>
    <w:p w14:paraId="03A85586" w14:textId="77777777" w:rsidR="00AF66E9" w:rsidRPr="00AF66E9" w:rsidRDefault="00AF66E9" w:rsidP="00AF66E9">
      <w:r w:rsidRPr="00AF66E9">
        <w:t xml:space="preserve">The production analyses allowed the detection of evidence for Allee effects in 11 of the 24 Atlantic cod stocks examined. Ten of these eleven stocks were located in the Northwest Atlantic, with </w:t>
      </w:r>
      <w:proofErr w:type="spellStart"/>
      <w:r w:rsidRPr="00AF66E9">
        <w:t>IIIaW</w:t>
      </w:r>
      <w:proofErr w:type="spellEnd"/>
      <w:r w:rsidRPr="00AF66E9">
        <w:t>–IV–VIId being the only Northeast Atlantic cod stock exhibiting an Allee effect. Eight stocks exhibited depensation below a breakpoint in the production to biomass relationship, while five showed consistent depensation across the full biomass range. A key contribution of this study is the use of surplus production dynamics to quantify the strength of Allee effects. Stocks that recovered generally maintained positive production at their lowest observed biomass and exhibited weak or no evidence of Allee effects. Overall, recovery potential appears to be jointly influenced by depletion severity, production at low biomass, and the strength of depensatory dynamics.</w:t>
      </w:r>
    </w:p>
    <w:p w14:paraId="6BE5B1B2" w14:textId="77777777" w:rsidR="00AF66E9" w:rsidRPr="00AF66E9" w:rsidRDefault="00AF66E9" w:rsidP="00AF66E9">
      <w:r w:rsidRPr="00AF66E9">
        <w:t xml:space="preserve">our approach is closer to empirical as we treat biomass and catch directly in the per capita surplus production analysis. it is not purely empirical as biomass is a model output, which as the advantage of reducing noise from data. using a </w:t>
      </w:r>
      <w:proofErr w:type="spellStart"/>
      <w:r w:rsidRPr="00AF66E9">
        <w:t>schafer</w:t>
      </w:r>
      <w:proofErr w:type="spellEnd"/>
      <w:r w:rsidRPr="00AF66E9">
        <w:t xml:space="preserve"> or pt model would force some parametric relationship between production and biomass and the ability to estimate an extra parameter might mask the presence of an </w:t>
      </w:r>
      <w:proofErr w:type="spellStart"/>
      <w:r w:rsidRPr="00AF66E9">
        <w:t>allee</w:t>
      </w:r>
      <w:proofErr w:type="spellEnd"/>
      <w:r w:rsidRPr="00AF66E9">
        <w:t xml:space="preserve"> effect. </w:t>
      </w:r>
    </w:p>
    <w:p w14:paraId="65DEE675" w14:textId="77777777" w:rsidR="00AF66E9" w:rsidRPr="00AF66E9" w:rsidRDefault="00AF66E9" w:rsidP="00AF66E9"/>
    <w:p w14:paraId="333C0CD1" w14:textId="77777777" w:rsidR="00AF66E9" w:rsidRPr="00AF66E9" w:rsidRDefault="00AF66E9" w:rsidP="00AF66E9">
      <w:proofErr w:type="spellStart"/>
      <w:r w:rsidRPr="00AF66E9">
        <w:t>hilborn</w:t>
      </w:r>
      <w:proofErr w:type="spellEnd"/>
      <w:r w:rsidRPr="00AF66E9">
        <w:t xml:space="preserve"> </w:t>
      </w:r>
      <w:proofErr w:type="spellStart"/>
      <w:r w:rsidRPr="00AF66E9">
        <w:t>didnt</w:t>
      </w:r>
      <w:proofErr w:type="spellEnd"/>
      <w:r w:rsidRPr="00AF66E9">
        <w:t xml:space="preserve"> find depensation in RAM stocks because the </w:t>
      </w:r>
      <w:proofErr w:type="spellStart"/>
      <w:r w:rsidRPr="00AF66E9">
        <w:t>allee</w:t>
      </w:r>
      <w:proofErr w:type="spellEnd"/>
      <w:r w:rsidRPr="00AF66E9">
        <w:t xml:space="preserve"> stocks are not in RAM</w:t>
      </w:r>
    </w:p>
    <w:p w14:paraId="21C48080" w14:textId="77777777" w:rsidR="00AF66E9" w:rsidRPr="00AF66E9" w:rsidRDefault="00AF66E9" w:rsidP="00AF66E9"/>
    <w:p w14:paraId="0A82686C" w14:textId="77777777" w:rsidR="00AF66E9" w:rsidRPr="00AF66E9" w:rsidRDefault="00AF66E9" w:rsidP="00AF66E9">
      <w:r w:rsidRPr="00AF66E9">
        <w:t>The conclusion of Myers </w:t>
      </w:r>
      <w:r w:rsidRPr="00AF66E9">
        <w:rPr>
          <w:i/>
          <w:iCs/>
        </w:rPr>
        <w:t>et al</w:t>
      </w:r>
      <w:r w:rsidRPr="00AF66E9">
        <w:t>. (1994) that low spawning stock led to low recruitment was challenged by Gilbert (1997), who argued that recruitment in marine fish stocks is largely driven by environmental conditions that come in regimes of good and bad. Gilbert suggested that when environmental conditions move from good to bad, recruitment declines, and as a result spawning stock declines, thus giving the impression that lower spawning stocks lead to lower recruitment, when the causal mechanism is instead that lower recruitment leads to lower spawning stocks. When environment changes from bad to good, recruitment increases, spawning stock increases, and again it looks like larger spawning stocks lead to more recruitment.</w:t>
      </w:r>
    </w:p>
    <w:p w14:paraId="47ECBA5F" w14:textId="77777777" w:rsidR="00AF66E9" w:rsidRPr="00AF66E9" w:rsidRDefault="00AF66E9" w:rsidP="00AF66E9"/>
    <w:p w14:paraId="5FB69EC2" w14:textId="77777777" w:rsidR="00AF66E9" w:rsidRPr="00AF66E9" w:rsidRDefault="00AF66E9" w:rsidP="00AF66E9">
      <w:r w:rsidRPr="00AF66E9">
        <w:t>Gilbert D. J.., Towards a new recruitment paradigm for fish stocks , </w:t>
      </w:r>
      <w:r w:rsidRPr="00AF66E9">
        <w:rPr>
          <w:i/>
          <w:iCs/>
        </w:rPr>
        <w:t xml:space="preserve">Canadian Journal of Fisheries and Aquatic Sciences </w:t>
      </w:r>
      <w:r w:rsidRPr="00AF66E9">
        <w:t>, 1997, vol. 54 (pg. 969-977)</w:t>
      </w:r>
    </w:p>
    <w:p w14:paraId="7BF566EB" w14:textId="77777777" w:rsidR="00AF66E9" w:rsidRPr="00AF66E9" w:rsidRDefault="00AF66E9" w:rsidP="00AF66E9">
      <w:r w:rsidRPr="00AF66E9">
        <w:lastRenderedPageBreak/>
        <w:t>Vert-pre </w:t>
      </w:r>
      <w:r w:rsidRPr="00AF66E9">
        <w:rPr>
          <w:i/>
          <w:iCs/>
        </w:rPr>
        <w:t>et al</w:t>
      </w:r>
      <w:r w:rsidRPr="00AF66E9">
        <w:t>. (2013) and Vert-pre (2013) explored the Gilbert hypothesis by examining whether changes in recruitment and surplus production were more tightly linked to biomass changes or shifting environmental regimes. They defined regimes as discrete changes in average surplus production or recruitment. For both measures of stock productivity, they found far more evidence that productivity changes are driven by periodic environmental shifts than by changes in adult biomass. For only 15% of stocks were changes in recruitment best explained by changes in biomass and for 24% of stocks changes in surplus production were best explained by changes in biomass. Table 1 summarizes these results with respect to four hypotheses—that recruitment or surplus production is driven by environmental regimes, that it is driven by stock biomass, that it is a result of a mix of environmental regimes and biomass, or that it is totally random</w:t>
      </w:r>
    </w:p>
    <w:p w14:paraId="107A3B89" w14:textId="77777777" w:rsidR="00AF66E9" w:rsidRPr="00AF66E9" w:rsidRDefault="00AF66E9" w:rsidP="00AF66E9"/>
    <w:p w14:paraId="3C4ABB7B" w14:textId="77777777" w:rsidR="00AF66E9" w:rsidRPr="00AF66E9" w:rsidRDefault="00AF66E9" w:rsidP="00AF66E9">
      <w:r w:rsidRPr="00AF66E9">
        <w:t>Second, we extend this approach from stock–recruitment (the focus of the work by Myers </w:t>
      </w:r>
      <w:r w:rsidRPr="00AF66E9">
        <w:rPr>
          <w:i/>
          <w:iCs/>
        </w:rPr>
        <w:t>et al</w:t>
      </w:r>
      <w:r w:rsidRPr="00AF66E9">
        <w:t>., 1995 and Liermann and Hilborn, 1997) to surplus production. This extension recognizes the possibility that depensatory processes may operate not only through changes in juvenile survival (i.e. through the stock–recruitment relationship), but also through other vital rates which contribute to population growth, including adult survival and somatic growth. </w:t>
      </w:r>
    </w:p>
    <w:p w14:paraId="1A0726D1" w14:textId="77777777" w:rsidR="00AF66E9" w:rsidRPr="00AF66E9" w:rsidRDefault="00AF66E9" w:rsidP="00AF66E9"/>
    <w:p w14:paraId="1F68DE32" w14:textId="77777777" w:rsidR="00AF66E9" w:rsidRPr="00AF66E9" w:rsidRDefault="00AF66E9" w:rsidP="00AF66E9">
      <w:r w:rsidRPr="00AF66E9">
        <w:t>For the surplus production analysis, one could argue that total biomass would be more appropriate, since somatic growth and natural mortality affect total biomass. Stocks are also excluded which include data that clearly exhibit that the recruitment or surplus production were deterministic model output. Deterministic model output was indicated if either the surplus production or recruitment followed a smooth curve when plotted against biomass. </w:t>
      </w:r>
    </w:p>
    <w:p w14:paraId="1520D578" w14:textId="77777777" w:rsidR="00AF66E9" w:rsidRPr="00AF66E9" w:rsidRDefault="00AF66E9" w:rsidP="00AF66E9"/>
    <w:p w14:paraId="27AA2401" w14:textId="77777777" w:rsidR="00AF66E9" w:rsidRPr="00AF66E9" w:rsidRDefault="00AF66E9" w:rsidP="00AF66E9"/>
    <w:p w14:paraId="4533F1CF" w14:textId="77777777" w:rsidR="00AF66E9" w:rsidRPr="00AF66E9" w:rsidRDefault="00AF66E9" w:rsidP="00AF66E9">
      <w:r w:rsidRPr="00AF66E9">
        <w:t>These results largely confirm the earlier work of Myers </w:t>
      </w:r>
      <w:r w:rsidRPr="00AF66E9">
        <w:rPr>
          <w:i/>
          <w:iCs/>
        </w:rPr>
        <w:t>et al</w:t>
      </w:r>
      <w:r w:rsidRPr="00AF66E9">
        <w:t>. (1995), Liermann and Hilborn (1997), and Keith and Hutchings (2012) that there is little evidence for depensation in stock and recruitment, and this is supported by the surplus production analysis where again little support for depensation was found</w:t>
      </w:r>
    </w:p>
    <w:p w14:paraId="74D07BEC" w14:textId="77777777" w:rsidR="00AF66E9" w:rsidRPr="00AF66E9" w:rsidRDefault="00AF66E9" w:rsidP="00AF66E9"/>
    <w:p w14:paraId="7D2EF1E2" w14:textId="77777777" w:rsidR="00AF66E9" w:rsidRPr="00AF66E9" w:rsidRDefault="00AF66E9" w:rsidP="00AF66E9">
      <w:r w:rsidRPr="00AF66E9">
        <w:t xml:space="preserve">The ability to detect depensation depends to a great extent on the amount of data taken from low abundance populations. There certainly are many more stocks that have been </w:t>
      </w:r>
      <w:r w:rsidRPr="00AF66E9">
        <w:lastRenderedPageBreak/>
        <w:t>observed at low abundance available to us now than there were in the analyses done in the 1990s, but still our sample is small. There is also the concern that populations that might show strong depensation were fished to commercial extinction and do not appear in our dataset. Stocks need to have been commercially important in the last 30 years to have assessments available to us.</w:t>
      </w:r>
    </w:p>
    <w:p w14:paraId="0D0273B3" w14:textId="77777777" w:rsidR="00AF66E9" w:rsidRPr="00AF66E9" w:rsidRDefault="00AF66E9" w:rsidP="00AF66E9">
      <w:r w:rsidRPr="00AF66E9">
        <w:t xml:space="preserve">We chose to use only stocks that had been depleted at some point to below 20% of their maximum observed stock size. In an </w:t>
      </w:r>
      <w:proofErr w:type="spellStart"/>
      <w:r w:rsidRPr="00AF66E9">
        <w:t>AICc</w:t>
      </w:r>
      <w:proofErr w:type="spellEnd"/>
      <w:r w:rsidRPr="00AF66E9">
        <w:t xml:space="preserve"> analysis, there is a trade-off between the number of stocks and the power of the test, choosing a lower threshold such as 10% would have made the probability of detecting depensation if it is present higher but with a smaller sample size. In the Bayesian analysis, the cut-off level is unimportant, and stocks that were never depleted have no influence on the final </w:t>
      </w:r>
      <w:proofErr w:type="spellStart"/>
      <w:r w:rsidRPr="00AF66E9">
        <w:t>resu</w:t>
      </w:r>
      <w:proofErr w:type="spellEnd"/>
      <w:r w:rsidRPr="00AF66E9">
        <w:br w:type="page"/>
      </w:r>
    </w:p>
    <w:p w14:paraId="33E39893" w14:textId="77777777" w:rsidR="00C026C2" w:rsidRDefault="00C026C2"/>
    <w:sectPr w:rsidR="00C026C2">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E18CA" w14:textId="77777777" w:rsidR="00C74B6A" w:rsidRDefault="00C74B6A" w:rsidP="00AF66E9">
      <w:pPr>
        <w:spacing w:after="0" w:line="240" w:lineRule="auto"/>
      </w:pPr>
      <w:r>
        <w:separator/>
      </w:r>
    </w:p>
  </w:endnote>
  <w:endnote w:type="continuationSeparator" w:id="0">
    <w:p w14:paraId="47BC4BD0" w14:textId="77777777" w:rsidR="00C74B6A" w:rsidRDefault="00C74B6A" w:rsidP="00AF6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2086" w14:textId="77777777" w:rsidR="00C74B6A" w:rsidRDefault="00C74B6A" w:rsidP="00AF66E9">
      <w:pPr>
        <w:spacing w:after="0" w:line="240" w:lineRule="auto"/>
      </w:pPr>
      <w:r>
        <w:separator/>
      </w:r>
    </w:p>
  </w:footnote>
  <w:footnote w:type="continuationSeparator" w:id="0">
    <w:p w14:paraId="5CC4A3C0" w14:textId="77777777" w:rsidR="00C74B6A" w:rsidRDefault="00C74B6A" w:rsidP="00AF66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1A415" w14:textId="142067C3" w:rsidR="00AF66E9" w:rsidRDefault="00AF66E9">
    <w:pPr>
      <w:pStyle w:val="Header"/>
    </w:pPr>
    <w:r>
      <w:rPr>
        <w:noProof/>
      </w:rPr>
      <mc:AlternateContent>
        <mc:Choice Requires="wps">
          <w:drawing>
            <wp:anchor distT="0" distB="0" distL="0" distR="0" simplePos="0" relativeHeight="251659264" behindDoc="0" locked="0" layoutInCell="1" allowOverlap="1" wp14:anchorId="3A397151" wp14:editId="03EA39AE">
              <wp:simplePos x="635" y="635"/>
              <wp:positionH relativeFrom="page">
                <wp:align>right</wp:align>
              </wp:positionH>
              <wp:positionV relativeFrom="page">
                <wp:align>top</wp:align>
              </wp:positionV>
              <wp:extent cx="1916430" cy="405765"/>
              <wp:effectExtent l="0" t="0" r="0" b="13335"/>
              <wp:wrapNone/>
              <wp:docPr id="585988168" name="Text Box 2"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01B6EE8C" w14:textId="61EA1BDE" w:rsidR="00AF66E9" w:rsidRPr="00AF66E9" w:rsidRDefault="00AF66E9" w:rsidP="00AF66E9">
                          <w:pPr>
                            <w:spacing w:after="0"/>
                            <w:rPr>
                              <w:rFonts w:ascii="Calibri" w:eastAsia="Calibri" w:hAnsi="Calibri" w:cs="Calibri"/>
                              <w:noProof/>
                              <w:color w:val="000000"/>
                            </w:rPr>
                          </w:pPr>
                          <w:r w:rsidRPr="00AF66E9">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3A397151" id="_x0000_t202" coordsize="21600,21600" o:spt="202" path="m,l,21600r21600,l21600,xe">
              <v:stroke joinstyle="miter"/>
              <v:path gradientshapeok="t" o:connecttype="rect"/>
            </v:shapetype>
            <v:shape id="Text Box 2" o:spid="_x0000_s1026" type="#_x0000_t202" alt="Unclassified - Non-Classifié" style="position:absolute;margin-left:110.9pt;margin-top:0;width:150.9pt;height:31.9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" filled="f" stroked="f">
              <v:fill o:detectmouseclick="t"/>
              <v:textbox style="mso-fit-shape-to-text:t" inset="0,15pt,20pt,0">
                <w:txbxContent>
                  <w:p w14:paraId="01B6EE8C" w14:textId="61EA1BDE" w:rsidR="00AF66E9" w:rsidRPr="00AF66E9" w:rsidRDefault="00AF66E9" w:rsidP="00AF66E9">
                    <w:pPr>
                      <w:spacing w:after="0"/>
                      <w:rPr>
                        <w:rFonts w:ascii="Calibri" w:eastAsia="Calibri" w:hAnsi="Calibri" w:cs="Calibri"/>
                        <w:noProof/>
                        <w:color w:val="000000"/>
                      </w:rPr>
                    </w:pPr>
                    <w:r w:rsidRPr="00AF66E9">
                      <w:rPr>
                        <w:rFonts w:ascii="Calibri" w:eastAsia="Calibri" w:hAnsi="Calibri" w:cs="Calibri"/>
                        <w:noProof/>
                        <w:color w:val="000000"/>
                      </w:rPr>
                      <w:t>Unclassified - Non-Classifié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FB4D" w14:textId="3E2171AE" w:rsidR="00AF66E9" w:rsidRDefault="00AF66E9">
    <w:pPr>
      <w:pStyle w:val="Header"/>
    </w:pPr>
    <w:r>
      <w:rPr>
        <w:noProof/>
      </w:rPr>
      <mc:AlternateContent>
        <mc:Choice Requires="wps">
          <w:drawing>
            <wp:anchor distT="0" distB="0" distL="0" distR="0" simplePos="0" relativeHeight="251660288" behindDoc="0" locked="0" layoutInCell="1" allowOverlap="1" wp14:anchorId="2413007F" wp14:editId="19C0F792">
              <wp:simplePos x="914400" y="457200"/>
              <wp:positionH relativeFrom="page">
                <wp:align>right</wp:align>
              </wp:positionH>
              <wp:positionV relativeFrom="page">
                <wp:align>top</wp:align>
              </wp:positionV>
              <wp:extent cx="1916430" cy="405765"/>
              <wp:effectExtent l="0" t="0" r="0" b="13335"/>
              <wp:wrapNone/>
              <wp:docPr id="597788843" name="Text Box 3"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2E40374B" w14:textId="7096080B" w:rsidR="00AF66E9" w:rsidRPr="00AF66E9" w:rsidRDefault="00AF66E9" w:rsidP="00AF66E9">
                          <w:pPr>
                            <w:spacing w:after="0"/>
                            <w:rPr>
                              <w:rFonts w:ascii="Calibri" w:eastAsia="Calibri" w:hAnsi="Calibri" w:cs="Calibri"/>
                              <w:noProof/>
                              <w:color w:val="000000"/>
                            </w:rPr>
                          </w:pPr>
                          <w:r w:rsidRPr="00AF66E9">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413007F" id="_x0000_t202" coordsize="21600,21600" o:spt="202" path="m,l,21600r21600,l21600,xe">
              <v:stroke joinstyle="miter"/>
              <v:path gradientshapeok="t" o:connecttype="rect"/>
            </v:shapetype>
            <v:shape id="Text Box 3" o:spid="_x0000_s1027" type="#_x0000_t202" alt="Unclassified - Non-Classifié" style="position:absolute;margin-left:110.9pt;margin-top:0;width:150.9pt;height:31.9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" filled="f" stroked="f">
              <v:fill o:detectmouseclick="t"/>
              <v:textbox style="mso-fit-shape-to-text:t" inset="0,15pt,20pt,0">
                <w:txbxContent>
                  <w:p w14:paraId="2E40374B" w14:textId="7096080B" w:rsidR="00AF66E9" w:rsidRPr="00AF66E9" w:rsidRDefault="00AF66E9" w:rsidP="00AF66E9">
                    <w:pPr>
                      <w:spacing w:after="0"/>
                      <w:rPr>
                        <w:rFonts w:ascii="Calibri" w:eastAsia="Calibri" w:hAnsi="Calibri" w:cs="Calibri"/>
                        <w:noProof/>
                        <w:color w:val="000000"/>
                      </w:rPr>
                    </w:pPr>
                    <w:r w:rsidRPr="00AF66E9">
                      <w:rPr>
                        <w:rFonts w:ascii="Calibri" w:eastAsia="Calibri" w:hAnsi="Calibri" w:cs="Calibri"/>
                        <w:noProof/>
                        <w:color w:val="000000"/>
                      </w:rPr>
                      <w:t>Unclassified - Non-Classifié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20C8" w14:textId="2D2A19A0" w:rsidR="00AF66E9" w:rsidRDefault="00AF66E9">
    <w:pPr>
      <w:pStyle w:val="Header"/>
    </w:pPr>
    <w:r>
      <w:rPr>
        <w:noProof/>
      </w:rPr>
      <mc:AlternateContent>
        <mc:Choice Requires="wps">
          <w:drawing>
            <wp:anchor distT="0" distB="0" distL="0" distR="0" simplePos="0" relativeHeight="251658240" behindDoc="0" locked="0" layoutInCell="1" allowOverlap="1" wp14:anchorId="4325DFD3" wp14:editId="1BCE32AD">
              <wp:simplePos x="635" y="635"/>
              <wp:positionH relativeFrom="page">
                <wp:align>right</wp:align>
              </wp:positionH>
              <wp:positionV relativeFrom="page">
                <wp:align>top</wp:align>
              </wp:positionV>
              <wp:extent cx="1916430" cy="405765"/>
              <wp:effectExtent l="0" t="0" r="0" b="13335"/>
              <wp:wrapNone/>
              <wp:docPr id="1403957312" name="Text Box 1" descr="Unclassified - Non-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16430" cy="405765"/>
                      </a:xfrm>
                      <a:prstGeom prst="rect">
                        <a:avLst/>
                      </a:prstGeom>
                      <a:noFill/>
                      <a:ln>
                        <a:noFill/>
                      </a:ln>
                    </wps:spPr>
                    <wps:txbx>
                      <w:txbxContent>
                        <w:p w14:paraId="492287B0" w14:textId="4CBC3E55" w:rsidR="00AF66E9" w:rsidRPr="00AF66E9" w:rsidRDefault="00AF66E9" w:rsidP="00AF66E9">
                          <w:pPr>
                            <w:spacing w:after="0"/>
                            <w:rPr>
                              <w:rFonts w:ascii="Calibri" w:eastAsia="Calibri" w:hAnsi="Calibri" w:cs="Calibri"/>
                              <w:noProof/>
                              <w:color w:val="000000"/>
                            </w:rPr>
                          </w:pPr>
                          <w:r w:rsidRPr="00AF66E9">
                            <w:rPr>
                              <w:rFonts w:ascii="Calibri" w:eastAsia="Calibri" w:hAnsi="Calibri" w:cs="Calibri"/>
                              <w:noProof/>
                              <w:color w:val="000000"/>
                            </w:rPr>
                            <w:t>Unclassified - Non-Classifié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325DFD3" id="_x0000_t202" coordsize="21600,21600" o:spt="202" path="m,l,21600r21600,l21600,xe">
              <v:stroke joinstyle="miter"/>
              <v:path gradientshapeok="t" o:connecttype="rect"/>
            </v:shapetype>
            <v:shape id="Text Box 1" o:spid="_x0000_s1028" type="#_x0000_t202" alt="Unclassified - Non-Classifié" style="position:absolute;margin-left:110.9pt;margin-top:0;width:150.9pt;height:31.9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" filled="f" stroked="f">
              <v:fill o:detectmouseclick="t"/>
              <v:textbox style="mso-fit-shape-to-text:t" inset="0,15pt,20pt,0">
                <w:txbxContent>
                  <w:p w14:paraId="492287B0" w14:textId="4CBC3E55" w:rsidR="00AF66E9" w:rsidRPr="00AF66E9" w:rsidRDefault="00AF66E9" w:rsidP="00AF66E9">
                    <w:pPr>
                      <w:spacing w:after="0"/>
                      <w:rPr>
                        <w:rFonts w:ascii="Calibri" w:eastAsia="Calibri" w:hAnsi="Calibri" w:cs="Calibri"/>
                        <w:noProof/>
                        <w:color w:val="000000"/>
                      </w:rPr>
                    </w:pPr>
                    <w:r w:rsidRPr="00AF66E9">
                      <w:rPr>
                        <w:rFonts w:ascii="Calibri" w:eastAsia="Calibri" w:hAnsi="Calibri" w:cs="Calibri"/>
                        <w:noProof/>
                        <w:color w:val="000000"/>
                      </w:rPr>
                      <w:t>Unclassified - Non-Classifié</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E9"/>
    <w:rsid w:val="001A0C48"/>
    <w:rsid w:val="00A25987"/>
    <w:rsid w:val="00AF66E9"/>
    <w:rsid w:val="00C026C2"/>
    <w:rsid w:val="00C74B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D57C"/>
  <w15:chartTrackingRefBased/>
  <w15:docId w15:val="{AB30ABEC-5315-406E-AF37-0E6BB3C43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6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6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6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6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6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6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6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6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6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6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6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6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6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6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6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6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66E9"/>
    <w:rPr>
      <w:rFonts w:eastAsiaTheme="majorEastAsia" w:cstheme="majorBidi"/>
      <w:color w:val="272727" w:themeColor="text1" w:themeTint="D8"/>
    </w:rPr>
  </w:style>
  <w:style w:type="paragraph" w:styleId="Title">
    <w:name w:val="Title"/>
    <w:basedOn w:val="Normal"/>
    <w:next w:val="Normal"/>
    <w:link w:val="TitleChar"/>
    <w:uiPriority w:val="10"/>
    <w:qFormat/>
    <w:rsid w:val="00AF6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6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6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6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66E9"/>
    <w:pPr>
      <w:spacing w:before="160"/>
      <w:jc w:val="center"/>
    </w:pPr>
    <w:rPr>
      <w:i/>
      <w:iCs/>
      <w:color w:val="404040" w:themeColor="text1" w:themeTint="BF"/>
    </w:rPr>
  </w:style>
  <w:style w:type="character" w:customStyle="1" w:styleId="QuoteChar">
    <w:name w:val="Quote Char"/>
    <w:basedOn w:val="DefaultParagraphFont"/>
    <w:link w:val="Quote"/>
    <w:uiPriority w:val="29"/>
    <w:rsid w:val="00AF66E9"/>
    <w:rPr>
      <w:i/>
      <w:iCs/>
      <w:color w:val="404040" w:themeColor="text1" w:themeTint="BF"/>
    </w:rPr>
  </w:style>
  <w:style w:type="paragraph" w:styleId="ListParagraph">
    <w:name w:val="List Paragraph"/>
    <w:basedOn w:val="Normal"/>
    <w:uiPriority w:val="34"/>
    <w:qFormat/>
    <w:rsid w:val="00AF66E9"/>
    <w:pPr>
      <w:ind w:left="720"/>
      <w:contextualSpacing/>
    </w:pPr>
  </w:style>
  <w:style w:type="character" w:styleId="IntenseEmphasis">
    <w:name w:val="Intense Emphasis"/>
    <w:basedOn w:val="DefaultParagraphFont"/>
    <w:uiPriority w:val="21"/>
    <w:qFormat/>
    <w:rsid w:val="00AF66E9"/>
    <w:rPr>
      <w:i/>
      <w:iCs/>
      <w:color w:val="0F4761" w:themeColor="accent1" w:themeShade="BF"/>
    </w:rPr>
  </w:style>
  <w:style w:type="paragraph" w:styleId="IntenseQuote">
    <w:name w:val="Intense Quote"/>
    <w:basedOn w:val="Normal"/>
    <w:next w:val="Normal"/>
    <w:link w:val="IntenseQuoteChar"/>
    <w:uiPriority w:val="30"/>
    <w:qFormat/>
    <w:rsid w:val="00AF6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66E9"/>
    <w:rPr>
      <w:i/>
      <w:iCs/>
      <w:color w:val="0F4761" w:themeColor="accent1" w:themeShade="BF"/>
    </w:rPr>
  </w:style>
  <w:style w:type="character" w:styleId="IntenseReference">
    <w:name w:val="Intense Reference"/>
    <w:basedOn w:val="DefaultParagraphFont"/>
    <w:uiPriority w:val="32"/>
    <w:qFormat/>
    <w:rsid w:val="00AF66E9"/>
    <w:rPr>
      <w:b/>
      <w:bCs/>
      <w:smallCaps/>
      <w:color w:val="0F4761" w:themeColor="accent1" w:themeShade="BF"/>
      <w:spacing w:val="5"/>
    </w:rPr>
  </w:style>
  <w:style w:type="paragraph" w:styleId="Header">
    <w:name w:val="header"/>
    <w:basedOn w:val="Normal"/>
    <w:link w:val="HeaderChar"/>
    <w:uiPriority w:val="99"/>
    <w:unhideWhenUsed/>
    <w:rsid w:val="00AF66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6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5089617">
      <w:bodyDiv w:val="1"/>
      <w:marLeft w:val="0"/>
      <w:marRight w:val="0"/>
      <w:marTop w:val="0"/>
      <w:marBottom w:val="0"/>
      <w:divBdr>
        <w:top w:val="none" w:sz="0" w:space="0" w:color="auto"/>
        <w:left w:val="none" w:sz="0" w:space="0" w:color="auto"/>
        <w:bottom w:val="none" w:sz="0" w:space="0" w:color="auto"/>
        <w:right w:val="none" w:sz="0" w:space="0" w:color="auto"/>
      </w:divBdr>
    </w:div>
    <w:div w:id="1775859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1599</Words>
  <Characters>8602</Characters>
  <Application>Microsoft Office Word</Application>
  <DocSecurity>0</DocSecurity>
  <Lines>143</Lines>
  <Paragraphs>22</Paragraphs>
  <ScaleCrop>false</ScaleCrop>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Turcotte, François (DFO/MPO)</dc:creator>
  <cp:keywords/>
  <dc:description/>
  <cp:lastModifiedBy>Turcotte, François (DFO/MPO)</cp:lastModifiedBy>
  <cp:revision>1</cp:revision>
  <dcterms:created xsi:type="dcterms:W3CDTF">2026-04-23T11:36:00Z</dcterms:created>
  <dcterms:modified xsi:type="dcterms:W3CDTF">2026-04-23T11:36:00Z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53aeb040,22ed7848,23a188ab</vt:lpwstr>
  </property>
  <property fmtid="{D5CDD505-2E9C-101B-9397-08002B2CF9AE}" pid="3" name="ClassificationContentMarkingHeaderFontProps">
    <vt:lpwstr>#000000,12,Calibri</vt:lpwstr>
  </property>
  <property fmtid="{D5CDD505-2E9C-101B-9397-08002B2CF9AE}" pid="4" name="ClassificationContentMarkingHeaderText">
    <vt:lpwstr>Unclassified - Non-Classifié</vt:lpwstr>
  </property>
  <property fmtid="{D5CDD505-2E9C-101B-9397-08002B2CF9AE}" pid="5" name="MSIP_Label_4e6cdb53-fd15-486d-84de-c510e3a62203_Enabled">
    <vt:lpwstr>true</vt:lpwstr>
  </property>
  <property fmtid="{D5CDD505-2E9C-101B-9397-08002B2CF9AE}" pid="6" name="MSIP_Label_4e6cdb53-fd15-486d-84de-c510e3a62203_SetDate">
    <vt:lpwstr>2026-04-23T11:36:33Z</vt:lpwstr>
  </property>
  <property fmtid="{D5CDD505-2E9C-101B-9397-08002B2CF9AE}" pid="7" name="MSIP_Label_4e6cdb53-fd15-486d-84de-c510e3a62203_Method">
    <vt:lpwstr>Standard</vt:lpwstr>
  </property>
  <property fmtid="{D5CDD505-2E9C-101B-9397-08002B2CF9AE}" pid="8" name="MSIP_Label_4e6cdb53-fd15-486d-84de-c510e3a62203_Name">
    <vt:lpwstr>UNCLASSIFIED - NON-CLASSIFIÉ</vt:lpwstr>
  </property>
  <property fmtid="{D5CDD505-2E9C-101B-9397-08002B2CF9AE}" pid="9" name="MSIP_Label_4e6cdb53-fd15-486d-84de-c510e3a62203_SiteId">
    <vt:lpwstr>1594fdae-a1d9-4405-915d-011467234338</vt:lpwstr>
  </property>
  <property fmtid="{D5CDD505-2E9C-101B-9397-08002B2CF9AE}" pid="10" name="MSIP_Label_4e6cdb53-fd15-486d-84de-c510e3a62203_ActionId">
    <vt:lpwstr>109acfe9-abaf-4ffe-b2b5-92f69df69d6e</vt:lpwstr>
  </property>
  <property fmtid="{D5CDD505-2E9C-101B-9397-08002B2CF9AE}" pid="11" name="MSIP_Label_4e6cdb53-fd15-486d-84de-c510e3a62203_ContentBits">
    <vt:lpwstr>1</vt:lpwstr>
  </property>
  <property fmtid="{D5CDD505-2E9C-101B-9397-08002B2CF9AE}" pid="12" name="MSIP_Label_4e6cdb53-fd15-486d-84de-c510e3a62203_Tag">
    <vt:lpwstr>10, 3, 0, 1</vt:lpwstr>
  </property>
</Properties>
</file>