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Bridget Grennon</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April 10, 2025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i w:val="1"/>
        </w:rPr>
      </w:pPr>
      <w:r w:rsidDel="00000000" w:rsidR="00000000" w:rsidRPr="00000000">
        <w:rPr>
          <w:i w:val="1"/>
          <w:rtl w:val="0"/>
        </w:rPr>
        <w:t xml:space="preserve">….</w:t>
      </w:r>
    </w:p>
    <w:p w:rsidR="00000000" w:rsidDel="00000000" w:rsidP="00000000" w:rsidRDefault="00000000" w:rsidRPr="00000000" w14:paraId="00000006">
      <w:pPr>
        <w:spacing w:after="240" w:before="240" w:line="276" w:lineRule="auto"/>
        <w:rPr/>
      </w:pPr>
      <w:r w:rsidDel="00000000" w:rsidR="00000000" w:rsidRPr="00000000">
        <w:rPr>
          <w:rtl w:val="0"/>
        </w:rPr>
        <w:t xml:space="preserve">This week’s reading from </w:t>
      </w:r>
      <w:r w:rsidDel="00000000" w:rsidR="00000000" w:rsidRPr="00000000">
        <w:rPr>
          <w:i w:val="1"/>
          <w:rtl w:val="0"/>
        </w:rPr>
        <w:t xml:space="preserve">The Geography of Bliss</w:t>
      </w:r>
      <w:r w:rsidDel="00000000" w:rsidR="00000000" w:rsidRPr="00000000">
        <w:rPr>
          <w:rtl w:val="0"/>
        </w:rPr>
        <w:t xml:space="preserve"> really shifted how I think about the “Good Life.” Eric Weiner’s experience in India showed me that happiness doesn’t always come from having control, comfort, or material things, ideas that are often emphasized in Western culture. Instead, I’ve learned that happiness can come from accepting life’s messiness and learning to live with suffering rather than avoiding it. That mindset, where happiness is tied to spiritual growth and self awareness, really challenged me to rethink my own definitions. What stood out most was how India embraces contradiction, poverty and joy, noise and peace, and doesn’t see suffering as something that ruins happiness. I’ve learned that the Good Life can be about inner peace, letting go of ego, and being part of a community. It made me realize that I sometimes chase after external things for happiness, when maybe a deeper, more lasting peace comes from within. Weiner’s insights taught me that personal growth, relationships, and accepting life as it is might be more important than always striving to change or fix everything. That’s something I’ll carry with me as I keep exploring what the Good Life really means.</w:t>
      </w:r>
    </w:p>
    <w:p w:rsidR="00000000" w:rsidDel="00000000" w:rsidP="00000000" w:rsidRDefault="00000000" w:rsidRPr="00000000" w14:paraId="00000007">
      <w:pPr>
        <w:spacing w:after="240" w:before="240" w:line="276"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