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85" w:rsidRPr="00882148" w:rsidRDefault="008D3785" w:rsidP="00FF6CB1">
      <w:pPr>
        <w:spacing w:after="100" w:afterAutospacing="1" w:line="240" w:lineRule="auto"/>
        <w:jc w:val="both"/>
        <w:rPr>
          <w:b/>
          <w:sz w:val="28"/>
        </w:rPr>
      </w:pPr>
      <w:r w:rsidRPr="00882148">
        <w:rPr>
          <w:b/>
          <w:sz w:val="28"/>
        </w:rPr>
        <w:t>Commentary. Re-visiting the intracellular pathway of transferrin on board of a mathematical simulation</w:t>
      </w:r>
      <w:r w:rsidR="000D27B6" w:rsidRPr="00882148">
        <w:rPr>
          <w:b/>
          <w:sz w:val="28"/>
        </w:rPr>
        <w:t>.</w:t>
      </w:r>
    </w:p>
    <w:p w:rsidR="000D27B6" w:rsidRPr="000D27B6" w:rsidRDefault="000D27B6" w:rsidP="00FF6CB1">
      <w:pPr>
        <w:spacing w:after="100" w:afterAutospacing="1" w:line="240" w:lineRule="auto"/>
        <w:jc w:val="both"/>
        <w:rPr>
          <w:b/>
          <w:lang w:val="es-AR"/>
        </w:rPr>
      </w:pPr>
      <w:r w:rsidRPr="000D27B6">
        <w:rPr>
          <w:b/>
          <w:lang w:val="es-AR"/>
        </w:rPr>
        <w:t>Franco Nieto and Luis S</w:t>
      </w:r>
      <w:r>
        <w:rPr>
          <w:b/>
          <w:lang w:val="es-AR"/>
        </w:rPr>
        <w:t>. Mayorga</w:t>
      </w:r>
    </w:p>
    <w:p w:rsidR="000D27B6" w:rsidRPr="00A61870" w:rsidRDefault="00EA39B0" w:rsidP="00A61870">
      <w:pPr>
        <w:pStyle w:val="ListParagraph"/>
        <w:numPr>
          <w:ilvl w:val="0"/>
          <w:numId w:val="3"/>
        </w:numPr>
        <w:spacing w:after="100" w:afterAutospacing="1" w:line="240" w:lineRule="auto"/>
        <w:jc w:val="both"/>
        <w:rPr>
          <w:b/>
        </w:rPr>
      </w:pPr>
      <w:r w:rsidRPr="00A61870">
        <w:rPr>
          <w:b/>
        </w:rPr>
        <w:t>Short Description of the Modeling S</w:t>
      </w:r>
      <w:r w:rsidR="000D27B6" w:rsidRPr="00A61870">
        <w:rPr>
          <w:b/>
        </w:rPr>
        <w:t>trategy</w:t>
      </w:r>
    </w:p>
    <w:p w:rsidR="008D3785" w:rsidRDefault="000D27B6" w:rsidP="00FF6CB1">
      <w:pPr>
        <w:spacing w:after="100" w:afterAutospacing="1" w:line="240" w:lineRule="auto"/>
        <w:jc w:val="both"/>
      </w:pPr>
      <w:r>
        <w:t xml:space="preserve">The simulation combines an Agent-Based Model (ABM, </w:t>
      </w:r>
      <w:r w:rsidR="00EA39B0">
        <w:t xml:space="preserve">implemented in </w:t>
      </w:r>
      <w:r>
        <w:t xml:space="preserve">Repast </w:t>
      </w:r>
      <w:r>
        <w:fldChar w:fldCharType="begin"/>
      </w:r>
      <w:r>
        <w:instrText xml:space="preserve"> ADDIN ZOTERO_ITEM CSL_CITATION {"citationID":"h1SlJsJP","properties":{"formattedCitation":"[1]","plainCitation":"[1]","noteIndex":0},"citationItems":[{"id":6947,"uris":["http://zotero.org/users/local/Ma6o9ucA/items/KNA3C9MJ"],"itemData":{"id":6947,"type":"article-journal","abstract":"This paper is to describe development of the features and functions of Repast Simphony, the widely used, free, and open source agent-based modeling environment that builds on the Repast 3 library. Repast Simphony was designed from the ground up with a focus on well-factored abstractions. The resulting code has a modular architecture that allows individual components such as networks, logging, and time scheduling to be replaced as needed. The Repast family of agent-based modeling software has collectively been under continuous development for more than 10 years","container-title":"Complex Adaptive Systems Modeling","DOI":"10.1186/2194-3206-1-3","ISSN":"2194-3206","issue":"1","journalAbbreviation":"Complex Adaptive Systems Modeling","page":"3","title":"Complex adaptive systems modeling with Repast Simphony","URL":"https://doi.org/10.1186/2194-3206-1-3","volume":"1","author":[{"family":"North","given":"Michael J."},{"family":"Collier","given":"Nicholson T."},{"family":"Ozik","given":"Jonathan"},{"family":"Tatara","given":"Eric R."},{"family":"Macal","given":"Charles M."},{"family":"Bragen","given":"Mark"},{"family":"Sydelko","given":"Pam"}],"issued":{"date-parts":[["2013"]]}}}],"schema":"https://github.com/citation-style-language/schema/raw/master/csl-citation.json"} </w:instrText>
      </w:r>
      <w:r>
        <w:fldChar w:fldCharType="separate"/>
      </w:r>
      <w:r w:rsidRPr="000D27B6">
        <w:rPr>
          <w:rFonts w:ascii="Calibri" w:hAnsi="Calibri" w:cs="Calibri"/>
        </w:rPr>
        <w:t>[1]</w:t>
      </w:r>
      <w:r>
        <w:fldChar w:fldCharType="end"/>
      </w:r>
      <w:r>
        <w:t xml:space="preserve">) with Ordinary Differential Equations (ODE) managed by COPASI </w:t>
      </w:r>
      <w:r>
        <w:fldChar w:fldCharType="begin"/>
      </w:r>
      <w:r>
        <w:instrText xml:space="preserve"> ADDIN ZOTERO_ITEM CSL_CITATION {"citationID":"QLEgcF7E","properties":{"formattedCitation":"[2]","plainCitation":"[2]","noteIndex":0},"citationItems":[{"id":4230,"uris":["http://zotero.org/users/local/Ma6o9ucA/items/KSEXBWW5"],"itemData":{"id":4230,"type":"article-journal","abstract":"MOTIVATION: Simulation and modeling is becoming a standard approach to understand complex biochemical processes. Therefore, there is a big need for software tools that allow access to diverse simulation and modeling methods as well as support for the usage of these methods. RESULTS: Here, we present COPASI, a platform-independent and user-friendly biochemical simulator that offers several unique features. We discuss numerical issues with these features; in particular, the criteria to switch between stochastic and deterministic simulation methods, hybrid deterministic-stochastic methods, and the importance of random number generator numerical resolution in stochastic simulation. AVAILABILITY: The complete software is available in binary (executable) for MS Windows, OS X, Linux (Intel) and Sun Solaris (SPARC), as well as the full source code under an open source license from http://www.copasi.org","container-title":"Bioinformatics.","DOI":"10.1093/bioinformatics/btl485","issue":"1367-4811 (Electronic)","journalAbbreviation":"Bioinformatics.","language":"eng","note":"PMID: 17032683","page":"3067-3074","title":"COPASI--a COmplex PAthway SImulator","volume":"22","author":[{"family":"Hoops","given":"S."},{"family":"Sahle","given":"S."},{"family":"Gauges","given":"R."},{"family":"Lee","given":"C."},{"family":"Pahle","given":"J."},{"family":"Simus","given":"N."},{"family":"Singhal","given":"M."},{"family":"Xu","given":"L."},{"family":"Mendes","given":"P."},{"family":"Kummer","given":"U."}],"issued":{"date-parts":[["2006",12,15]]}}}],"schema":"https://github.com/citation-style-language/schema/raw/master/csl-citation.json"} </w:instrText>
      </w:r>
      <w:r>
        <w:fldChar w:fldCharType="separate"/>
      </w:r>
      <w:r w:rsidRPr="000D27B6">
        <w:rPr>
          <w:rFonts w:ascii="Calibri" w:hAnsi="Calibri" w:cs="Calibri"/>
        </w:rPr>
        <w:t>[2]</w:t>
      </w:r>
      <w:r>
        <w:fldChar w:fldCharType="end"/>
      </w:r>
      <w:r>
        <w:t xml:space="preserve">.  More details can be found in references </w:t>
      </w:r>
      <w:r>
        <w:fldChar w:fldCharType="begin"/>
      </w:r>
      <w:r w:rsidR="00890352">
        <w:instrText xml:space="preserve"> ADDIN ZOTERO_ITEM CSL_CITATION {"citationID":"cI7qI7dC","properties":{"formattedCitation":"[3\\uc0\\u8211{}5]","plainCitation":"[3–5]","noteIndex":0},"citationItems":[{"id":7678,"uris":["http://zotero.org/users/local/Ma6o9ucA/items/56T9ICUF"],"itemData":{"id":7678,"type":"article-journal","abstract":"BACKGROUND: Cell biology is evolving to become a more formal and quantitative science. In particular, several mathematical models have been proposed to address Golgi self-organisation and protein and lipid transport. However, most scientific articles about the Golgi apparatus are still using static cartoons that miss the dynamism of this organelle. RESULTS: In this report, we show that schematic drawings of Golgi trafficking can be easily translated into an agent-based model using the Repast platform. The simulations generate an active interplay among cisternae and vesicles rendering quantitative predictions about Golgi stability and transport of soluble and membrane-associated cargoes. The models can incorporate complex networks of molecular interactions and chemical reactions by association with COPASI, a software that handles ordinary differential equations. CONCLUSIONS: The strategy described provides a simple, flexible and multiscale support to analyse Golgi transport. The simulations can be used to address issues directly linked to the mechanism of transport or as a way to incorporate the complexity of trafficking to other cellular processes that occur in dynamic organelles. SIGNIFICANCE: We show that the rules implicitly present in most schematic representations of intracellular trafficking can be used to build dynamic models with quantitative outputs that can be compared with experimental results","container-title":"Biol.Cell.","issue":"3","journalAbbreviation":"Biol.Cell.","page":"146-164","title":"From cartoons to quantitative models in Golgi transport","volume":"113","author":[{"family":"Quiros","given":"D.N."},{"family":"Nieto","given":"F."},{"family":"Mayorga","given":"L.S."}],"issued":{"date-parts":[["2021",3]]}}},{"id":10765,"uris":["http://zotero.org/users/local/Ma6o9ucA/items/K3AFPT5X"],"itemData":{"id":10765,"type":"article-journal","abstract":"Dendritic cells (DCs) have a specialized endomembrane system capable of presenting exogenous antigens in the context of MHC class I (MHC-I) molecules. This process, named cross-presentation, is crucial to activate CD8+ T lymphocytes and initiate cytotoxic immune responses. In this report, we present an Agent-Based Model in combination with Ordinary Differential Equations with enough complexity to reproduce cross-presentation. The model embraces the secretory and endocytic pathways, in connection with the plasma membrane, the endoplasmic reticulum, and the cytosol. Key molecules required for cross-presentation were included as cargoes. In the simulations, the kinetics of MHC-I uptake and recycling, and cross-presentation accurately reproduced experimental values. The model proved to be a suitable tool to elaborate hypotheses and design experiments. In particular, the model predictions and the experimental results obtained indicate that the rate-limiting step in cross-presentation of soluble ovalbumin is MHC-I loading after proteasomal processing of the antigenic protein.","container-title":"Cellular Immunology","DOI":"10.1016/j.cellimm.2022.104636","ISSN":"0008-8749","journalAbbreviation":"Cellular Immunology","language":"en","page":"104636","source":"ScienceDirect","title":"Kinetics of antigen cross-presentation assessed experimentally and by a model of the complete endomembrane system","URL":"https://www.sciencedirect.com/science/article/pii/S0008874922001617","volume":"382","author":[{"family":"Nieto","given":"Franco"},{"family":"Garrido","given":"Facundo"},{"family":"Dinamarca","given":"Sofía"},{"family":"Cebrian","given":"Ignacio"},{"family":"Mayorga","given":"Luis S."}],"accessed":{"date-parts":[["2023",1,31]]},"issued":{"date-parts":[["2022",12,1]]}}},{"id":6164,"uris":["http://zotero.org/users/local/Ma6o9ucA/items/I5BRRQC5"],"itemData":{"id":6164,"type":"article-journal","container-title":"Biology Direct","DOI":"10.1080/21541248.2017.1384088","page":"25","title":"Reconstruction of endosomal organization and function by a combination of ODE and agent-based modeling strategies","volume":"13","author":[{"family":"Mayorga","given":"L.S."},{"family":"Cebrian","given":"I."},{"family":"Verma","given":"Meghna"},{"family":"Hoops","given":"S."},{"family":"Bassaganya-Riera","given":"J."}],"issued":{"date-parts":[["2018"]]}}}],"schema":"https://github.com/citation-style-language/schema/raw/master/csl-citation.json"} </w:instrText>
      </w:r>
      <w:r>
        <w:fldChar w:fldCharType="separate"/>
      </w:r>
      <w:r w:rsidR="00890352" w:rsidRPr="00890352">
        <w:rPr>
          <w:rFonts w:ascii="Calibri" w:hAnsi="Calibri" w:cs="Calibri"/>
          <w:szCs w:val="24"/>
        </w:rPr>
        <w:t>[3–5]</w:t>
      </w:r>
      <w:r>
        <w:fldChar w:fldCharType="end"/>
      </w:r>
      <w:r>
        <w:t xml:space="preserve">. </w:t>
      </w:r>
      <w:r w:rsidR="00EA39B0">
        <w:t>The parameter sets provided in the tables below were used for the three processes that govern trafficking: vesicle/tubule formation, fusion among organelles, and maturation. We did not perform a systematic sensitivity analysis for these parameters; instead, the values were adjusted to maintain stable areas for all membrane domains over an extended period (for instance, 180,000 ticks correspondi</w:t>
      </w:r>
      <w:r w:rsidR="00FF6CB1">
        <w:t xml:space="preserve">ng to 3 hours of cellular time </w:t>
      </w:r>
      <w:r w:rsidR="00B50DC0">
        <w:fldChar w:fldCharType="begin"/>
      </w:r>
      <w:r>
        <w:instrText xml:space="preserve"> ADDIN ZOTERO_ITEM CSL_CITATION {"citationID":"oWBycDeA","properties":{"formattedCitation":"[4]","plainCitation":"[4]","noteIndex":0},"citationItems":[{"id":10765,"uris":["http://zotero.org/users/local/Ma6o9ucA/items/K3AFPT5X"],"itemData":{"id":10765,"type":"article-journal","abstract":"Dendritic cells (DCs) have a specialized endomembrane system capable of presenting exogenous antigens in the context of MHC class I (MHC-I) molecules. This process, named cross-presentation, is crucial to activate CD8+ T lymphocytes and initiate cytotoxic immune responses. In this report, we present an Agent-Based Model in combination with Ordinary Differential Equations with enough complexity to reproduce cross-presentation. The model embraces the secretory and endocytic pathways, in connection with the plasma membrane, the endoplasmic reticulum, and the cytosol. Key molecules required for cross-presentation were included as cargoes. In the simulations, the kinetics of MHC-I uptake and recycling, and cross-presentation accurately reproduced experimental values. The model proved to be a suitable tool to elaborate hypotheses and design experiments. In particular, the model predictions and the experimental results obtained indicate that the rate-limiting step in cross-presentation of soluble ovalbumin is MHC-I loading after proteasomal processing of the antigenic protein.","container-title":"Cellular Immunology","DOI":"10.1016/j.cellimm.2022.104636","ISSN":"0008-8749","journalAbbreviation":"Cellular Immunology","language":"en","page":"104636","source":"ScienceDirect","title":"Kinetics of antigen cross-presentation assessed experimentally and by a model of the complete endomembrane system","URL":"https://www.sciencedirect.com/science/article/pii/S0008874922001617","volume":"382","author":[{"family":"Nieto","given":"Franco"},{"family":"Garrido","given":"Facundo"},{"family":"Dinamarca","given":"Sofía"},{"family":"Cebrian","given":"Ignacio"},{"family":"Mayorga","given":"Luis S."}],"accessed":{"date-parts":[["2023",1,31]]},"issued":{"date-parts":[["2022",12,1]]}}}],"schema":"https://github.com/citation-style-language/schema/raw/master/csl-citation.json"} </w:instrText>
      </w:r>
      <w:r w:rsidR="00B50DC0">
        <w:fldChar w:fldCharType="separate"/>
      </w:r>
      <w:r w:rsidRPr="000D27B6">
        <w:rPr>
          <w:rFonts w:ascii="Calibri" w:hAnsi="Calibri" w:cs="Calibri"/>
        </w:rPr>
        <w:t>[4]</w:t>
      </w:r>
      <w:r w:rsidR="00B50DC0">
        <w:fldChar w:fldCharType="end"/>
      </w:r>
      <w:r w:rsidR="00E778B3">
        <w:t xml:space="preserve">).  </w:t>
      </w:r>
      <w:r w:rsidR="00EA39B0">
        <w:t>In addition, we verified that the total area of the endosomal compartment—as well as the proportions of endosomes (EE + SE + RE) and late endosomes (LE)—approximately match those reported in</w:t>
      </w:r>
      <w:r w:rsidR="00FF6CB1">
        <w:t xml:space="preserve"> </w:t>
      </w:r>
      <w:r w:rsidR="00B50DC0">
        <w:fldChar w:fldCharType="begin"/>
      </w:r>
      <w:r w:rsidR="00890352">
        <w:instrText xml:space="preserve"> ADDIN ZOTERO_ITEM CSL_CITATION {"citationID":"k9p7ja7i","properties":{"formattedCitation":"[6]","plainCitation":"[6]","noteIndex":0},"citationItems":[{"id":10811,"uris":["http://zotero.org/users/local/Ma6o9ucA/items/5UF82WFY"],"itemData":{"id":10811,"type":"article-journal","abstract":"A morphological analysis of the compartments of the endocytic pathway in baby hamster kidney (BHK) cells has been made using the fluid-phase marker horseradish peroxidase (HRP). The endocytic structures labeled after increasing times of endocytosis have been identified and their volume and surface densities measured. In the first 2 min of HRP uptake the volume density of the labeled structures increased rapidly and thereafter remained constant for the next 13-18 min. This plateau represents the volume density of endosome organelles and accounts for 0.65% of the cytoplasmic volume (or 6.8 microns 3 per cell). The labeled structures consist of tubular-cisternal elements which are frequently observed in continuity with 300-400 nm vesicles. After 15-20 min of internalization the volume density of HRP-labeled structures again increased rapidly and reached a second plateau between 30 and 60 min of labeling. This second increase corresponded to detectable levels of HRP reaching later, acid phosphatase (AcPase)-reactive compartments. These structures, comprising the prelysosomes and lysosomes, were mostly vesicular and collectively accounted for 3.5% of the cytoplasmic volume (or 37 microns 3 per cell). The absolute peripheral surface areas of the two classes of organelles (endosomes and prelysosomes/lysosomes) were estimated to be 430 and 370 microns 2 per cell, respectively. The volume of fluid internalized in the first 2 min of uptake was five- to sevenfold less than the volume of the compartment labeled in this time. To account for these results we propose that, after uptake from the cell surface, HRP is delivered to, and diluted in, endosomes that are preexisting organelles initially devoid of the marker. With increasing times of endocytosis the concentration of HRP in the early endosomes increases, as more of the marker enters this compartment. An elevation in HRP concentration in endosomes during the early time points was shown directly using anti-HRP antibodies and colloidal gold on cryosections. The stereological values given in the present study, in combination with earlier studies, provide a minimum estimate for both the total surface area of membranes and the rate of membrane synthesis in a BHK cell.","container-title":"The Journal of cell biology","DOI":"10.1083/jcb.109.6.2703","ISSN":"0021-9525, 1540-8140","issue":"6","language":"en","page":"2703-2720","source":"DOI.org (Crossref)","title":"A quantitative analysis of the endocytic pathway in baby hamster kidney cells.","URL":"https://rupress.org/jcb/article/109/6/2703/29039/A-quantitative-analysis-of-the-endocytic-pathway","volume":"109","author":[{"family":"Griffiths","given":"G"},{"family":"Back","given":"R"},{"family":"Marsh","given":"M"}],"accessed":{"date-parts":[["2024",11,25]]},"issued":{"date-parts":[["1989",12,1]]}}}],"schema":"https://github.com/citation-style-language/schema/raw/master/csl-citation.json"} </w:instrText>
      </w:r>
      <w:r w:rsidR="00B50DC0">
        <w:fldChar w:fldCharType="separate"/>
      </w:r>
      <w:r w:rsidR="00890352" w:rsidRPr="00890352">
        <w:rPr>
          <w:rFonts w:ascii="Calibri" w:hAnsi="Calibri" w:cs="Calibri"/>
        </w:rPr>
        <w:t>[6]</w:t>
      </w:r>
      <w:r w:rsidR="00B50DC0">
        <w:fldChar w:fldCharType="end"/>
      </w:r>
      <w:r w:rsidR="00D10130">
        <w:t xml:space="preserve">. For this, we considered that we have </w:t>
      </w:r>
      <w:r>
        <w:t xml:space="preserve">modeled </w:t>
      </w:r>
      <w:r w:rsidR="00D10130">
        <w:t xml:space="preserve">a section of 15x15x1 </w:t>
      </w:r>
      <w:r w:rsidR="00D10130" w:rsidRPr="00D10130">
        <w:rPr>
          <w:rFonts w:ascii="Symbol" w:hAnsi="Symbol"/>
        </w:rPr>
        <w:t></w:t>
      </w:r>
      <w:r w:rsidR="00D10130">
        <w:t>m</w:t>
      </w:r>
      <w:r w:rsidR="00FF6CB1">
        <w:t xml:space="preserve"> </w:t>
      </w:r>
      <w:r w:rsidR="00FF6CB1" w:rsidRPr="00FF6CB1">
        <w:t>(with the 1 </w:t>
      </w:r>
      <w:proofErr w:type="spellStart"/>
      <w:r w:rsidR="00FF6CB1" w:rsidRPr="00FF6CB1">
        <w:t>μm</w:t>
      </w:r>
      <w:proofErr w:type="spellEnd"/>
      <w:r w:rsidR="00FF6CB1" w:rsidRPr="00FF6CB1">
        <w:t xml:space="preserve"> thickness chosen arbitrarily)</w:t>
      </w:r>
      <w:r w:rsidR="005660EA">
        <w:t xml:space="preserve">. </w:t>
      </w:r>
      <w:r w:rsidR="00761B97">
        <w:t>This</w:t>
      </w:r>
      <w:r w:rsidR="00917939">
        <w:t xml:space="preserve"> section is enclosed by</w:t>
      </w:r>
      <w:r w:rsidR="00761B97">
        <w:t xml:space="preserve"> 60 </w:t>
      </w:r>
      <w:r w:rsidR="00761B97" w:rsidRPr="00D10130">
        <w:rPr>
          <w:rFonts w:ascii="Symbol" w:hAnsi="Symbol"/>
        </w:rPr>
        <w:t></w:t>
      </w:r>
      <w:r w:rsidR="00761B97">
        <w:t>m</w:t>
      </w:r>
      <w:r w:rsidR="00761B97" w:rsidRPr="00D10130">
        <w:rPr>
          <w:vertAlign w:val="superscript"/>
        </w:rPr>
        <w:t>2</w:t>
      </w:r>
      <w:r w:rsidR="00761B97">
        <w:rPr>
          <w:vertAlign w:val="superscript"/>
        </w:rPr>
        <w:t xml:space="preserve"> </w:t>
      </w:r>
      <w:r w:rsidR="00761B97">
        <w:t xml:space="preserve"> </w:t>
      </w:r>
      <w:r w:rsidR="00917939">
        <w:t xml:space="preserve">of </w:t>
      </w:r>
      <w:r w:rsidR="00EA39B0">
        <w:t>plasma membrane</w:t>
      </w:r>
      <w:r w:rsidR="00917939">
        <w:t xml:space="preserve"> </w:t>
      </w:r>
      <w:r w:rsidR="00761B97">
        <w:t>area</w:t>
      </w:r>
      <w:r w:rsidR="00917939">
        <w:t>, which correspond to a</w:t>
      </w:r>
      <w:r w:rsidR="00761B97">
        <w:t xml:space="preserve"> 1/37</w:t>
      </w:r>
      <w:r w:rsidR="00EA39B0">
        <w:t>th</w:t>
      </w:r>
      <w:r w:rsidR="00761B97">
        <w:t xml:space="preserve"> of the area of a completed </w:t>
      </w:r>
      <w:r w:rsidR="00716D0C" w:rsidRPr="00761B97">
        <w:t>Baby Hamster Kidney</w:t>
      </w:r>
      <w:r w:rsidR="00716D0C">
        <w:t xml:space="preserve"> </w:t>
      </w:r>
      <w:r w:rsidR="00761B97">
        <w:t xml:space="preserve">cell as reported in </w:t>
      </w:r>
      <w:r w:rsidR="00761B97">
        <w:fldChar w:fldCharType="begin"/>
      </w:r>
      <w:r w:rsidR="00890352">
        <w:instrText xml:space="preserve"> ADDIN ZOTERO_ITEM CSL_CITATION {"citationID":"b7c1RJVF","properties":{"formattedCitation":"[6]","plainCitation":"[6]","noteIndex":0},"citationItems":[{"id":10811,"uris":["http://zotero.org/users/local/Ma6o9ucA/items/5UF82WFY"],"itemData":{"id":10811,"type":"article-journal","abstract":"A morphological analysis of the compartments of the endocytic pathway in baby hamster kidney (BHK) cells has been made using the fluid-phase marker horseradish peroxidase (HRP). The endocytic structures labeled after increasing times of endocytosis have been identified and their volume and surface densities measured. In the first 2 min of HRP uptake the volume density of the labeled structures increased rapidly and thereafter remained constant for the next 13-18 min. This plateau represents the volume density of endosome organelles and accounts for 0.65% of the cytoplasmic volume (or 6.8 microns 3 per cell). The labeled structures consist of tubular-cisternal elements which are frequently observed in continuity with 300-400 nm vesicles. After 15-20 min of internalization the volume density of HRP-labeled structures again increased rapidly and reached a second plateau between 30 and 60 min of labeling. This second increase corresponded to detectable levels of HRP reaching later, acid phosphatase (AcPase)-reactive compartments. These structures, comprising the prelysosomes and lysosomes, were mostly vesicular and collectively accounted for 3.5% of the cytoplasmic volume (or 37 microns 3 per cell). The absolute peripheral surface areas of the two classes of organelles (endosomes and prelysosomes/lysosomes) were estimated to be 430 and 370 microns 2 per cell, respectively. The volume of fluid internalized in the first 2 min of uptake was five- to sevenfold less than the volume of the compartment labeled in this time. To account for these results we propose that, after uptake from the cell surface, HRP is delivered to, and diluted in, endosomes that are preexisting organelles initially devoid of the marker. With increasing times of endocytosis the concentration of HRP in the early endosomes increases, as more of the marker enters this compartment. An elevation in HRP concentration in endosomes during the early time points was shown directly using anti-HRP antibodies and colloidal gold on cryosections. The stereological values given in the present study, in combination with earlier studies, provide a minimum estimate for both the total surface area of membranes and the rate of membrane synthesis in a BHK cell.","container-title":"The Journal of cell biology","DOI":"10.1083/jcb.109.6.2703","ISSN":"0021-9525, 1540-8140","issue":"6","language":"en","page":"2703-2720","source":"DOI.org (Crossref)","title":"A quantitative analysis of the endocytic pathway in baby hamster kidney cells.","URL":"https://rupress.org/jcb/article/109/6/2703/29039/A-quantitative-analysis-of-the-endocytic-pathway","volume":"109","author":[{"family":"Griffiths","given":"G"},{"family":"Back","given":"R"},{"family":"Marsh","given":"M"}],"accessed":{"date-parts":[["2024",11,25]]},"issued":{"date-parts":[["1989",12,1]]}}}],"schema":"https://github.com/citation-style-language/schema/raw/master/csl-citation.json"} </w:instrText>
      </w:r>
      <w:r w:rsidR="00761B97">
        <w:fldChar w:fldCharType="separate"/>
      </w:r>
      <w:r w:rsidR="00890352" w:rsidRPr="00890352">
        <w:rPr>
          <w:rFonts w:ascii="Calibri" w:hAnsi="Calibri" w:cs="Calibri"/>
        </w:rPr>
        <w:t>[6]</w:t>
      </w:r>
      <w:r w:rsidR="00761B97">
        <w:fldChar w:fldCharType="end"/>
      </w:r>
      <w:r w:rsidR="00761B97">
        <w:t>.</w:t>
      </w:r>
    </w:p>
    <w:p w:rsidR="00D10130" w:rsidRPr="00EA39B0" w:rsidRDefault="00EA39B0" w:rsidP="00FF6CB1">
      <w:pPr>
        <w:spacing w:after="100" w:afterAutospacing="1" w:line="240" w:lineRule="auto"/>
        <w:jc w:val="both"/>
        <w:rPr>
          <w:b/>
        </w:rPr>
      </w:pPr>
      <w:r>
        <w:rPr>
          <w:b/>
        </w:rPr>
        <w:t xml:space="preserve">Table 1. </w:t>
      </w:r>
      <w:r w:rsidR="00917939" w:rsidRPr="00EA39B0">
        <w:rPr>
          <w:b/>
        </w:rPr>
        <w:t>Cell area, volume,</w:t>
      </w:r>
      <w:r>
        <w:rPr>
          <w:b/>
        </w:rPr>
        <w:t xml:space="preserve"> and </w:t>
      </w:r>
      <w:r w:rsidR="00917939" w:rsidRPr="00EA39B0">
        <w:rPr>
          <w:b/>
        </w:rPr>
        <w:t xml:space="preserve">transferrin receptors </w:t>
      </w:r>
      <w:r w:rsidR="00C23997" w:rsidRPr="00EA39B0">
        <w:rPr>
          <w:b/>
        </w:rPr>
        <w:t>comparing</w:t>
      </w:r>
      <w:r w:rsidR="005660EA" w:rsidRPr="00EA39B0">
        <w:rPr>
          <w:b/>
        </w:rPr>
        <w:t xml:space="preserve"> experimental data</w:t>
      </w:r>
      <w:r w:rsidR="008C4EAE" w:rsidRPr="00EA39B0">
        <w:rPr>
          <w:b/>
        </w:rPr>
        <w:t xml:space="preserve"> </w:t>
      </w:r>
      <w:r w:rsidR="00935F60" w:rsidRPr="00EA39B0">
        <w:rPr>
          <w:b/>
        </w:rPr>
        <w:fldChar w:fldCharType="begin"/>
      </w:r>
      <w:r w:rsidR="00890352">
        <w:rPr>
          <w:b/>
        </w:rPr>
        <w:instrText xml:space="preserve"> ADDIN ZOTERO_ITEM CSL_CITATION {"citationID":"0ZOWbxoc","properties":{"formattedCitation":"[6,7]","plainCitation":"[6,7]","noteIndex":0},"citationItems":[{"id":10811,"uris":["http://zotero.org/users/local/Ma6o9ucA/items/5UF82WFY"],"itemData":{"id":10811,"type":"article-journal","abstract":"A morphological analysis of the compartments of the endocytic pathway in baby hamster kidney (BHK) cells has been made using the fluid-phase marker horseradish peroxidase (HRP). The endocytic structures labeled after increasing times of endocytosis have been identified and their volume and surface densities measured. In the first 2 min of HRP uptake the volume density of the labeled structures increased rapidly and thereafter remained constant for the next 13-18 min. This plateau represents the volume density of endosome organelles and accounts for 0.65% of the cytoplasmic volume (or 6.8 microns 3 per cell). The labeled structures consist of tubular-cisternal elements which are frequently observed in continuity with 300-400 nm vesicles. After 15-20 min of internalization the volume density of HRP-labeled structures again increased rapidly and reached a second plateau between 30 and 60 min of labeling. This second increase corresponded to detectable levels of HRP reaching later, acid phosphatase (AcPase)-reactive compartments. These structures, comprising the prelysosomes and lysosomes, were mostly vesicular and collectively accounted for 3.5% of the cytoplasmic volume (or 37 microns 3 per cell). The absolute peripheral surface areas of the two classes of organelles (endosomes and prelysosomes/lysosomes) were estimated to be 430 and 370 microns 2 per cell, respectively. The volume of fluid internalized in the first 2 min of uptake was five- to sevenfold less than the volume of the compartment labeled in this time. To account for these results we propose that, after uptake from the cell surface, HRP is delivered to, and diluted in, endosomes that are preexisting organelles initially devoid of the marker. With increasing times of endocytosis the concentration of HRP in the early endosomes increases, as more of the marker enters this compartment. An elevation in HRP concentration in endosomes during the early time points was shown directly using anti-HRP antibodies and colloidal gold on cryosections. The stereological values given in the present study, in combination with earlier studies, provide a minimum estimate for both the total surface area of membranes and the rate of membrane synthesis in a BHK cell.","container-title":"The Journal of cell biology","DOI":"10.1083/jcb.109.6.2703","ISSN":"0021-9525, 1540-8140","issue":"6","language":"en","page":"2703-2720","source":"DOI.org (Crossref)","title":"A quantitative analysis of the endocytic pathway in baby hamster kidney cells.","URL":"https://rupress.org/jcb/article/109/6/2703/29039/A-quantitative-analysis-of-the-endocytic-pathway","volume":"109","author":[{"family":"Griffiths","given":"G"},{"family":"Back","given":"R"},{"family":"Marsh","given":"M"}],"accessed":{"date-parts":[["2024",11,25]]},"issued":{"date-parts":[["1989",12,1]]}}},{"id":10792,"uris":["http://zotero.org/users/local/Ma6o9ucA/items/4WGL6GAZ"],"itemData":{"id":10792,"type":"article-journal","container-title":"Journal of Biological Chemistry","DOI":"10.1016/S0021-9258(17)44551-0","ISSN":"00219258","issue":"16","journalAbbreviation":"Journal of Biological Chemistry","language":"en","license":"https://www.elsevier.com/tdm/userlicense/1.0/","page":"9681-9689","source":"DOI.org (Crossref)","title":"Kinetics of internalization and recycling of transferrin and the transferrin receptor in a human hepatoma cell line. Effect of lysosomotropic agents.","URL":"https://linkinghub.elsevier.com/retrieve/pii/S0021925817445510","volume":"258","author":[{"family":"Ciechanover","given":"A"},{"family":"Schwartz","given":"A L"},{"family":"Dautry-Varsat","given":"A"},{"family":"Lodish","given":"H F"}],"accessed":{"date-parts":[["2024",11,22]]},"issued":{"date-parts":[["1983",8]]}}}],"schema":"https://github.com/citation-style-language/schema/raw/master/csl-citation.json"} </w:instrText>
      </w:r>
      <w:r w:rsidR="00935F60" w:rsidRPr="00EA39B0">
        <w:rPr>
          <w:b/>
        </w:rPr>
        <w:fldChar w:fldCharType="separate"/>
      </w:r>
      <w:r w:rsidR="00890352" w:rsidRPr="00890352">
        <w:rPr>
          <w:rFonts w:ascii="Calibri" w:hAnsi="Calibri" w:cs="Calibri"/>
        </w:rPr>
        <w:t>[6,7]</w:t>
      </w:r>
      <w:r w:rsidR="00935F60" w:rsidRPr="00EA39B0">
        <w:rPr>
          <w:b/>
        </w:rPr>
        <w:fldChar w:fldCharType="end"/>
      </w:r>
      <w:r w:rsidR="00935F60" w:rsidRPr="00EA39B0">
        <w:rPr>
          <w:b/>
        </w:rPr>
        <w:t xml:space="preserve"> </w:t>
      </w:r>
      <w:r w:rsidR="00C23997" w:rsidRPr="00EA39B0">
        <w:rPr>
          <w:b/>
        </w:rPr>
        <w:t>with a simulation</w:t>
      </w:r>
      <w:r w:rsidR="005660EA" w:rsidRPr="00EA39B0">
        <w:rPr>
          <w:b/>
        </w:rPr>
        <w:t xml:space="preserve"> </w:t>
      </w:r>
    </w:p>
    <w:tbl>
      <w:tblPr>
        <w:tblStyle w:val="TableGrid"/>
        <w:tblW w:w="0" w:type="auto"/>
        <w:tblLook w:val="04A0" w:firstRow="1" w:lastRow="0" w:firstColumn="1" w:lastColumn="0" w:noHBand="0" w:noVBand="1"/>
      </w:tblPr>
      <w:tblGrid>
        <w:gridCol w:w="3116"/>
        <w:gridCol w:w="1469"/>
        <w:gridCol w:w="1800"/>
        <w:gridCol w:w="1800"/>
      </w:tblGrid>
      <w:tr w:rsidR="00D10130" w:rsidTr="000E2459">
        <w:tc>
          <w:tcPr>
            <w:tcW w:w="3116" w:type="dxa"/>
          </w:tcPr>
          <w:p w:rsidR="00D10130" w:rsidRPr="006E3EE4" w:rsidRDefault="00C23997" w:rsidP="00FF6CB1">
            <w:pPr>
              <w:spacing w:after="100" w:afterAutospacing="1"/>
              <w:jc w:val="both"/>
              <w:rPr>
                <w:b/>
              </w:rPr>
            </w:pPr>
            <w:r w:rsidRPr="006E3EE4">
              <w:rPr>
                <w:b/>
              </w:rPr>
              <w:t xml:space="preserve">parameters </w:t>
            </w:r>
          </w:p>
        </w:tc>
        <w:tc>
          <w:tcPr>
            <w:tcW w:w="1469" w:type="dxa"/>
          </w:tcPr>
          <w:p w:rsidR="005660EA" w:rsidRPr="006E3EE4" w:rsidRDefault="00D10130" w:rsidP="00FF6CB1">
            <w:pPr>
              <w:spacing w:after="100" w:afterAutospacing="1"/>
              <w:jc w:val="both"/>
              <w:rPr>
                <w:b/>
              </w:rPr>
            </w:pPr>
            <w:r w:rsidRPr="006E3EE4">
              <w:rPr>
                <w:b/>
              </w:rPr>
              <w:t>complete cell</w:t>
            </w:r>
          </w:p>
        </w:tc>
        <w:tc>
          <w:tcPr>
            <w:tcW w:w="1800" w:type="dxa"/>
          </w:tcPr>
          <w:p w:rsidR="005660EA" w:rsidRPr="006E3EE4" w:rsidRDefault="005660EA" w:rsidP="00FF6CB1">
            <w:pPr>
              <w:spacing w:after="100" w:afterAutospacing="1"/>
              <w:jc w:val="both"/>
              <w:rPr>
                <w:b/>
              </w:rPr>
            </w:pPr>
            <w:r w:rsidRPr="006E3EE4">
              <w:rPr>
                <w:b/>
              </w:rPr>
              <w:t>0.027 fraction</w:t>
            </w:r>
          </w:p>
        </w:tc>
        <w:tc>
          <w:tcPr>
            <w:tcW w:w="1800" w:type="dxa"/>
          </w:tcPr>
          <w:p w:rsidR="00D10130" w:rsidRPr="006E3EE4" w:rsidRDefault="00C23997" w:rsidP="00FF6CB1">
            <w:pPr>
              <w:spacing w:after="100" w:afterAutospacing="1"/>
              <w:jc w:val="both"/>
              <w:rPr>
                <w:b/>
              </w:rPr>
            </w:pPr>
            <w:r w:rsidRPr="006E3EE4">
              <w:rPr>
                <w:b/>
              </w:rPr>
              <w:t>model</w:t>
            </w:r>
            <w:r w:rsidR="000D27B6" w:rsidRPr="006E3EE4">
              <w:rPr>
                <w:b/>
                <w:vertAlign w:val="superscript"/>
              </w:rPr>
              <w:t>*</w:t>
            </w:r>
          </w:p>
        </w:tc>
      </w:tr>
      <w:tr w:rsidR="00D10130" w:rsidTr="000E2459">
        <w:tc>
          <w:tcPr>
            <w:tcW w:w="3116" w:type="dxa"/>
          </w:tcPr>
          <w:p w:rsidR="00D10130" w:rsidRPr="006E3EE4" w:rsidRDefault="00D10130" w:rsidP="00FF6CB1">
            <w:pPr>
              <w:spacing w:after="100" w:afterAutospacing="1"/>
              <w:jc w:val="both"/>
              <w:rPr>
                <w:b/>
              </w:rPr>
            </w:pPr>
            <w:r w:rsidRPr="006E3EE4">
              <w:rPr>
                <w:b/>
              </w:rPr>
              <w:t>plasma membrane</w:t>
            </w:r>
            <w:r w:rsidR="00C23997" w:rsidRPr="006E3EE4">
              <w:rPr>
                <w:b/>
              </w:rPr>
              <w:t xml:space="preserve"> area (</w:t>
            </w:r>
            <w:r w:rsidR="00C23997" w:rsidRPr="006E3EE4">
              <w:rPr>
                <w:rFonts w:ascii="Symbol" w:hAnsi="Symbol"/>
                <w:b/>
              </w:rPr>
              <w:t></w:t>
            </w:r>
            <w:r w:rsidR="00C23997" w:rsidRPr="006E3EE4">
              <w:rPr>
                <w:b/>
              </w:rPr>
              <w:t>m</w:t>
            </w:r>
            <w:r w:rsidR="00C23997" w:rsidRPr="006E3EE4">
              <w:rPr>
                <w:b/>
                <w:vertAlign w:val="superscript"/>
              </w:rPr>
              <w:t>2</w:t>
            </w:r>
            <w:r w:rsidR="00C23997" w:rsidRPr="006E3EE4">
              <w:rPr>
                <w:b/>
              </w:rPr>
              <w:t>)</w:t>
            </w:r>
          </w:p>
        </w:tc>
        <w:tc>
          <w:tcPr>
            <w:tcW w:w="1469" w:type="dxa"/>
          </w:tcPr>
          <w:p w:rsidR="00D10130" w:rsidRDefault="00D10130" w:rsidP="00FF6CB1">
            <w:pPr>
              <w:spacing w:after="100" w:afterAutospacing="1"/>
              <w:jc w:val="center"/>
            </w:pPr>
            <w:r>
              <w:t>2200</w:t>
            </w:r>
          </w:p>
        </w:tc>
        <w:tc>
          <w:tcPr>
            <w:tcW w:w="1800" w:type="dxa"/>
          </w:tcPr>
          <w:p w:rsidR="00D10130" w:rsidRDefault="005660EA" w:rsidP="00FF6CB1">
            <w:pPr>
              <w:spacing w:after="100" w:afterAutospacing="1"/>
              <w:jc w:val="center"/>
            </w:pPr>
            <w:r>
              <w:t>60</w:t>
            </w:r>
          </w:p>
        </w:tc>
        <w:tc>
          <w:tcPr>
            <w:tcW w:w="1800" w:type="dxa"/>
          </w:tcPr>
          <w:p w:rsidR="00D10130" w:rsidRDefault="00D10130" w:rsidP="00FF6CB1">
            <w:pPr>
              <w:spacing w:after="100" w:afterAutospacing="1"/>
              <w:jc w:val="center"/>
            </w:pPr>
            <w:r>
              <w:t>60</w:t>
            </w:r>
          </w:p>
        </w:tc>
      </w:tr>
      <w:tr w:rsidR="00D10130" w:rsidTr="000E2459">
        <w:tc>
          <w:tcPr>
            <w:tcW w:w="3116" w:type="dxa"/>
          </w:tcPr>
          <w:p w:rsidR="00D10130" w:rsidRPr="006E3EE4" w:rsidRDefault="00D10130" w:rsidP="00FF6CB1">
            <w:pPr>
              <w:spacing w:after="100" w:afterAutospacing="1"/>
              <w:jc w:val="both"/>
              <w:rPr>
                <w:b/>
              </w:rPr>
            </w:pPr>
            <w:r w:rsidRPr="006E3EE4">
              <w:rPr>
                <w:b/>
              </w:rPr>
              <w:t>endosomes</w:t>
            </w:r>
            <w:r w:rsidR="00C23997" w:rsidRPr="006E3EE4">
              <w:rPr>
                <w:b/>
              </w:rPr>
              <w:t xml:space="preserve"> area (</w:t>
            </w:r>
            <w:r w:rsidR="00C23997" w:rsidRPr="006E3EE4">
              <w:rPr>
                <w:rFonts w:ascii="Symbol" w:hAnsi="Symbol"/>
                <w:b/>
              </w:rPr>
              <w:t></w:t>
            </w:r>
            <w:r w:rsidR="00C23997" w:rsidRPr="006E3EE4">
              <w:rPr>
                <w:b/>
              </w:rPr>
              <w:t>m</w:t>
            </w:r>
            <w:r w:rsidR="00C23997" w:rsidRPr="006E3EE4">
              <w:rPr>
                <w:b/>
                <w:vertAlign w:val="superscript"/>
              </w:rPr>
              <w:t>2</w:t>
            </w:r>
            <w:r w:rsidR="00C23997" w:rsidRPr="006E3EE4">
              <w:rPr>
                <w:b/>
              </w:rPr>
              <w:t>)</w:t>
            </w:r>
          </w:p>
        </w:tc>
        <w:tc>
          <w:tcPr>
            <w:tcW w:w="1469" w:type="dxa"/>
          </w:tcPr>
          <w:p w:rsidR="00D10130" w:rsidRDefault="00D10130" w:rsidP="00FF6CB1">
            <w:pPr>
              <w:spacing w:after="100" w:afterAutospacing="1"/>
              <w:jc w:val="center"/>
            </w:pPr>
            <w:r>
              <w:t>430</w:t>
            </w:r>
          </w:p>
        </w:tc>
        <w:tc>
          <w:tcPr>
            <w:tcW w:w="1800" w:type="dxa"/>
          </w:tcPr>
          <w:p w:rsidR="00D10130" w:rsidRDefault="005660EA" w:rsidP="00FF6CB1">
            <w:pPr>
              <w:spacing w:after="100" w:afterAutospacing="1"/>
              <w:jc w:val="center"/>
            </w:pPr>
            <w:r>
              <w:t>12</w:t>
            </w:r>
          </w:p>
        </w:tc>
        <w:tc>
          <w:tcPr>
            <w:tcW w:w="1800" w:type="dxa"/>
          </w:tcPr>
          <w:p w:rsidR="00D10130" w:rsidRDefault="005660EA" w:rsidP="00FF6CB1">
            <w:pPr>
              <w:spacing w:after="100" w:afterAutospacing="1"/>
              <w:jc w:val="center"/>
            </w:pPr>
            <w:r>
              <w:t>14</w:t>
            </w:r>
          </w:p>
        </w:tc>
      </w:tr>
      <w:tr w:rsidR="00D10130" w:rsidTr="000E2459">
        <w:tc>
          <w:tcPr>
            <w:tcW w:w="3116" w:type="dxa"/>
          </w:tcPr>
          <w:p w:rsidR="00D10130" w:rsidRPr="006E3EE4" w:rsidRDefault="00D10130" w:rsidP="00FF6CB1">
            <w:pPr>
              <w:spacing w:after="100" w:afterAutospacing="1"/>
              <w:jc w:val="both"/>
              <w:rPr>
                <w:b/>
              </w:rPr>
            </w:pPr>
            <w:r w:rsidRPr="006E3EE4">
              <w:rPr>
                <w:b/>
              </w:rPr>
              <w:t>lysosomes</w:t>
            </w:r>
            <w:r w:rsidR="00C23997" w:rsidRPr="006E3EE4">
              <w:rPr>
                <w:b/>
              </w:rPr>
              <w:t xml:space="preserve"> area (</w:t>
            </w:r>
            <w:r w:rsidR="00C23997" w:rsidRPr="006E3EE4">
              <w:rPr>
                <w:rFonts w:ascii="Symbol" w:hAnsi="Symbol"/>
                <w:b/>
              </w:rPr>
              <w:t></w:t>
            </w:r>
            <w:r w:rsidR="00C23997" w:rsidRPr="006E3EE4">
              <w:rPr>
                <w:b/>
              </w:rPr>
              <w:t>m</w:t>
            </w:r>
            <w:r w:rsidR="00C23997" w:rsidRPr="006E3EE4">
              <w:rPr>
                <w:b/>
                <w:vertAlign w:val="superscript"/>
              </w:rPr>
              <w:t>2</w:t>
            </w:r>
            <w:r w:rsidR="00C23997" w:rsidRPr="006E3EE4">
              <w:rPr>
                <w:b/>
              </w:rPr>
              <w:t>)</w:t>
            </w:r>
          </w:p>
        </w:tc>
        <w:tc>
          <w:tcPr>
            <w:tcW w:w="1469" w:type="dxa"/>
          </w:tcPr>
          <w:p w:rsidR="00D10130" w:rsidRDefault="00D10130" w:rsidP="00FF6CB1">
            <w:pPr>
              <w:spacing w:after="100" w:afterAutospacing="1"/>
              <w:jc w:val="center"/>
            </w:pPr>
            <w:r>
              <w:t>370</w:t>
            </w:r>
          </w:p>
        </w:tc>
        <w:tc>
          <w:tcPr>
            <w:tcW w:w="1800" w:type="dxa"/>
          </w:tcPr>
          <w:p w:rsidR="00D10130" w:rsidRDefault="005660EA" w:rsidP="00FF6CB1">
            <w:pPr>
              <w:spacing w:after="100" w:afterAutospacing="1"/>
              <w:jc w:val="center"/>
            </w:pPr>
            <w:r>
              <w:t>10</w:t>
            </w:r>
          </w:p>
        </w:tc>
        <w:tc>
          <w:tcPr>
            <w:tcW w:w="1800" w:type="dxa"/>
          </w:tcPr>
          <w:p w:rsidR="00D10130" w:rsidRDefault="005660EA" w:rsidP="00FF6CB1">
            <w:pPr>
              <w:spacing w:after="100" w:afterAutospacing="1"/>
              <w:jc w:val="center"/>
            </w:pPr>
            <w:r>
              <w:t>11</w:t>
            </w:r>
          </w:p>
        </w:tc>
      </w:tr>
      <w:tr w:rsidR="00C23997" w:rsidTr="000E2459">
        <w:tc>
          <w:tcPr>
            <w:tcW w:w="3116" w:type="dxa"/>
          </w:tcPr>
          <w:p w:rsidR="00C23997" w:rsidRPr="006E3EE4" w:rsidRDefault="00C23997" w:rsidP="00FF6CB1">
            <w:pPr>
              <w:spacing w:after="100" w:afterAutospacing="1"/>
              <w:jc w:val="both"/>
              <w:rPr>
                <w:b/>
              </w:rPr>
            </w:pPr>
            <w:r w:rsidRPr="006E3EE4">
              <w:rPr>
                <w:b/>
              </w:rPr>
              <w:t>volume internalized</w:t>
            </w:r>
            <w:r w:rsidRPr="006E3EE4">
              <w:rPr>
                <w:rFonts w:ascii="Symbol" w:hAnsi="Symbol"/>
                <w:b/>
              </w:rPr>
              <w:t></w:t>
            </w:r>
            <w:r w:rsidRPr="006E3EE4">
              <w:rPr>
                <w:rFonts w:ascii="Symbol" w:hAnsi="Symbol"/>
                <w:b/>
              </w:rPr>
              <w:t></w:t>
            </w:r>
            <w:r w:rsidRPr="006E3EE4">
              <w:rPr>
                <w:rFonts w:ascii="Symbol" w:hAnsi="Symbol"/>
                <w:b/>
              </w:rPr>
              <w:t></w:t>
            </w:r>
            <w:r w:rsidRPr="006E3EE4">
              <w:rPr>
                <w:b/>
              </w:rPr>
              <w:t>m</w:t>
            </w:r>
            <w:r w:rsidRPr="006E3EE4">
              <w:rPr>
                <w:b/>
                <w:vertAlign w:val="superscript"/>
              </w:rPr>
              <w:t>3</w:t>
            </w:r>
            <w:r w:rsidRPr="006E3EE4">
              <w:rPr>
                <w:b/>
              </w:rPr>
              <w:t>/min)</w:t>
            </w:r>
          </w:p>
        </w:tc>
        <w:tc>
          <w:tcPr>
            <w:tcW w:w="1469" w:type="dxa"/>
          </w:tcPr>
          <w:p w:rsidR="00C23997" w:rsidRDefault="00C23997" w:rsidP="00FF6CB1">
            <w:pPr>
              <w:spacing w:after="100" w:afterAutospacing="1"/>
              <w:jc w:val="center"/>
            </w:pPr>
            <w:r>
              <w:t>0.57</w:t>
            </w:r>
          </w:p>
        </w:tc>
        <w:tc>
          <w:tcPr>
            <w:tcW w:w="1800" w:type="dxa"/>
          </w:tcPr>
          <w:p w:rsidR="00C23997" w:rsidRDefault="00C23997" w:rsidP="00FF6CB1">
            <w:pPr>
              <w:spacing w:after="100" w:afterAutospacing="1"/>
              <w:jc w:val="center"/>
            </w:pPr>
            <w:r>
              <w:t>0</w:t>
            </w:r>
            <w:r w:rsidR="00F63C63">
              <w:t>.02</w:t>
            </w:r>
          </w:p>
        </w:tc>
        <w:tc>
          <w:tcPr>
            <w:tcW w:w="1800" w:type="dxa"/>
          </w:tcPr>
          <w:p w:rsidR="00C23997" w:rsidRDefault="00C23997" w:rsidP="00FF6CB1">
            <w:pPr>
              <w:spacing w:after="100" w:afterAutospacing="1"/>
              <w:jc w:val="center"/>
            </w:pPr>
            <w:r>
              <w:t>0.03</w:t>
            </w:r>
          </w:p>
        </w:tc>
      </w:tr>
      <w:tr w:rsidR="00203799" w:rsidTr="000E2459">
        <w:tc>
          <w:tcPr>
            <w:tcW w:w="3116" w:type="dxa"/>
          </w:tcPr>
          <w:p w:rsidR="00203799" w:rsidRPr="006E3EE4" w:rsidRDefault="00203799" w:rsidP="00FF6CB1">
            <w:pPr>
              <w:spacing w:after="100" w:afterAutospacing="1"/>
              <w:jc w:val="both"/>
              <w:rPr>
                <w:b/>
              </w:rPr>
            </w:pPr>
            <w:r w:rsidRPr="006E3EE4">
              <w:rPr>
                <w:b/>
              </w:rPr>
              <w:t>plasma membrane internalized</w:t>
            </w:r>
            <w:r w:rsidR="00761B97" w:rsidRPr="006E3EE4">
              <w:rPr>
                <w:b/>
              </w:rPr>
              <w:t xml:space="preserve"> </w:t>
            </w:r>
            <w:r w:rsidR="00761B97" w:rsidRPr="006E3EE4">
              <w:rPr>
                <w:rFonts w:ascii="Symbol" w:hAnsi="Symbol"/>
                <w:b/>
              </w:rPr>
              <w:t></w:t>
            </w:r>
            <w:r w:rsidR="00761B97" w:rsidRPr="006E3EE4">
              <w:rPr>
                <w:rFonts w:ascii="Symbol" w:hAnsi="Symbol"/>
                <w:b/>
              </w:rPr>
              <w:t></w:t>
            </w:r>
            <w:r w:rsidR="00761B97" w:rsidRPr="006E3EE4">
              <w:rPr>
                <w:b/>
              </w:rPr>
              <w:t>m</w:t>
            </w:r>
            <w:r w:rsidR="00761B97" w:rsidRPr="006E3EE4">
              <w:rPr>
                <w:b/>
                <w:vertAlign w:val="superscript"/>
              </w:rPr>
              <w:t>2</w:t>
            </w:r>
            <w:r w:rsidR="00761B97" w:rsidRPr="006E3EE4">
              <w:rPr>
                <w:b/>
              </w:rPr>
              <w:t>/min)</w:t>
            </w:r>
          </w:p>
        </w:tc>
        <w:tc>
          <w:tcPr>
            <w:tcW w:w="1469" w:type="dxa"/>
          </w:tcPr>
          <w:p w:rsidR="00203799" w:rsidRDefault="00203799" w:rsidP="00FF6CB1">
            <w:pPr>
              <w:spacing w:after="100" w:afterAutospacing="1"/>
              <w:jc w:val="center"/>
            </w:pPr>
            <w:r>
              <w:t>35</w:t>
            </w:r>
          </w:p>
        </w:tc>
        <w:tc>
          <w:tcPr>
            <w:tcW w:w="1800" w:type="dxa"/>
          </w:tcPr>
          <w:p w:rsidR="00203799" w:rsidRDefault="00F63C63" w:rsidP="00FF6CB1">
            <w:pPr>
              <w:spacing w:after="100" w:afterAutospacing="1"/>
              <w:jc w:val="center"/>
            </w:pPr>
            <w:r>
              <w:t>1</w:t>
            </w:r>
          </w:p>
        </w:tc>
        <w:tc>
          <w:tcPr>
            <w:tcW w:w="1800" w:type="dxa"/>
          </w:tcPr>
          <w:p w:rsidR="00203799" w:rsidRDefault="00F63C63" w:rsidP="00FF6CB1">
            <w:pPr>
              <w:spacing w:after="100" w:afterAutospacing="1"/>
              <w:jc w:val="center"/>
            </w:pPr>
            <w:r>
              <w:t>1.5</w:t>
            </w:r>
          </w:p>
        </w:tc>
      </w:tr>
      <w:tr w:rsidR="003424CE" w:rsidTr="000E2459">
        <w:tc>
          <w:tcPr>
            <w:tcW w:w="3116" w:type="dxa"/>
          </w:tcPr>
          <w:p w:rsidR="003424CE" w:rsidRPr="006E3EE4" w:rsidRDefault="003424CE" w:rsidP="00FF6CB1">
            <w:pPr>
              <w:spacing w:after="100" w:afterAutospacing="1"/>
              <w:jc w:val="both"/>
              <w:rPr>
                <w:b/>
              </w:rPr>
            </w:pPr>
            <w:r>
              <w:rPr>
                <w:b/>
              </w:rPr>
              <w:t>receptors at the PM (number)</w:t>
            </w:r>
          </w:p>
        </w:tc>
        <w:tc>
          <w:tcPr>
            <w:tcW w:w="1469" w:type="dxa"/>
          </w:tcPr>
          <w:p w:rsidR="003424CE" w:rsidRDefault="003424CE" w:rsidP="00FF6CB1">
            <w:pPr>
              <w:spacing w:after="100" w:afterAutospacing="1"/>
              <w:jc w:val="center"/>
            </w:pPr>
            <w:r>
              <w:t>50,000</w:t>
            </w:r>
          </w:p>
        </w:tc>
        <w:tc>
          <w:tcPr>
            <w:tcW w:w="1800" w:type="dxa"/>
          </w:tcPr>
          <w:p w:rsidR="003424CE" w:rsidRDefault="003424CE" w:rsidP="00FF6CB1">
            <w:pPr>
              <w:spacing w:after="100" w:afterAutospacing="1"/>
              <w:jc w:val="center"/>
            </w:pPr>
            <w:r>
              <w:t>1350</w:t>
            </w:r>
          </w:p>
        </w:tc>
        <w:tc>
          <w:tcPr>
            <w:tcW w:w="1800" w:type="dxa"/>
          </w:tcPr>
          <w:p w:rsidR="003424CE" w:rsidRDefault="001A4E85" w:rsidP="00FF6CB1">
            <w:pPr>
              <w:spacing w:after="100" w:afterAutospacing="1"/>
              <w:jc w:val="center"/>
            </w:pPr>
            <w:r>
              <w:t>2052</w:t>
            </w:r>
          </w:p>
        </w:tc>
      </w:tr>
    </w:tbl>
    <w:p w:rsidR="00D10130" w:rsidRDefault="000D27B6" w:rsidP="00FF6CB1">
      <w:pPr>
        <w:spacing w:after="100" w:afterAutospacing="1" w:line="240" w:lineRule="auto"/>
        <w:jc w:val="both"/>
      </w:pPr>
      <w:r w:rsidRPr="000D27B6">
        <w:rPr>
          <w:vertAlign w:val="superscript"/>
        </w:rPr>
        <w:t>*</w:t>
      </w:r>
      <w:r>
        <w:t xml:space="preserve">Values </w:t>
      </w:r>
      <w:r w:rsidR="00EA39B0">
        <w:t xml:space="preserve">are </w:t>
      </w:r>
      <w:r>
        <w:t>from a representative 30 min simulation</w:t>
      </w:r>
    </w:p>
    <w:p w:rsidR="008D3785" w:rsidRPr="00EA39B0" w:rsidRDefault="00EA39B0" w:rsidP="00FF6CB1">
      <w:pPr>
        <w:spacing w:after="100" w:afterAutospacing="1" w:line="240" w:lineRule="auto"/>
        <w:jc w:val="both"/>
        <w:rPr>
          <w:b/>
        </w:rPr>
      </w:pPr>
      <w:r>
        <w:rPr>
          <w:b/>
        </w:rPr>
        <w:t xml:space="preserve">Table 2. </w:t>
      </w:r>
      <w:r w:rsidR="008D3785" w:rsidRPr="00EA39B0">
        <w:rPr>
          <w:b/>
        </w:rPr>
        <w:t>Probability of forming a vesicle/tubule</w:t>
      </w:r>
    </w:p>
    <w:tbl>
      <w:tblPr>
        <w:tblStyle w:val="TableGrid"/>
        <w:tblW w:w="0" w:type="auto"/>
        <w:tblInd w:w="-5" w:type="dxa"/>
        <w:tblLook w:val="04A0" w:firstRow="1" w:lastRow="0" w:firstColumn="1" w:lastColumn="0" w:noHBand="0" w:noVBand="1"/>
      </w:tblPr>
      <w:tblGrid>
        <w:gridCol w:w="1559"/>
        <w:gridCol w:w="1218"/>
      </w:tblGrid>
      <w:tr w:rsidR="008D3785" w:rsidRPr="00E913BF" w:rsidTr="008D3785">
        <w:tc>
          <w:tcPr>
            <w:tcW w:w="1534" w:type="dxa"/>
          </w:tcPr>
          <w:p w:rsidR="008D3785" w:rsidRPr="00E913BF" w:rsidRDefault="008D3785" w:rsidP="00FF6CB1">
            <w:pPr>
              <w:spacing w:after="100" w:afterAutospacing="1"/>
              <w:jc w:val="both"/>
              <w:rPr>
                <w:b/>
              </w:rPr>
            </w:pPr>
            <w:r w:rsidRPr="00E913BF">
              <w:rPr>
                <w:b/>
              </w:rPr>
              <w:t>compartments</w:t>
            </w:r>
          </w:p>
        </w:tc>
        <w:tc>
          <w:tcPr>
            <w:tcW w:w="919" w:type="dxa"/>
          </w:tcPr>
          <w:p w:rsidR="008D3785" w:rsidRPr="00E913BF" w:rsidRDefault="00E913BF" w:rsidP="00FF6CB1">
            <w:pPr>
              <w:spacing w:after="100" w:afterAutospacing="1"/>
              <w:jc w:val="both"/>
              <w:rPr>
                <w:b/>
              </w:rPr>
            </w:pPr>
            <w:r w:rsidRPr="00E913BF">
              <w:rPr>
                <w:b/>
              </w:rPr>
              <w:t>probability</w:t>
            </w:r>
          </w:p>
        </w:tc>
      </w:tr>
      <w:tr w:rsidR="008D3785" w:rsidTr="008D3785">
        <w:tc>
          <w:tcPr>
            <w:tcW w:w="1534" w:type="dxa"/>
          </w:tcPr>
          <w:p w:rsidR="008D3785" w:rsidRPr="00E913BF" w:rsidRDefault="008D3785" w:rsidP="00FF6CB1">
            <w:pPr>
              <w:spacing w:after="100" w:afterAutospacing="1"/>
              <w:jc w:val="both"/>
              <w:rPr>
                <w:b/>
              </w:rPr>
            </w:pPr>
            <w:r w:rsidRPr="00E913BF">
              <w:rPr>
                <w:b/>
              </w:rPr>
              <w:t>EE</w:t>
            </w:r>
          </w:p>
        </w:tc>
        <w:tc>
          <w:tcPr>
            <w:tcW w:w="919" w:type="dxa"/>
          </w:tcPr>
          <w:p w:rsidR="008D3785" w:rsidRDefault="008D3785" w:rsidP="00FF6CB1">
            <w:pPr>
              <w:spacing w:after="100" w:afterAutospacing="1"/>
              <w:jc w:val="center"/>
            </w:pPr>
            <w:r>
              <w:t>0.8</w:t>
            </w:r>
          </w:p>
        </w:tc>
      </w:tr>
      <w:tr w:rsidR="008D3785" w:rsidTr="008D3785">
        <w:tc>
          <w:tcPr>
            <w:tcW w:w="1534" w:type="dxa"/>
          </w:tcPr>
          <w:p w:rsidR="008D3785" w:rsidRPr="00E913BF" w:rsidRDefault="008D3785" w:rsidP="00FF6CB1">
            <w:pPr>
              <w:spacing w:after="100" w:afterAutospacing="1"/>
              <w:jc w:val="both"/>
              <w:rPr>
                <w:b/>
              </w:rPr>
            </w:pPr>
            <w:r w:rsidRPr="00E913BF">
              <w:rPr>
                <w:b/>
              </w:rPr>
              <w:t>SE</w:t>
            </w:r>
          </w:p>
        </w:tc>
        <w:tc>
          <w:tcPr>
            <w:tcW w:w="919" w:type="dxa"/>
          </w:tcPr>
          <w:p w:rsidR="008D3785" w:rsidRDefault="008D3785" w:rsidP="00FF6CB1">
            <w:pPr>
              <w:spacing w:after="100" w:afterAutospacing="1"/>
              <w:jc w:val="center"/>
            </w:pPr>
            <w:r>
              <w:t>1</w:t>
            </w:r>
          </w:p>
        </w:tc>
      </w:tr>
      <w:tr w:rsidR="008D3785" w:rsidTr="008D3785">
        <w:tc>
          <w:tcPr>
            <w:tcW w:w="1534" w:type="dxa"/>
          </w:tcPr>
          <w:p w:rsidR="008D3785" w:rsidRPr="00E913BF" w:rsidRDefault="008D3785" w:rsidP="00FF6CB1">
            <w:pPr>
              <w:spacing w:after="100" w:afterAutospacing="1"/>
              <w:jc w:val="both"/>
              <w:rPr>
                <w:b/>
              </w:rPr>
            </w:pPr>
            <w:r w:rsidRPr="00E913BF">
              <w:rPr>
                <w:b/>
              </w:rPr>
              <w:t>RE</w:t>
            </w:r>
          </w:p>
        </w:tc>
        <w:tc>
          <w:tcPr>
            <w:tcW w:w="919" w:type="dxa"/>
          </w:tcPr>
          <w:p w:rsidR="008D3785" w:rsidRDefault="008D3785" w:rsidP="00FF6CB1">
            <w:pPr>
              <w:spacing w:after="100" w:afterAutospacing="1"/>
              <w:jc w:val="center"/>
            </w:pPr>
            <w:r>
              <w:t>1</w:t>
            </w:r>
          </w:p>
        </w:tc>
      </w:tr>
      <w:tr w:rsidR="008D3785" w:rsidTr="008D3785">
        <w:tc>
          <w:tcPr>
            <w:tcW w:w="1534" w:type="dxa"/>
          </w:tcPr>
          <w:p w:rsidR="008D3785" w:rsidRPr="00E913BF" w:rsidRDefault="008D3785" w:rsidP="00FF6CB1">
            <w:pPr>
              <w:spacing w:after="100" w:afterAutospacing="1"/>
              <w:jc w:val="both"/>
              <w:rPr>
                <w:b/>
              </w:rPr>
            </w:pPr>
            <w:r w:rsidRPr="00E913BF">
              <w:rPr>
                <w:b/>
              </w:rPr>
              <w:t>LE</w:t>
            </w:r>
          </w:p>
        </w:tc>
        <w:tc>
          <w:tcPr>
            <w:tcW w:w="919" w:type="dxa"/>
          </w:tcPr>
          <w:p w:rsidR="008D3785" w:rsidRDefault="008D3785" w:rsidP="00FF6CB1">
            <w:pPr>
              <w:spacing w:after="100" w:afterAutospacing="1"/>
              <w:jc w:val="center"/>
            </w:pPr>
            <w:r>
              <w:t>0.1</w:t>
            </w:r>
          </w:p>
        </w:tc>
      </w:tr>
      <w:tr w:rsidR="008D3785" w:rsidTr="008D3785">
        <w:tc>
          <w:tcPr>
            <w:tcW w:w="1534" w:type="dxa"/>
          </w:tcPr>
          <w:p w:rsidR="008D3785" w:rsidRPr="00E913BF" w:rsidRDefault="008D3785" w:rsidP="00FF6CB1">
            <w:pPr>
              <w:spacing w:after="100" w:afterAutospacing="1"/>
              <w:jc w:val="both"/>
              <w:rPr>
                <w:b/>
              </w:rPr>
            </w:pPr>
            <w:r w:rsidRPr="00E913BF">
              <w:rPr>
                <w:b/>
              </w:rPr>
              <w:t>TGN</w:t>
            </w:r>
          </w:p>
        </w:tc>
        <w:tc>
          <w:tcPr>
            <w:tcW w:w="919" w:type="dxa"/>
          </w:tcPr>
          <w:p w:rsidR="008D3785" w:rsidRDefault="008D3785" w:rsidP="00FF6CB1">
            <w:pPr>
              <w:spacing w:after="100" w:afterAutospacing="1"/>
              <w:jc w:val="center"/>
            </w:pPr>
            <w:r>
              <w:t>0.8</w:t>
            </w:r>
          </w:p>
        </w:tc>
      </w:tr>
      <w:tr w:rsidR="008D3785" w:rsidTr="008D3785">
        <w:tc>
          <w:tcPr>
            <w:tcW w:w="1534" w:type="dxa"/>
          </w:tcPr>
          <w:p w:rsidR="008D3785" w:rsidRPr="00E913BF" w:rsidRDefault="008D3785" w:rsidP="00FF6CB1">
            <w:pPr>
              <w:spacing w:after="100" w:afterAutospacing="1"/>
              <w:jc w:val="both"/>
              <w:rPr>
                <w:b/>
              </w:rPr>
            </w:pPr>
            <w:proofErr w:type="spellStart"/>
            <w:r w:rsidRPr="00E913BF">
              <w:rPr>
                <w:b/>
              </w:rPr>
              <w:t>tGolgi</w:t>
            </w:r>
            <w:proofErr w:type="spellEnd"/>
          </w:p>
        </w:tc>
        <w:tc>
          <w:tcPr>
            <w:tcW w:w="919" w:type="dxa"/>
          </w:tcPr>
          <w:p w:rsidR="008D3785" w:rsidRDefault="008D3785" w:rsidP="00FF6CB1">
            <w:pPr>
              <w:spacing w:after="100" w:afterAutospacing="1"/>
              <w:jc w:val="center"/>
            </w:pPr>
            <w:r>
              <w:t>1</w:t>
            </w:r>
          </w:p>
        </w:tc>
      </w:tr>
      <w:tr w:rsidR="008D3785" w:rsidTr="008D3785">
        <w:tc>
          <w:tcPr>
            <w:tcW w:w="1534" w:type="dxa"/>
          </w:tcPr>
          <w:p w:rsidR="008D3785" w:rsidRPr="00E913BF" w:rsidRDefault="008D3785" w:rsidP="00FF6CB1">
            <w:pPr>
              <w:spacing w:after="100" w:afterAutospacing="1"/>
              <w:jc w:val="both"/>
              <w:rPr>
                <w:b/>
              </w:rPr>
            </w:pPr>
            <w:proofErr w:type="spellStart"/>
            <w:r w:rsidRPr="00E913BF">
              <w:rPr>
                <w:b/>
              </w:rPr>
              <w:t>mGolgi</w:t>
            </w:r>
            <w:proofErr w:type="spellEnd"/>
          </w:p>
        </w:tc>
        <w:tc>
          <w:tcPr>
            <w:tcW w:w="919" w:type="dxa"/>
          </w:tcPr>
          <w:p w:rsidR="008D3785" w:rsidRDefault="008D3785" w:rsidP="00FF6CB1">
            <w:pPr>
              <w:spacing w:after="100" w:afterAutospacing="1"/>
              <w:jc w:val="center"/>
            </w:pPr>
            <w:r>
              <w:t>1</w:t>
            </w:r>
          </w:p>
        </w:tc>
      </w:tr>
      <w:tr w:rsidR="008D3785" w:rsidTr="008D3785">
        <w:tc>
          <w:tcPr>
            <w:tcW w:w="1534" w:type="dxa"/>
          </w:tcPr>
          <w:p w:rsidR="008D3785" w:rsidRPr="00E913BF" w:rsidRDefault="008D3785" w:rsidP="00FF6CB1">
            <w:pPr>
              <w:spacing w:after="100" w:afterAutospacing="1"/>
              <w:jc w:val="both"/>
              <w:rPr>
                <w:b/>
              </w:rPr>
            </w:pPr>
            <w:proofErr w:type="spellStart"/>
            <w:r w:rsidRPr="00E913BF">
              <w:rPr>
                <w:b/>
              </w:rPr>
              <w:t>cGolgi</w:t>
            </w:r>
            <w:proofErr w:type="spellEnd"/>
          </w:p>
        </w:tc>
        <w:tc>
          <w:tcPr>
            <w:tcW w:w="919" w:type="dxa"/>
          </w:tcPr>
          <w:p w:rsidR="008D3785" w:rsidRDefault="008D3785" w:rsidP="00FF6CB1">
            <w:pPr>
              <w:spacing w:after="100" w:afterAutospacing="1"/>
              <w:jc w:val="center"/>
            </w:pPr>
            <w:r>
              <w:t>1</w:t>
            </w:r>
          </w:p>
        </w:tc>
      </w:tr>
      <w:tr w:rsidR="008D3785" w:rsidTr="008D3785">
        <w:tc>
          <w:tcPr>
            <w:tcW w:w="1534" w:type="dxa"/>
          </w:tcPr>
          <w:p w:rsidR="008D3785" w:rsidRPr="00E913BF" w:rsidRDefault="008D3785" w:rsidP="00FF6CB1">
            <w:pPr>
              <w:spacing w:after="100" w:afterAutospacing="1"/>
              <w:jc w:val="both"/>
              <w:rPr>
                <w:b/>
              </w:rPr>
            </w:pPr>
            <w:r w:rsidRPr="00E913BF">
              <w:rPr>
                <w:b/>
              </w:rPr>
              <w:t>ERGIC</w:t>
            </w:r>
          </w:p>
        </w:tc>
        <w:tc>
          <w:tcPr>
            <w:tcW w:w="919" w:type="dxa"/>
          </w:tcPr>
          <w:p w:rsidR="008D3785" w:rsidRDefault="008D3785" w:rsidP="00FF6CB1">
            <w:pPr>
              <w:spacing w:after="100" w:afterAutospacing="1"/>
              <w:jc w:val="center"/>
            </w:pPr>
            <w:r>
              <w:t>1</w:t>
            </w:r>
          </w:p>
        </w:tc>
      </w:tr>
    </w:tbl>
    <w:p w:rsidR="008D3785" w:rsidRDefault="008D3785" w:rsidP="00FF6CB1">
      <w:pPr>
        <w:spacing w:after="100" w:afterAutospacing="1" w:line="240" w:lineRule="auto"/>
        <w:jc w:val="both"/>
      </w:pPr>
    </w:p>
    <w:p w:rsidR="00AF1FF5" w:rsidRPr="00882148" w:rsidRDefault="00EA39B0" w:rsidP="00FF6CB1">
      <w:pPr>
        <w:spacing w:after="100" w:afterAutospacing="1" w:line="240" w:lineRule="auto"/>
        <w:jc w:val="both"/>
      </w:pPr>
      <w:r>
        <w:rPr>
          <w:b/>
        </w:rPr>
        <w:lastRenderedPageBreak/>
        <w:t xml:space="preserve">Table 3. </w:t>
      </w:r>
      <w:r w:rsidR="00187B1B" w:rsidRPr="00EA39B0">
        <w:rPr>
          <w:b/>
        </w:rPr>
        <w:t>Fusion probabilities among compartments</w:t>
      </w:r>
      <w:r w:rsidR="006C2174" w:rsidRPr="00EA39B0">
        <w:rPr>
          <w:b/>
        </w:rPr>
        <w:t xml:space="preserve"> and recycling probabilities </w:t>
      </w:r>
      <w:r w:rsidR="006C2174" w:rsidRPr="00882148">
        <w:t>(</w:t>
      </w:r>
      <w:r w:rsidR="00882148" w:rsidRPr="00882148">
        <w:t xml:space="preserve">meaning </w:t>
      </w:r>
      <w:r w:rsidR="006C2174" w:rsidRPr="00882148">
        <w:t>fusion with the PM or the ER)</w:t>
      </w:r>
    </w:p>
    <w:tbl>
      <w:tblPr>
        <w:tblStyle w:val="TableGrid"/>
        <w:tblW w:w="0" w:type="auto"/>
        <w:tblLook w:val="04A0" w:firstRow="1" w:lastRow="0" w:firstColumn="1" w:lastColumn="0" w:noHBand="0" w:noVBand="1"/>
      </w:tblPr>
      <w:tblGrid>
        <w:gridCol w:w="1559"/>
        <w:gridCol w:w="638"/>
        <w:gridCol w:w="715"/>
        <w:gridCol w:w="639"/>
        <w:gridCol w:w="608"/>
        <w:gridCol w:w="713"/>
        <w:gridCol w:w="812"/>
        <w:gridCol w:w="880"/>
        <w:gridCol w:w="824"/>
        <w:gridCol w:w="814"/>
        <w:gridCol w:w="541"/>
        <w:gridCol w:w="607"/>
      </w:tblGrid>
      <w:tr w:rsidR="00940998" w:rsidRPr="00E913BF" w:rsidTr="00940998">
        <w:tc>
          <w:tcPr>
            <w:tcW w:w="1533" w:type="dxa"/>
          </w:tcPr>
          <w:p w:rsidR="00940998" w:rsidRPr="00E913BF" w:rsidRDefault="00940998" w:rsidP="00FF6CB1">
            <w:pPr>
              <w:spacing w:after="100" w:afterAutospacing="1"/>
              <w:jc w:val="both"/>
              <w:rPr>
                <w:b/>
              </w:rPr>
            </w:pPr>
            <w:r w:rsidRPr="00E913BF">
              <w:rPr>
                <w:b/>
              </w:rPr>
              <w:t>compartments</w:t>
            </w:r>
          </w:p>
        </w:tc>
        <w:tc>
          <w:tcPr>
            <w:tcW w:w="657" w:type="dxa"/>
          </w:tcPr>
          <w:p w:rsidR="00940998" w:rsidRPr="00E913BF" w:rsidRDefault="00940998" w:rsidP="00FF6CB1">
            <w:pPr>
              <w:spacing w:after="100" w:afterAutospacing="1"/>
              <w:jc w:val="both"/>
              <w:rPr>
                <w:b/>
              </w:rPr>
            </w:pPr>
            <w:r w:rsidRPr="00E913BF">
              <w:rPr>
                <w:b/>
              </w:rPr>
              <w:t>EE</w:t>
            </w:r>
          </w:p>
        </w:tc>
        <w:tc>
          <w:tcPr>
            <w:tcW w:w="729" w:type="dxa"/>
          </w:tcPr>
          <w:p w:rsidR="00940998" w:rsidRPr="00E913BF" w:rsidRDefault="00940998" w:rsidP="00FF6CB1">
            <w:pPr>
              <w:spacing w:after="100" w:afterAutospacing="1"/>
              <w:jc w:val="both"/>
              <w:rPr>
                <w:b/>
              </w:rPr>
            </w:pPr>
            <w:r w:rsidRPr="00E913BF">
              <w:rPr>
                <w:b/>
              </w:rPr>
              <w:t>SE</w:t>
            </w:r>
          </w:p>
        </w:tc>
        <w:tc>
          <w:tcPr>
            <w:tcW w:w="658" w:type="dxa"/>
          </w:tcPr>
          <w:p w:rsidR="00940998" w:rsidRPr="00E913BF" w:rsidRDefault="00940998" w:rsidP="00FF6CB1">
            <w:pPr>
              <w:spacing w:after="100" w:afterAutospacing="1"/>
              <w:jc w:val="both"/>
              <w:rPr>
                <w:b/>
              </w:rPr>
            </w:pPr>
            <w:r w:rsidRPr="00E913BF">
              <w:rPr>
                <w:b/>
              </w:rPr>
              <w:t>RE</w:t>
            </w:r>
          </w:p>
        </w:tc>
        <w:tc>
          <w:tcPr>
            <w:tcW w:w="608" w:type="dxa"/>
          </w:tcPr>
          <w:p w:rsidR="00940998" w:rsidRPr="00E913BF" w:rsidRDefault="00940998" w:rsidP="00FF6CB1">
            <w:pPr>
              <w:spacing w:after="100" w:afterAutospacing="1"/>
              <w:jc w:val="both"/>
              <w:rPr>
                <w:b/>
              </w:rPr>
            </w:pPr>
            <w:r w:rsidRPr="00E913BF">
              <w:rPr>
                <w:b/>
              </w:rPr>
              <w:t>LE</w:t>
            </w:r>
          </w:p>
        </w:tc>
        <w:tc>
          <w:tcPr>
            <w:tcW w:w="727" w:type="dxa"/>
          </w:tcPr>
          <w:p w:rsidR="00940998" w:rsidRPr="00E913BF" w:rsidRDefault="00940998" w:rsidP="00FF6CB1">
            <w:pPr>
              <w:spacing w:after="100" w:afterAutospacing="1"/>
              <w:jc w:val="both"/>
              <w:rPr>
                <w:b/>
              </w:rPr>
            </w:pPr>
            <w:r w:rsidRPr="00E913BF">
              <w:rPr>
                <w:b/>
              </w:rPr>
              <w:t>TGN</w:t>
            </w:r>
          </w:p>
        </w:tc>
        <w:tc>
          <w:tcPr>
            <w:tcW w:w="819" w:type="dxa"/>
          </w:tcPr>
          <w:p w:rsidR="00940998" w:rsidRPr="00E913BF" w:rsidRDefault="00940998" w:rsidP="00FF6CB1">
            <w:pPr>
              <w:spacing w:after="100" w:afterAutospacing="1"/>
              <w:jc w:val="both"/>
              <w:rPr>
                <w:b/>
              </w:rPr>
            </w:pPr>
            <w:proofErr w:type="spellStart"/>
            <w:r w:rsidRPr="00E913BF">
              <w:rPr>
                <w:b/>
              </w:rPr>
              <w:t>tGolgi</w:t>
            </w:r>
            <w:proofErr w:type="spellEnd"/>
          </w:p>
        </w:tc>
        <w:tc>
          <w:tcPr>
            <w:tcW w:w="882" w:type="dxa"/>
          </w:tcPr>
          <w:p w:rsidR="00940998" w:rsidRPr="00E913BF" w:rsidRDefault="00940998" w:rsidP="00FF6CB1">
            <w:pPr>
              <w:spacing w:after="100" w:afterAutospacing="1"/>
              <w:jc w:val="both"/>
              <w:rPr>
                <w:b/>
              </w:rPr>
            </w:pPr>
            <w:proofErr w:type="spellStart"/>
            <w:r w:rsidRPr="00E913BF">
              <w:rPr>
                <w:b/>
              </w:rPr>
              <w:t>mGolgi</w:t>
            </w:r>
            <w:proofErr w:type="spellEnd"/>
          </w:p>
        </w:tc>
        <w:tc>
          <w:tcPr>
            <w:tcW w:w="830" w:type="dxa"/>
          </w:tcPr>
          <w:p w:rsidR="00940998" w:rsidRPr="00E913BF" w:rsidRDefault="00940998" w:rsidP="00FF6CB1">
            <w:pPr>
              <w:spacing w:after="100" w:afterAutospacing="1"/>
              <w:jc w:val="both"/>
              <w:rPr>
                <w:b/>
              </w:rPr>
            </w:pPr>
            <w:proofErr w:type="spellStart"/>
            <w:r w:rsidRPr="00E913BF">
              <w:rPr>
                <w:b/>
              </w:rPr>
              <w:t>cGolgi</w:t>
            </w:r>
            <w:proofErr w:type="spellEnd"/>
          </w:p>
        </w:tc>
        <w:tc>
          <w:tcPr>
            <w:tcW w:w="821" w:type="dxa"/>
          </w:tcPr>
          <w:p w:rsidR="00940998" w:rsidRPr="00E913BF" w:rsidRDefault="00940998" w:rsidP="00FF6CB1">
            <w:pPr>
              <w:spacing w:after="100" w:afterAutospacing="1"/>
              <w:jc w:val="both"/>
              <w:rPr>
                <w:b/>
              </w:rPr>
            </w:pPr>
            <w:r w:rsidRPr="00E913BF">
              <w:rPr>
                <w:b/>
              </w:rPr>
              <w:t>ERGIC</w:t>
            </w:r>
          </w:p>
        </w:tc>
        <w:tc>
          <w:tcPr>
            <w:tcW w:w="543" w:type="dxa"/>
          </w:tcPr>
          <w:p w:rsidR="00940998" w:rsidRPr="00E913BF" w:rsidRDefault="00940998" w:rsidP="00FF6CB1">
            <w:pPr>
              <w:spacing w:after="100" w:afterAutospacing="1"/>
              <w:jc w:val="both"/>
              <w:rPr>
                <w:b/>
              </w:rPr>
            </w:pPr>
            <w:r w:rsidRPr="00E913BF">
              <w:rPr>
                <w:b/>
              </w:rPr>
              <w:t>PM</w:t>
            </w:r>
          </w:p>
        </w:tc>
        <w:tc>
          <w:tcPr>
            <w:tcW w:w="543" w:type="dxa"/>
          </w:tcPr>
          <w:p w:rsidR="00940998" w:rsidRPr="00E913BF" w:rsidRDefault="00940998" w:rsidP="00FF6CB1">
            <w:pPr>
              <w:spacing w:after="100" w:afterAutospacing="1"/>
              <w:jc w:val="both"/>
              <w:rPr>
                <w:b/>
              </w:rPr>
            </w:pPr>
            <w:r w:rsidRPr="00E913BF">
              <w:rPr>
                <w:b/>
              </w:rPr>
              <w:t>ER</w:t>
            </w:r>
          </w:p>
        </w:tc>
      </w:tr>
      <w:tr w:rsidR="00940998" w:rsidTr="00940998">
        <w:tc>
          <w:tcPr>
            <w:tcW w:w="1533" w:type="dxa"/>
          </w:tcPr>
          <w:p w:rsidR="00940998" w:rsidRPr="00E913BF" w:rsidRDefault="00940998" w:rsidP="00FF6CB1">
            <w:pPr>
              <w:spacing w:after="100" w:afterAutospacing="1"/>
              <w:jc w:val="both"/>
              <w:rPr>
                <w:b/>
              </w:rPr>
            </w:pPr>
            <w:r w:rsidRPr="00E913BF">
              <w:rPr>
                <w:b/>
              </w:rPr>
              <w:t>EE</w:t>
            </w:r>
          </w:p>
        </w:tc>
        <w:tc>
          <w:tcPr>
            <w:tcW w:w="657" w:type="dxa"/>
          </w:tcPr>
          <w:p w:rsidR="00940998" w:rsidRDefault="00940998" w:rsidP="00FF6CB1">
            <w:pPr>
              <w:spacing w:after="100" w:afterAutospacing="1"/>
              <w:jc w:val="both"/>
            </w:pPr>
            <w:r>
              <w:t>1</w:t>
            </w:r>
          </w:p>
        </w:tc>
        <w:tc>
          <w:tcPr>
            <w:tcW w:w="729" w:type="dxa"/>
          </w:tcPr>
          <w:p w:rsidR="00940998" w:rsidRDefault="00752B28" w:rsidP="00FF6CB1">
            <w:pPr>
              <w:spacing w:after="100" w:afterAutospacing="1"/>
              <w:jc w:val="both"/>
            </w:pPr>
            <w:r>
              <w:t>0.8</w:t>
            </w:r>
          </w:p>
        </w:tc>
        <w:tc>
          <w:tcPr>
            <w:tcW w:w="658" w:type="dxa"/>
          </w:tcPr>
          <w:p w:rsidR="00940998" w:rsidRDefault="00940998" w:rsidP="00FF6CB1">
            <w:pPr>
              <w:spacing w:after="100" w:afterAutospacing="1"/>
              <w:jc w:val="both"/>
            </w:pPr>
          </w:p>
        </w:tc>
        <w:tc>
          <w:tcPr>
            <w:tcW w:w="608" w:type="dxa"/>
          </w:tcPr>
          <w:p w:rsidR="00940998" w:rsidRDefault="00940998" w:rsidP="00FF6CB1">
            <w:pPr>
              <w:spacing w:after="100" w:afterAutospacing="1"/>
              <w:jc w:val="both"/>
            </w:pPr>
          </w:p>
        </w:tc>
        <w:tc>
          <w:tcPr>
            <w:tcW w:w="727" w:type="dxa"/>
          </w:tcPr>
          <w:p w:rsidR="00940998" w:rsidRDefault="00940998" w:rsidP="00FF6CB1">
            <w:pPr>
              <w:spacing w:after="100" w:afterAutospacing="1"/>
              <w:jc w:val="both"/>
            </w:pPr>
          </w:p>
        </w:tc>
        <w:tc>
          <w:tcPr>
            <w:tcW w:w="819" w:type="dxa"/>
          </w:tcPr>
          <w:p w:rsidR="00940998" w:rsidRDefault="00940998" w:rsidP="00FF6CB1">
            <w:pPr>
              <w:spacing w:after="100" w:afterAutospacing="1"/>
              <w:jc w:val="both"/>
            </w:pPr>
          </w:p>
        </w:tc>
        <w:tc>
          <w:tcPr>
            <w:tcW w:w="882" w:type="dxa"/>
          </w:tcPr>
          <w:p w:rsidR="00940998" w:rsidRDefault="00940998" w:rsidP="00FF6CB1">
            <w:pPr>
              <w:spacing w:after="100" w:afterAutospacing="1"/>
              <w:jc w:val="both"/>
            </w:pPr>
          </w:p>
        </w:tc>
        <w:tc>
          <w:tcPr>
            <w:tcW w:w="830" w:type="dxa"/>
          </w:tcPr>
          <w:p w:rsidR="00940998" w:rsidRDefault="00940998" w:rsidP="00FF6CB1">
            <w:pPr>
              <w:spacing w:after="100" w:afterAutospacing="1"/>
              <w:jc w:val="both"/>
            </w:pPr>
          </w:p>
        </w:tc>
        <w:tc>
          <w:tcPr>
            <w:tcW w:w="821"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r>
              <w:t>0.2</w:t>
            </w:r>
          </w:p>
        </w:tc>
        <w:tc>
          <w:tcPr>
            <w:tcW w:w="543" w:type="dxa"/>
          </w:tcPr>
          <w:p w:rsidR="00940998" w:rsidRDefault="00940998" w:rsidP="00FF6CB1">
            <w:pPr>
              <w:spacing w:after="100" w:afterAutospacing="1"/>
              <w:jc w:val="both"/>
            </w:pPr>
          </w:p>
        </w:tc>
      </w:tr>
      <w:tr w:rsidR="00940998" w:rsidTr="00940998">
        <w:tc>
          <w:tcPr>
            <w:tcW w:w="1533" w:type="dxa"/>
          </w:tcPr>
          <w:p w:rsidR="00940998" w:rsidRPr="00E913BF" w:rsidRDefault="00940998" w:rsidP="00FF6CB1">
            <w:pPr>
              <w:spacing w:after="100" w:afterAutospacing="1"/>
              <w:jc w:val="both"/>
              <w:rPr>
                <w:b/>
              </w:rPr>
            </w:pPr>
            <w:r w:rsidRPr="00E913BF">
              <w:rPr>
                <w:b/>
              </w:rPr>
              <w:t>SE</w:t>
            </w:r>
          </w:p>
        </w:tc>
        <w:tc>
          <w:tcPr>
            <w:tcW w:w="657" w:type="dxa"/>
          </w:tcPr>
          <w:p w:rsidR="00940998" w:rsidRDefault="00940998" w:rsidP="00FF6CB1">
            <w:pPr>
              <w:spacing w:after="100" w:afterAutospacing="1"/>
              <w:jc w:val="both"/>
            </w:pPr>
            <w:r>
              <w:t>0.8</w:t>
            </w:r>
          </w:p>
        </w:tc>
        <w:tc>
          <w:tcPr>
            <w:tcW w:w="729" w:type="dxa"/>
          </w:tcPr>
          <w:p w:rsidR="00940998" w:rsidRDefault="00940998" w:rsidP="00FF6CB1">
            <w:pPr>
              <w:spacing w:after="100" w:afterAutospacing="1"/>
              <w:jc w:val="both"/>
            </w:pPr>
            <w:r>
              <w:t>1</w:t>
            </w:r>
          </w:p>
        </w:tc>
        <w:tc>
          <w:tcPr>
            <w:tcW w:w="658" w:type="dxa"/>
          </w:tcPr>
          <w:p w:rsidR="00940998" w:rsidRDefault="00752B28" w:rsidP="00FF6CB1">
            <w:pPr>
              <w:spacing w:after="100" w:afterAutospacing="1"/>
              <w:jc w:val="both"/>
            </w:pPr>
            <w:r>
              <w:t>0.5</w:t>
            </w:r>
          </w:p>
        </w:tc>
        <w:tc>
          <w:tcPr>
            <w:tcW w:w="608" w:type="dxa"/>
          </w:tcPr>
          <w:p w:rsidR="00940998" w:rsidRDefault="00752B28" w:rsidP="00FF6CB1">
            <w:pPr>
              <w:spacing w:after="100" w:afterAutospacing="1"/>
              <w:jc w:val="both"/>
            </w:pPr>
            <w:r>
              <w:t>0.01</w:t>
            </w:r>
          </w:p>
        </w:tc>
        <w:tc>
          <w:tcPr>
            <w:tcW w:w="727" w:type="dxa"/>
          </w:tcPr>
          <w:p w:rsidR="00940998" w:rsidRDefault="00940998" w:rsidP="00FF6CB1">
            <w:pPr>
              <w:spacing w:after="100" w:afterAutospacing="1"/>
              <w:jc w:val="both"/>
            </w:pPr>
          </w:p>
        </w:tc>
        <w:tc>
          <w:tcPr>
            <w:tcW w:w="819" w:type="dxa"/>
          </w:tcPr>
          <w:p w:rsidR="00940998" w:rsidRDefault="00940998" w:rsidP="00FF6CB1">
            <w:pPr>
              <w:spacing w:after="100" w:afterAutospacing="1"/>
              <w:jc w:val="both"/>
            </w:pPr>
          </w:p>
        </w:tc>
        <w:tc>
          <w:tcPr>
            <w:tcW w:w="882" w:type="dxa"/>
          </w:tcPr>
          <w:p w:rsidR="00940998" w:rsidRDefault="00940998" w:rsidP="00FF6CB1">
            <w:pPr>
              <w:spacing w:after="100" w:afterAutospacing="1"/>
              <w:jc w:val="both"/>
            </w:pPr>
          </w:p>
        </w:tc>
        <w:tc>
          <w:tcPr>
            <w:tcW w:w="830" w:type="dxa"/>
          </w:tcPr>
          <w:p w:rsidR="00940998" w:rsidRDefault="00940998" w:rsidP="00FF6CB1">
            <w:pPr>
              <w:spacing w:after="100" w:afterAutospacing="1"/>
              <w:jc w:val="both"/>
            </w:pPr>
          </w:p>
        </w:tc>
        <w:tc>
          <w:tcPr>
            <w:tcW w:w="821"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r>
              <w:t>0.3</w:t>
            </w:r>
          </w:p>
        </w:tc>
        <w:tc>
          <w:tcPr>
            <w:tcW w:w="543" w:type="dxa"/>
          </w:tcPr>
          <w:p w:rsidR="00940998" w:rsidRDefault="00940998" w:rsidP="00FF6CB1">
            <w:pPr>
              <w:spacing w:after="100" w:afterAutospacing="1"/>
              <w:jc w:val="both"/>
            </w:pPr>
          </w:p>
        </w:tc>
      </w:tr>
      <w:tr w:rsidR="00940998" w:rsidTr="00940998">
        <w:tc>
          <w:tcPr>
            <w:tcW w:w="1533" w:type="dxa"/>
          </w:tcPr>
          <w:p w:rsidR="00940998" w:rsidRPr="00E913BF" w:rsidRDefault="00940998" w:rsidP="00FF6CB1">
            <w:pPr>
              <w:spacing w:after="100" w:afterAutospacing="1"/>
              <w:jc w:val="both"/>
              <w:rPr>
                <w:b/>
              </w:rPr>
            </w:pPr>
            <w:r w:rsidRPr="00E913BF">
              <w:rPr>
                <w:b/>
              </w:rPr>
              <w:t>RE</w:t>
            </w:r>
          </w:p>
        </w:tc>
        <w:tc>
          <w:tcPr>
            <w:tcW w:w="657" w:type="dxa"/>
          </w:tcPr>
          <w:p w:rsidR="00940998" w:rsidRDefault="00940998" w:rsidP="00FF6CB1">
            <w:pPr>
              <w:spacing w:after="100" w:afterAutospacing="1"/>
              <w:jc w:val="both"/>
            </w:pPr>
          </w:p>
        </w:tc>
        <w:tc>
          <w:tcPr>
            <w:tcW w:w="729" w:type="dxa"/>
          </w:tcPr>
          <w:p w:rsidR="00940998" w:rsidRDefault="00940998" w:rsidP="00FF6CB1">
            <w:pPr>
              <w:spacing w:after="100" w:afterAutospacing="1"/>
              <w:jc w:val="both"/>
            </w:pPr>
            <w:r>
              <w:t>0.5</w:t>
            </w:r>
          </w:p>
        </w:tc>
        <w:tc>
          <w:tcPr>
            <w:tcW w:w="658" w:type="dxa"/>
          </w:tcPr>
          <w:p w:rsidR="00940998" w:rsidRDefault="00940998" w:rsidP="00FF6CB1">
            <w:pPr>
              <w:spacing w:after="100" w:afterAutospacing="1"/>
              <w:jc w:val="both"/>
            </w:pPr>
            <w:r>
              <w:t>1</w:t>
            </w:r>
          </w:p>
        </w:tc>
        <w:tc>
          <w:tcPr>
            <w:tcW w:w="608" w:type="dxa"/>
          </w:tcPr>
          <w:p w:rsidR="00940998" w:rsidRDefault="00940998" w:rsidP="00FF6CB1">
            <w:pPr>
              <w:spacing w:after="100" w:afterAutospacing="1"/>
              <w:jc w:val="both"/>
            </w:pPr>
          </w:p>
        </w:tc>
        <w:tc>
          <w:tcPr>
            <w:tcW w:w="727" w:type="dxa"/>
          </w:tcPr>
          <w:p w:rsidR="00940998" w:rsidRDefault="00752B28" w:rsidP="00FF6CB1">
            <w:pPr>
              <w:spacing w:after="100" w:afterAutospacing="1"/>
              <w:jc w:val="both"/>
            </w:pPr>
            <w:r>
              <w:t>0.1</w:t>
            </w:r>
          </w:p>
        </w:tc>
        <w:tc>
          <w:tcPr>
            <w:tcW w:w="819" w:type="dxa"/>
          </w:tcPr>
          <w:p w:rsidR="00940998" w:rsidRDefault="00940998" w:rsidP="00FF6CB1">
            <w:pPr>
              <w:spacing w:after="100" w:afterAutospacing="1"/>
              <w:jc w:val="both"/>
            </w:pPr>
          </w:p>
        </w:tc>
        <w:tc>
          <w:tcPr>
            <w:tcW w:w="882" w:type="dxa"/>
          </w:tcPr>
          <w:p w:rsidR="00940998" w:rsidRDefault="00940998" w:rsidP="00FF6CB1">
            <w:pPr>
              <w:spacing w:after="100" w:afterAutospacing="1"/>
              <w:jc w:val="both"/>
            </w:pPr>
          </w:p>
        </w:tc>
        <w:tc>
          <w:tcPr>
            <w:tcW w:w="830" w:type="dxa"/>
          </w:tcPr>
          <w:p w:rsidR="00940998" w:rsidRDefault="00940998" w:rsidP="00FF6CB1">
            <w:pPr>
              <w:spacing w:after="100" w:afterAutospacing="1"/>
              <w:jc w:val="both"/>
            </w:pPr>
          </w:p>
        </w:tc>
        <w:tc>
          <w:tcPr>
            <w:tcW w:w="821"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r>
              <w:t>0.5</w:t>
            </w:r>
          </w:p>
        </w:tc>
        <w:tc>
          <w:tcPr>
            <w:tcW w:w="543" w:type="dxa"/>
          </w:tcPr>
          <w:p w:rsidR="00940998" w:rsidRDefault="00940998" w:rsidP="00FF6CB1">
            <w:pPr>
              <w:spacing w:after="100" w:afterAutospacing="1"/>
              <w:jc w:val="both"/>
            </w:pPr>
          </w:p>
        </w:tc>
      </w:tr>
      <w:tr w:rsidR="00940998" w:rsidTr="00940998">
        <w:tc>
          <w:tcPr>
            <w:tcW w:w="1533" w:type="dxa"/>
          </w:tcPr>
          <w:p w:rsidR="00940998" w:rsidRPr="00E913BF" w:rsidRDefault="00940998" w:rsidP="00FF6CB1">
            <w:pPr>
              <w:spacing w:after="100" w:afterAutospacing="1"/>
              <w:jc w:val="both"/>
              <w:rPr>
                <w:b/>
              </w:rPr>
            </w:pPr>
            <w:r w:rsidRPr="00E913BF">
              <w:rPr>
                <w:b/>
              </w:rPr>
              <w:t>LE</w:t>
            </w:r>
          </w:p>
        </w:tc>
        <w:tc>
          <w:tcPr>
            <w:tcW w:w="657" w:type="dxa"/>
          </w:tcPr>
          <w:p w:rsidR="00940998" w:rsidRDefault="00940998" w:rsidP="00FF6CB1">
            <w:pPr>
              <w:spacing w:after="100" w:afterAutospacing="1"/>
              <w:jc w:val="both"/>
            </w:pPr>
          </w:p>
        </w:tc>
        <w:tc>
          <w:tcPr>
            <w:tcW w:w="729" w:type="dxa"/>
          </w:tcPr>
          <w:p w:rsidR="00940998" w:rsidRDefault="00940998" w:rsidP="00FF6CB1">
            <w:pPr>
              <w:spacing w:after="100" w:afterAutospacing="1"/>
              <w:jc w:val="both"/>
            </w:pPr>
            <w:r>
              <w:t>0.01</w:t>
            </w:r>
          </w:p>
        </w:tc>
        <w:tc>
          <w:tcPr>
            <w:tcW w:w="658" w:type="dxa"/>
          </w:tcPr>
          <w:p w:rsidR="00940998" w:rsidRDefault="00940998" w:rsidP="00FF6CB1">
            <w:pPr>
              <w:spacing w:after="100" w:afterAutospacing="1"/>
              <w:jc w:val="both"/>
            </w:pPr>
          </w:p>
        </w:tc>
        <w:tc>
          <w:tcPr>
            <w:tcW w:w="608" w:type="dxa"/>
          </w:tcPr>
          <w:p w:rsidR="00940998" w:rsidRDefault="00940998" w:rsidP="00FF6CB1">
            <w:pPr>
              <w:spacing w:after="100" w:afterAutospacing="1"/>
              <w:jc w:val="both"/>
            </w:pPr>
            <w:r>
              <w:t>1</w:t>
            </w:r>
          </w:p>
        </w:tc>
        <w:tc>
          <w:tcPr>
            <w:tcW w:w="727" w:type="dxa"/>
          </w:tcPr>
          <w:p w:rsidR="00940998" w:rsidRDefault="00940998" w:rsidP="00FF6CB1">
            <w:pPr>
              <w:spacing w:after="100" w:afterAutospacing="1"/>
              <w:jc w:val="both"/>
            </w:pPr>
          </w:p>
        </w:tc>
        <w:tc>
          <w:tcPr>
            <w:tcW w:w="819" w:type="dxa"/>
          </w:tcPr>
          <w:p w:rsidR="00940998" w:rsidRDefault="00940998" w:rsidP="00FF6CB1">
            <w:pPr>
              <w:spacing w:after="100" w:afterAutospacing="1"/>
              <w:jc w:val="both"/>
            </w:pPr>
          </w:p>
        </w:tc>
        <w:tc>
          <w:tcPr>
            <w:tcW w:w="882" w:type="dxa"/>
          </w:tcPr>
          <w:p w:rsidR="00940998" w:rsidRDefault="00940998" w:rsidP="00FF6CB1">
            <w:pPr>
              <w:spacing w:after="100" w:afterAutospacing="1"/>
              <w:jc w:val="both"/>
            </w:pPr>
          </w:p>
        </w:tc>
        <w:tc>
          <w:tcPr>
            <w:tcW w:w="830" w:type="dxa"/>
          </w:tcPr>
          <w:p w:rsidR="00940998" w:rsidRDefault="00940998" w:rsidP="00FF6CB1">
            <w:pPr>
              <w:spacing w:after="100" w:afterAutospacing="1"/>
              <w:jc w:val="both"/>
            </w:pPr>
          </w:p>
        </w:tc>
        <w:tc>
          <w:tcPr>
            <w:tcW w:w="821"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p>
        </w:tc>
      </w:tr>
      <w:tr w:rsidR="00940998" w:rsidTr="00940998">
        <w:tc>
          <w:tcPr>
            <w:tcW w:w="1533" w:type="dxa"/>
          </w:tcPr>
          <w:p w:rsidR="00940998" w:rsidRPr="00E913BF" w:rsidRDefault="00940998" w:rsidP="00FF6CB1">
            <w:pPr>
              <w:spacing w:after="100" w:afterAutospacing="1"/>
              <w:jc w:val="both"/>
              <w:rPr>
                <w:b/>
              </w:rPr>
            </w:pPr>
            <w:r w:rsidRPr="00E913BF">
              <w:rPr>
                <w:b/>
              </w:rPr>
              <w:t>TGN</w:t>
            </w:r>
          </w:p>
        </w:tc>
        <w:tc>
          <w:tcPr>
            <w:tcW w:w="657" w:type="dxa"/>
          </w:tcPr>
          <w:p w:rsidR="00940998" w:rsidRDefault="00940998" w:rsidP="00FF6CB1">
            <w:pPr>
              <w:spacing w:after="100" w:afterAutospacing="1"/>
              <w:jc w:val="both"/>
            </w:pPr>
          </w:p>
        </w:tc>
        <w:tc>
          <w:tcPr>
            <w:tcW w:w="729" w:type="dxa"/>
          </w:tcPr>
          <w:p w:rsidR="00940998" w:rsidRDefault="00940998" w:rsidP="00FF6CB1">
            <w:pPr>
              <w:spacing w:after="100" w:afterAutospacing="1"/>
              <w:jc w:val="both"/>
            </w:pPr>
          </w:p>
        </w:tc>
        <w:tc>
          <w:tcPr>
            <w:tcW w:w="658" w:type="dxa"/>
          </w:tcPr>
          <w:p w:rsidR="00940998" w:rsidRDefault="00940998" w:rsidP="00FF6CB1">
            <w:pPr>
              <w:spacing w:after="100" w:afterAutospacing="1"/>
              <w:jc w:val="both"/>
            </w:pPr>
            <w:r>
              <w:t>0.1</w:t>
            </w:r>
          </w:p>
        </w:tc>
        <w:tc>
          <w:tcPr>
            <w:tcW w:w="608" w:type="dxa"/>
          </w:tcPr>
          <w:p w:rsidR="00940998" w:rsidRDefault="00940998" w:rsidP="00FF6CB1">
            <w:pPr>
              <w:spacing w:after="100" w:afterAutospacing="1"/>
              <w:jc w:val="both"/>
            </w:pPr>
          </w:p>
        </w:tc>
        <w:tc>
          <w:tcPr>
            <w:tcW w:w="727" w:type="dxa"/>
          </w:tcPr>
          <w:p w:rsidR="00940998" w:rsidRDefault="00940998" w:rsidP="00FF6CB1">
            <w:pPr>
              <w:spacing w:after="100" w:afterAutospacing="1"/>
              <w:jc w:val="both"/>
            </w:pPr>
            <w:r>
              <w:t>1</w:t>
            </w:r>
          </w:p>
        </w:tc>
        <w:tc>
          <w:tcPr>
            <w:tcW w:w="819" w:type="dxa"/>
          </w:tcPr>
          <w:p w:rsidR="00940998" w:rsidRDefault="00752B28" w:rsidP="00FF6CB1">
            <w:pPr>
              <w:spacing w:after="100" w:afterAutospacing="1"/>
              <w:jc w:val="both"/>
            </w:pPr>
            <w:r>
              <w:t>0.5</w:t>
            </w:r>
          </w:p>
        </w:tc>
        <w:tc>
          <w:tcPr>
            <w:tcW w:w="882" w:type="dxa"/>
          </w:tcPr>
          <w:p w:rsidR="00940998" w:rsidRDefault="00940998" w:rsidP="00FF6CB1">
            <w:pPr>
              <w:spacing w:after="100" w:afterAutospacing="1"/>
              <w:jc w:val="both"/>
            </w:pPr>
          </w:p>
        </w:tc>
        <w:tc>
          <w:tcPr>
            <w:tcW w:w="830" w:type="dxa"/>
          </w:tcPr>
          <w:p w:rsidR="00940998" w:rsidRDefault="00940998" w:rsidP="00FF6CB1">
            <w:pPr>
              <w:spacing w:after="100" w:afterAutospacing="1"/>
              <w:jc w:val="both"/>
            </w:pPr>
          </w:p>
        </w:tc>
        <w:tc>
          <w:tcPr>
            <w:tcW w:w="821"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r>
              <w:t>0.5</w:t>
            </w:r>
          </w:p>
        </w:tc>
        <w:tc>
          <w:tcPr>
            <w:tcW w:w="543" w:type="dxa"/>
          </w:tcPr>
          <w:p w:rsidR="00940998" w:rsidRDefault="00940998" w:rsidP="00FF6CB1">
            <w:pPr>
              <w:spacing w:after="100" w:afterAutospacing="1"/>
              <w:jc w:val="both"/>
            </w:pPr>
          </w:p>
        </w:tc>
      </w:tr>
      <w:tr w:rsidR="00940998" w:rsidTr="00940998">
        <w:tc>
          <w:tcPr>
            <w:tcW w:w="1533" w:type="dxa"/>
          </w:tcPr>
          <w:p w:rsidR="00940998" w:rsidRPr="00E913BF" w:rsidRDefault="00940998" w:rsidP="00FF6CB1">
            <w:pPr>
              <w:spacing w:after="100" w:afterAutospacing="1"/>
              <w:jc w:val="both"/>
              <w:rPr>
                <w:b/>
              </w:rPr>
            </w:pPr>
            <w:proofErr w:type="spellStart"/>
            <w:r w:rsidRPr="00E913BF">
              <w:rPr>
                <w:b/>
              </w:rPr>
              <w:t>tGolgi</w:t>
            </w:r>
            <w:proofErr w:type="spellEnd"/>
          </w:p>
        </w:tc>
        <w:tc>
          <w:tcPr>
            <w:tcW w:w="657" w:type="dxa"/>
          </w:tcPr>
          <w:p w:rsidR="00940998" w:rsidRDefault="00940998" w:rsidP="00FF6CB1">
            <w:pPr>
              <w:spacing w:after="100" w:afterAutospacing="1"/>
              <w:jc w:val="both"/>
            </w:pPr>
          </w:p>
        </w:tc>
        <w:tc>
          <w:tcPr>
            <w:tcW w:w="729" w:type="dxa"/>
          </w:tcPr>
          <w:p w:rsidR="00940998" w:rsidRDefault="00940998" w:rsidP="00FF6CB1">
            <w:pPr>
              <w:spacing w:after="100" w:afterAutospacing="1"/>
              <w:jc w:val="both"/>
            </w:pPr>
          </w:p>
        </w:tc>
        <w:tc>
          <w:tcPr>
            <w:tcW w:w="658" w:type="dxa"/>
          </w:tcPr>
          <w:p w:rsidR="00940998" w:rsidRDefault="00940998" w:rsidP="00FF6CB1">
            <w:pPr>
              <w:spacing w:after="100" w:afterAutospacing="1"/>
              <w:jc w:val="both"/>
            </w:pPr>
          </w:p>
        </w:tc>
        <w:tc>
          <w:tcPr>
            <w:tcW w:w="608" w:type="dxa"/>
          </w:tcPr>
          <w:p w:rsidR="00940998" w:rsidRDefault="00940998" w:rsidP="00FF6CB1">
            <w:pPr>
              <w:spacing w:after="100" w:afterAutospacing="1"/>
              <w:jc w:val="both"/>
            </w:pPr>
          </w:p>
        </w:tc>
        <w:tc>
          <w:tcPr>
            <w:tcW w:w="727" w:type="dxa"/>
          </w:tcPr>
          <w:p w:rsidR="00940998" w:rsidRDefault="00940998" w:rsidP="00FF6CB1">
            <w:pPr>
              <w:spacing w:after="100" w:afterAutospacing="1"/>
              <w:jc w:val="both"/>
            </w:pPr>
            <w:r>
              <w:t>0.5</w:t>
            </w:r>
          </w:p>
        </w:tc>
        <w:tc>
          <w:tcPr>
            <w:tcW w:w="819" w:type="dxa"/>
          </w:tcPr>
          <w:p w:rsidR="00940998" w:rsidRDefault="00940998" w:rsidP="00FF6CB1">
            <w:pPr>
              <w:spacing w:after="100" w:afterAutospacing="1"/>
              <w:jc w:val="both"/>
            </w:pPr>
            <w:r>
              <w:t>1</w:t>
            </w:r>
          </w:p>
        </w:tc>
        <w:tc>
          <w:tcPr>
            <w:tcW w:w="882" w:type="dxa"/>
          </w:tcPr>
          <w:p w:rsidR="00940998" w:rsidRDefault="00752B28" w:rsidP="00FF6CB1">
            <w:pPr>
              <w:spacing w:after="100" w:afterAutospacing="1"/>
              <w:jc w:val="both"/>
            </w:pPr>
            <w:r>
              <w:t>0.5</w:t>
            </w:r>
          </w:p>
        </w:tc>
        <w:tc>
          <w:tcPr>
            <w:tcW w:w="830" w:type="dxa"/>
          </w:tcPr>
          <w:p w:rsidR="00940998" w:rsidRDefault="00940998" w:rsidP="00FF6CB1">
            <w:pPr>
              <w:spacing w:after="100" w:afterAutospacing="1"/>
              <w:jc w:val="both"/>
            </w:pPr>
          </w:p>
        </w:tc>
        <w:tc>
          <w:tcPr>
            <w:tcW w:w="821"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p>
        </w:tc>
      </w:tr>
      <w:tr w:rsidR="00940998" w:rsidTr="00940998">
        <w:tc>
          <w:tcPr>
            <w:tcW w:w="1533" w:type="dxa"/>
          </w:tcPr>
          <w:p w:rsidR="00940998" w:rsidRPr="00E913BF" w:rsidRDefault="00940998" w:rsidP="00FF6CB1">
            <w:pPr>
              <w:spacing w:after="100" w:afterAutospacing="1"/>
              <w:jc w:val="both"/>
              <w:rPr>
                <w:b/>
              </w:rPr>
            </w:pPr>
            <w:proofErr w:type="spellStart"/>
            <w:r w:rsidRPr="00E913BF">
              <w:rPr>
                <w:b/>
              </w:rPr>
              <w:t>mGolgi</w:t>
            </w:r>
            <w:proofErr w:type="spellEnd"/>
          </w:p>
        </w:tc>
        <w:tc>
          <w:tcPr>
            <w:tcW w:w="657" w:type="dxa"/>
          </w:tcPr>
          <w:p w:rsidR="00940998" w:rsidRDefault="00940998" w:rsidP="00FF6CB1">
            <w:pPr>
              <w:spacing w:after="100" w:afterAutospacing="1"/>
              <w:jc w:val="both"/>
            </w:pPr>
          </w:p>
        </w:tc>
        <w:tc>
          <w:tcPr>
            <w:tcW w:w="729" w:type="dxa"/>
          </w:tcPr>
          <w:p w:rsidR="00940998" w:rsidRDefault="00940998" w:rsidP="00FF6CB1">
            <w:pPr>
              <w:spacing w:after="100" w:afterAutospacing="1"/>
              <w:jc w:val="both"/>
            </w:pPr>
          </w:p>
        </w:tc>
        <w:tc>
          <w:tcPr>
            <w:tcW w:w="658" w:type="dxa"/>
          </w:tcPr>
          <w:p w:rsidR="00940998" w:rsidRDefault="00940998" w:rsidP="00FF6CB1">
            <w:pPr>
              <w:spacing w:after="100" w:afterAutospacing="1"/>
              <w:jc w:val="both"/>
            </w:pPr>
          </w:p>
        </w:tc>
        <w:tc>
          <w:tcPr>
            <w:tcW w:w="608" w:type="dxa"/>
          </w:tcPr>
          <w:p w:rsidR="00940998" w:rsidRDefault="00940998" w:rsidP="00FF6CB1">
            <w:pPr>
              <w:spacing w:after="100" w:afterAutospacing="1"/>
              <w:jc w:val="both"/>
            </w:pPr>
          </w:p>
        </w:tc>
        <w:tc>
          <w:tcPr>
            <w:tcW w:w="727" w:type="dxa"/>
          </w:tcPr>
          <w:p w:rsidR="00940998" w:rsidRDefault="00940998" w:rsidP="00FF6CB1">
            <w:pPr>
              <w:spacing w:after="100" w:afterAutospacing="1"/>
              <w:jc w:val="both"/>
            </w:pPr>
          </w:p>
        </w:tc>
        <w:tc>
          <w:tcPr>
            <w:tcW w:w="819" w:type="dxa"/>
          </w:tcPr>
          <w:p w:rsidR="00940998" w:rsidRDefault="00940998" w:rsidP="00FF6CB1">
            <w:pPr>
              <w:spacing w:after="100" w:afterAutospacing="1"/>
              <w:jc w:val="both"/>
            </w:pPr>
            <w:r>
              <w:t>0.5</w:t>
            </w:r>
          </w:p>
        </w:tc>
        <w:tc>
          <w:tcPr>
            <w:tcW w:w="882" w:type="dxa"/>
          </w:tcPr>
          <w:p w:rsidR="00940998" w:rsidRDefault="00940998" w:rsidP="00FF6CB1">
            <w:pPr>
              <w:spacing w:after="100" w:afterAutospacing="1"/>
              <w:jc w:val="both"/>
            </w:pPr>
            <w:r>
              <w:t>1</w:t>
            </w:r>
          </w:p>
        </w:tc>
        <w:tc>
          <w:tcPr>
            <w:tcW w:w="830" w:type="dxa"/>
          </w:tcPr>
          <w:p w:rsidR="00940998" w:rsidRDefault="00752B28" w:rsidP="00FF6CB1">
            <w:pPr>
              <w:spacing w:after="100" w:afterAutospacing="1"/>
              <w:jc w:val="both"/>
            </w:pPr>
            <w:r>
              <w:t>0.5</w:t>
            </w:r>
          </w:p>
        </w:tc>
        <w:tc>
          <w:tcPr>
            <w:tcW w:w="821"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p>
        </w:tc>
      </w:tr>
      <w:tr w:rsidR="00940998" w:rsidTr="00940998">
        <w:tc>
          <w:tcPr>
            <w:tcW w:w="1533" w:type="dxa"/>
          </w:tcPr>
          <w:p w:rsidR="00940998" w:rsidRPr="00E913BF" w:rsidRDefault="00940998" w:rsidP="00FF6CB1">
            <w:pPr>
              <w:spacing w:after="100" w:afterAutospacing="1"/>
              <w:jc w:val="both"/>
              <w:rPr>
                <w:b/>
              </w:rPr>
            </w:pPr>
            <w:proofErr w:type="spellStart"/>
            <w:r w:rsidRPr="00E913BF">
              <w:rPr>
                <w:b/>
              </w:rPr>
              <w:t>cGolgi</w:t>
            </w:r>
            <w:proofErr w:type="spellEnd"/>
          </w:p>
        </w:tc>
        <w:tc>
          <w:tcPr>
            <w:tcW w:w="657" w:type="dxa"/>
          </w:tcPr>
          <w:p w:rsidR="00940998" w:rsidRDefault="00940998" w:rsidP="00FF6CB1">
            <w:pPr>
              <w:spacing w:after="100" w:afterAutospacing="1"/>
              <w:jc w:val="both"/>
            </w:pPr>
          </w:p>
        </w:tc>
        <w:tc>
          <w:tcPr>
            <w:tcW w:w="729" w:type="dxa"/>
          </w:tcPr>
          <w:p w:rsidR="00940998" w:rsidRDefault="00940998" w:rsidP="00FF6CB1">
            <w:pPr>
              <w:spacing w:after="100" w:afterAutospacing="1"/>
              <w:jc w:val="both"/>
            </w:pPr>
          </w:p>
        </w:tc>
        <w:tc>
          <w:tcPr>
            <w:tcW w:w="658" w:type="dxa"/>
          </w:tcPr>
          <w:p w:rsidR="00940998" w:rsidRDefault="00940998" w:rsidP="00FF6CB1">
            <w:pPr>
              <w:spacing w:after="100" w:afterAutospacing="1"/>
              <w:jc w:val="both"/>
            </w:pPr>
          </w:p>
        </w:tc>
        <w:tc>
          <w:tcPr>
            <w:tcW w:w="608" w:type="dxa"/>
          </w:tcPr>
          <w:p w:rsidR="00940998" w:rsidRDefault="00940998" w:rsidP="00FF6CB1">
            <w:pPr>
              <w:spacing w:after="100" w:afterAutospacing="1"/>
              <w:jc w:val="both"/>
            </w:pPr>
          </w:p>
        </w:tc>
        <w:tc>
          <w:tcPr>
            <w:tcW w:w="727" w:type="dxa"/>
          </w:tcPr>
          <w:p w:rsidR="00940998" w:rsidRDefault="00940998" w:rsidP="00FF6CB1">
            <w:pPr>
              <w:spacing w:after="100" w:afterAutospacing="1"/>
              <w:jc w:val="both"/>
            </w:pPr>
          </w:p>
        </w:tc>
        <w:tc>
          <w:tcPr>
            <w:tcW w:w="819" w:type="dxa"/>
          </w:tcPr>
          <w:p w:rsidR="00940998" w:rsidRDefault="00940998" w:rsidP="00FF6CB1">
            <w:pPr>
              <w:spacing w:after="100" w:afterAutospacing="1"/>
              <w:jc w:val="both"/>
            </w:pPr>
          </w:p>
        </w:tc>
        <w:tc>
          <w:tcPr>
            <w:tcW w:w="882" w:type="dxa"/>
          </w:tcPr>
          <w:p w:rsidR="00940998" w:rsidRDefault="00940998" w:rsidP="00FF6CB1">
            <w:pPr>
              <w:spacing w:after="100" w:afterAutospacing="1"/>
              <w:jc w:val="both"/>
            </w:pPr>
            <w:r>
              <w:t>0.5</w:t>
            </w:r>
          </w:p>
        </w:tc>
        <w:tc>
          <w:tcPr>
            <w:tcW w:w="830" w:type="dxa"/>
          </w:tcPr>
          <w:p w:rsidR="00940998" w:rsidRDefault="00940998" w:rsidP="00FF6CB1">
            <w:pPr>
              <w:spacing w:after="100" w:afterAutospacing="1"/>
              <w:jc w:val="both"/>
            </w:pPr>
            <w:r>
              <w:t>1</w:t>
            </w:r>
          </w:p>
        </w:tc>
        <w:tc>
          <w:tcPr>
            <w:tcW w:w="821" w:type="dxa"/>
          </w:tcPr>
          <w:p w:rsidR="00940998" w:rsidRDefault="00752B28" w:rsidP="00FF6CB1">
            <w:pPr>
              <w:spacing w:after="100" w:afterAutospacing="1"/>
              <w:jc w:val="both"/>
            </w:pPr>
            <w:r>
              <w:t>0.5</w:t>
            </w:r>
          </w:p>
        </w:tc>
        <w:tc>
          <w:tcPr>
            <w:tcW w:w="543"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p>
        </w:tc>
      </w:tr>
      <w:tr w:rsidR="00940998" w:rsidTr="00940998">
        <w:tc>
          <w:tcPr>
            <w:tcW w:w="1533" w:type="dxa"/>
          </w:tcPr>
          <w:p w:rsidR="00940998" w:rsidRPr="00E913BF" w:rsidRDefault="00940998" w:rsidP="00FF6CB1">
            <w:pPr>
              <w:spacing w:after="100" w:afterAutospacing="1"/>
              <w:jc w:val="both"/>
              <w:rPr>
                <w:b/>
              </w:rPr>
            </w:pPr>
            <w:r w:rsidRPr="00E913BF">
              <w:rPr>
                <w:b/>
              </w:rPr>
              <w:t>ERGIC</w:t>
            </w:r>
          </w:p>
        </w:tc>
        <w:tc>
          <w:tcPr>
            <w:tcW w:w="657" w:type="dxa"/>
          </w:tcPr>
          <w:p w:rsidR="00940998" w:rsidRDefault="00940998" w:rsidP="00FF6CB1">
            <w:pPr>
              <w:spacing w:after="100" w:afterAutospacing="1"/>
              <w:jc w:val="both"/>
            </w:pPr>
          </w:p>
        </w:tc>
        <w:tc>
          <w:tcPr>
            <w:tcW w:w="729" w:type="dxa"/>
          </w:tcPr>
          <w:p w:rsidR="00940998" w:rsidRDefault="00940998" w:rsidP="00FF6CB1">
            <w:pPr>
              <w:spacing w:after="100" w:afterAutospacing="1"/>
              <w:jc w:val="both"/>
            </w:pPr>
          </w:p>
        </w:tc>
        <w:tc>
          <w:tcPr>
            <w:tcW w:w="658" w:type="dxa"/>
          </w:tcPr>
          <w:p w:rsidR="00940998" w:rsidRDefault="00940998" w:rsidP="00FF6CB1">
            <w:pPr>
              <w:spacing w:after="100" w:afterAutospacing="1"/>
              <w:jc w:val="both"/>
            </w:pPr>
          </w:p>
        </w:tc>
        <w:tc>
          <w:tcPr>
            <w:tcW w:w="608" w:type="dxa"/>
          </w:tcPr>
          <w:p w:rsidR="00940998" w:rsidRDefault="00940998" w:rsidP="00FF6CB1">
            <w:pPr>
              <w:spacing w:after="100" w:afterAutospacing="1"/>
              <w:jc w:val="both"/>
            </w:pPr>
          </w:p>
        </w:tc>
        <w:tc>
          <w:tcPr>
            <w:tcW w:w="727" w:type="dxa"/>
          </w:tcPr>
          <w:p w:rsidR="00940998" w:rsidRDefault="00940998" w:rsidP="00FF6CB1">
            <w:pPr>
              <w:spacing w:after="100" w:afterAutospacing="1"/>
              <w:jc w:val="both"/>
            </w:pPr>
          </w:p>
        </w:tc>
        <w:tc>
          <w:tcPr>
            <w:tcW w:w="819" w:type="dxa"/>
          </w:tcPr>
          <w:p w:rsidR="00940998" w:rsidRDefault="00940998" w:rsidP="00FF6CB1">
            <w:pPr>
              <w:spacing w:after="100" w:afterAutospacing="1"/>
              <w:jc w:val="both"/>
            </w:pPr>
          </w:p>
        </w:tc>
        <w:tc>
          <w:tcPr>
            <w:tcW w:w="882" w:type="dxa"/>
          </w:tcPr>
          <w:p w:rsidR="00940998" w:rsidRDefault="00940998" w:rsidP="00FF6CB1">
            <w:pPr>
              <w:spacing w:after="100" w:afterAutospacing="1"/>
              <w:jc w:val="both"/>
            </w:pPr>
          </w:p>
        </w:tc>
        <w:tc>
          <w:tcPr>
            <w:tcW w:w="830" w:type="dxa"/>
          </w:tcPr>
          <w:p w:rsidR="00940998" w:rsidRDefault="00940998" w:rsidP="00FF6CB1">
            <w:pPr>
              <w:spacing w:after="100" w:afterAutospacing="1"/>
              <w:jc w:val="both"/>
            </w:pPr>
            <w:r>
              <w:t>0.5</w:t>
            </w:r>
          </w:p>
        </w:tc>
        <w:tc>
          <w:tcPr>
            <w:tcW w:w="821" w:type="dxa"/>
          </w:tcPr>
          <w:p w:rsidR="00940998" w:rsidRDefault="00940998" w:rsidP="00FF6CB1">
            <w:pPr>
              <w:spacing w:after="100" w:afterAutospacing="1"/>
              <w:jc w:val="both"/>
            </w:pPr>
            <w:r>
              <w:t>1</w:t>
            </w:r>
          </w:p>
        </w:tc>
        <w:tc>
          <w:tcPr>
            <w:tcW w:w="543" w:type="dxa"/>
          </w:tcPr>
          <w:p w:rsidR="00940998" w:rsidRDefault="00940998" w:rsidP="00FF6CB1">
            <w:pPr>
              <w:spacing w:after="100" w:afterAutospacing="1"/>
              <w:jc w:val="both"/>
            </w:pPr>
          </w:p>
        </w:tc>
        <w:tc>
          <w:tcPr>
            <w:tcW w:w="543" w:type="dxa"/>
          </w:tcPr>
          <w:p w:rsidR="00940998" w:rsidRDefault="00940998" w:rsidP="00FF6CB1">
            <w:pPr>
              <w:spacing w:after="100" w:afterAutospacing="1"/>
              <w:jc w:val="both"/>
            </w:pPr>
            <w:r>
              <w:t>0.06</w:t>
            </w:r>
          </w:p>
        </w:tc>
      </w:tr>
    </w:tbl>
    <w:p w:rsidR="00AF1FF5" w:rsidRDefault="00AF1FF5" w:rsidP="00FF6CB1">
      <w:pPr>
        <w:spacing w:after="100" w:afterAutospacing="1" w:line="240" w:lineRule="auto"/>
        <w:jc w:val="both"/>
      </w:pPr>
    </w:p>
    <w:p w:rsidR="00187B1B" w:rsidRPr="00EA39B0" w:rsidRDefault="00EA39B0" w:rsidP="00FF6CB1">
      <w:pPr>
        <w:spacing w:after="100" w:afterAutospacing="1" w:line="240" w:lineRule="auto"/>
        <w:jc w:val="both"/>
        <w:rPr>
          <w:b/>
        </w:rPr>
      </w:pPr>
      <w:r>
        <w:rPr>
          <w:b/>
        </w:rPr>
        <w:t xml:space="preserve">Table 4. </w:t>
      </w:r>
      <w:r w:rsidR="009B20E7" w:rsidRPr="00EA39B0">
        <w:rPr>
          <w:b/>
        </w:rPr>
        <w:t>Maturation probabilities</w:t>
      </w:r>
      <w:r w:rsidR="006C2174" w:rsidRPr="00EA39B0">
        <w:rPr>
          <w:b/>
        </w:rPr>
        <w:t xml:space="preserve"> of membrane domains listed in the rows to membrane domains in columns </w:t>
      </w:r>
    </w:p>
    <w:tbl>
      <w:tblPr>
        <w:tblStyle w:val="TableGrid"/>
        <w:tblW w:w="0" w:type="auto"/>
        <w:tblLook w:val="04A0" w:firstRow="1" w:lastRow="0" w:firstColumn="1" w:lastColumn="0" w:noHBand="0" w:noVBand="1"/>
      </w:tblPr>
      <w:tblGrid>
        <w:gridCol w:w="1559"/>
        <w:gridCol w:w="668"/>
        <w:gridCol w:w="1040"/>
        <w:gridCol w:w="866"/>
        <w:gridCol w:w="970"/>
        <w:gridCol w:w="806"/>
        <w:gridCol w:w="845"/>
        <w:gridCol w:w="899"/>
        <w:gridCol w:w="852"/>
        <w:gridCol w:w="845"/>
      </w:tblGrid>
      <w:tr w:rsidR="00B45DD4" w:rsidTr="009B20E7">
        <w:tc>
          <w:tcPr>
            <w:tcW w:w="1559" w:type="dxa"/>
          </w:tcPr>
          <w:p w:rsidR="00B45DD4" w:rsidRPr="00E913BF" w:rsidRDefault="00B45DD4" w:rsidP="00FF6CB1">
            <w:pPr>
              <w:spacing w:after="100" w:afterAutospacing="1"/>
              <w:jc w:val="both"/>
              <w:rPr>
                <w:b/>
              </w:rPr>
            </w:pPr>
            <w:r w:rsidRPr="00E913BF">
              <w:rPr>
                <w:b/>
              </w:rPr>
              <w:t>compartments</w:t>
            </w:r>
          </w:p>
        </w:tc>
        <w:tc>
          <w:tcPr>
            <w:tcW w:w="668" w:type="dxa"/>
          </w:tcPr>
          <w:p w:rsidR="00B45DD4" w:rsidRPr="00E913BF" w:rsidRDefault="00B45DD4" w:rsidP="00FF6CB1">
            <w:pPr>
              <w:spacing w:after="100" w:afterAutospacing="1"/>
              <w:jc w:val="both"/>
              <w:rPr>
                <w:b/>
              </w:rPr>
            </w:pPr>
            <w:r w:rsidRPr="00E913BF">
              <w:rPr>
                <w:b/>
              </w:rPr>
              <w:t>EE</w:t>
            </w:r>
          </w:p>
        </w:tc>
        <w:tc>
          <w:tcPr>
            <w:tcW w:w="1040" w:type="dxa"/>
          </w:tcPr>
          <w:p w:rsidR="00B45DD4" w:rsidRPr="00E913BF" w:rsidRDefault="00B45DD4" w:rsidP="00FF6CB1">
            <w:pPr>
              <w:spacing w:after="100" w:afterAutospacing="1"/>
              <w:jc w:val="both"/>
              <w:rPr>
                <w:b/>
              </w:rPr>
            </w:pPr>
            <w:r w:rsidRPr="00E913BF">
              <w:rPr>
                <w:b/>
              </w:rPr>
              <w:t>SE</w:t>
            </w:r>
          </w:p>
        </w:tc>
        <w:tc>
          <w:tcPr>
            <w:tcW w:w="866" w:type="dxa"/>
          </w:tcPr>
          <w:p w:rsidR="00B45DD4" w:rsidRPr="00E913BF" w:rsidRDefault="00B45DD4" w:rsidP="00FF6CB1">
            <w:pPr>
              <w:spacing w:after="100" w:afterAutospacing="1"/>
              <w:jc w:val="both"/>
              <w:rPr>
                <w:b/>
              </w:rPr>
            </w:pPr>
            <w:r w:rsidRPr="00E913BF">
              <w:rPr>
                <w:b/>
              </w:rPr>
              <w:t>RE</w:t>
            </w:r>
          </w:p>
        </w:tc>
        <w:tc>
          <w:tcPr>
            <w:tcW w:w="970" w:type="dxa"/>
          </w:tcPr>
          <w:p w:rsidR="00B45DD4" w:rsidRPr="00E913BF" w:rsidRDefault="00B45DD4" w:rsidP="00FF6CB1">
            <w:pPr>
              <w:spacing w:after="100" w:afterAutospacing="1"/>
              <w:jc w:val="both"/>
              <w:rPr>
                <w:b/>
              </w:rPr>
            </w:pPr>
            <w:r w:rsidRPr="00E913BF">
              <w:rPr>
                <w:b/>
              </w:rPr>
              <w:t>LE</w:t>
            </w:r>
          </w:p>
        </w:tc>
        <w:tc>
          <w:tcPr>
            <w:tcW w:w="806" w:type="dxa"/>
          </w:tcPr>
          <w:p w:rsidR="00B45DD4" w:rsidRPr="00E913BF" w:rsidRDefault="00B45DD4" w:rsidP="00FF6CB1">
            <w:pPr>
              <w:spacing w:after="100" w:afterAutospacing="1"/>
              <w:jc w:val="both"/>
              <w:rPr>
                <w:b/>
              </w:rPr>
            </w:pPr>
            <w:r w:rsidRPr="00E913BF">
              <w:rPr>
                <w:b/>
              </w:rPr>
              <w:t>TGN</w:t>
            </w:r>
          </w:p>
        </w:tc>
        <w:tc>
          <w:tcPr>
            <w:tcW w:w="845" w:type="dxa"/>
          </w:tcPr>
          <w:p w:rsidR="00B45DD4" w:rsidRPr="00E913BF" w:rsidRDefault="00B45DD4" w:rsidP="00FF6CB1">
            <w:pPr>
              <w:spacing w:after="100" w:afterAutospacing="1"/>
              <w:jc w:val="both"/>
              <w:rPr>
                <w:b/>
              </w:rPr>
            </w:pPr>
            <w:proofErr w:type="spellStart"/>
            <w:r w:rsidRPr="00E913BF">
              <w:rPr>
                <w:b/>
              </w:rPr>
              <w:t>tGolgi</w:t>
            </w:r>
            <w:proofErr w:type="spellEnd"/>
          </w:p>
        </w:tc>
        <w:tc>
          <w:tcPr>
            <w:tcW w:w="899" w:type="dxa"/>
          </w:tcPr>
          <w:p w:rsidR="00B45DD4" w:rsidRPr="00E913BF" w:rsidRDefault="00B45DD4" w:rsidP="00FF6CB1">
            <w:pPr>
              <w:spacing w:after="100" w:afterAutospacing="1"/>
              <w:jc w:val="both"/>
              <w:rPr>
                <w:b/>
              </w:rPr>
            </w:pPr>
            <w:proofErr w:type="spellStart"/>
            <w:r w:rsidRPr="00E913BF">
              <w:rPr>
                <w:b/>
              </w:rPr>
              <w:t>mGolgi</w:t>
            </w:r>
            <w:proofErr w:type="spellEnd"/>
          </w:p>
        </w:tc>
        <w:tc>
          <w:tcPr>
            <w:tcW w:w="852" w:type="dxa"/>
          </w:tcPr>
          <w:p w:rsidR="00B45DD4" w:rsidRPr="00E913BF" w:rsidRDefault="00B45DD4" w:rsidP="00FF6CB1">
            <w:pPr>
              <w:spacing w:after="100" w:afterAutospacing="1"/>
              <w:jc w:val="both"/>
              <w:rPr>
                <w:b/>
              </w:rPr>
            </w:pPr>
            <w:proofErr w:type="spellStart"/>
            <w:r w:rsidRPr="00E913BF">
              <w:rPr>
                <w:b/>
              </w:rPr>
              <w:t>cGolgi</w:t>
            </w:r>
            <w:proofErr w:type="spellEnd"/>
          </w:p>
        </w:tc>
        <w:tc>
          <w:tcPr>
            <w:tcW w:w="845" w:type="dxa"/>
          </w:tcPr>
          <w:p w:rsidR="00B45DD4" w:rsidRPr="00E913BF" w:rsidRDefault="00B45DD4" w:rsidP="00FF6CB1">
            <w:pPr>
              <w:spacing w:after="100" w:afterAutospacing="1"/>
              <w:jc w:val="both"/>
              <w:rPr>
                <w:b/>
              </w:rPr>
            </w:pPr>
            <w:r w:rsidRPr="00E913BF">
              <w:rPr>
                <w:b/>
              </w:rPr>
              <w:t>ERGIC</w:t>
            </w:r>
          </w:p>
        </w:tc>
      </w:tr>
      <w:tr w:rsidR="00B45DD4" w:rsidTr="009B20E7">
        <w:tc>
          <w:tcPr>
            <w:tcW w:w="1559" w:type="dxa"/>
          </w:tcPr>
          <w:p w:rsidR="00B45DD4" w:rsidRPr="00E913BF" w:rsidRDefault="00B45DD4" w:rsidP="00FF6CB1">
            <w:pPr>
              <w:spacing w:after="100" w:afterAutospacing="1"/>
              <w:jc w:val="both"/>
              <w:rPr>
                <w:b/>
              </w:rPr>
            </w:pPr>
            <w:r w:rsidRPr="00E913BF">
              <w:rPr>
                <w:b/>
              </w:rPr>
              <w:t>EE</w:t>
            </w:r>
          </w:p>
        </w:tc>
        <w:tc>
          <w:tcPr>
            <w:tcW w:w="668" w:type="dxa"/>
          </w:tcPr>
          <w:p w:rsidR="00B45DD4" w:rsidRDefault="00B45DD4" w:rsidP="00FF6CB1">
            <w:pPr>
              <w:spacing w:after="100" w:afterAutospacing="1"/>
              <w:jc w:val="both"/>
            </w:pPr>
          </w:p>
        </w:tc>
        <w:tc>
          <w:tcPr>
            <w:tcW w:w="1040" w:type="dxa"/>
          </w:tcPr>
          <w:p w:rsidR="00B45DD4" w:rsidRDefault="00B45DD4" w:rsidP="00FF6CB1">
            <w:pPr>
              <w:spacing w:after="100" w:afterAutospacing="1"/>
              <w:jc w:val="both"/>
            </w:pPr>
            <w:r>
              <w:t>0.85/0.1</w:t>
            </w:r>
            <w:r w:rsidR="009B20E7" w:rsidRPr="009B20E7">
              <w:rPr>
                <w:vertAlign w:val="superscript"/>
              </w:rPr>
              <w:t>*</w:t>
            </w:r>
          </w:p>
        </w:tc>
        <w:tc>
          <w:tcPr>
            <w:tcW w:w="866" w:type="dxa"/>
          </w:tcPr>
          <w:p w:rsidR="00B45DD4" w:rsidRDefault="00B45DD4" w:rsidP="00FF6CB1">
            <w:pPr>
              <w:spacing w:after="100" w:afterAutospacing="1"/>
              <w:jc w:val="both"/>
            </w:pPr>
          </w:p>
        </w:tc>
        <w:tc>
          <w:tcPr>
            <w:tcW w:w="970" w:type="dxa"/>
          </w:tcPr>
          <w:p w:rsidR="00B45DD4" w:rsidRDefault="00B45DD4" w:rsidP="00FF6CB1">
            <w:pPr>
              <w:spacing w:after="100" w:afterAutospacing="1"/>
              <w:jc w:val="both"/>
            </w:pPr>
            <w:r>
              <w:t>0.15/0.8</w:t>
            </w:r>
          </w:p>
        </w:tc>
        <w:tc>
          <w:tcPr>
            <w:tcW w:w="806"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c>
          <w:tcPr>
            <w:tcW w:w="899" w:type="dxa"/>
          </w:tcPr>
          <w:p w:rsidR="00B45DD4" w:rsidRDefault="00B45DD4" w:rsidP="00FF6CB1">
            <w:pPr>
              <w:spacing w:after="100" w:afterAutospacing="1"/>
              <w:jc w:val="both"/>
            </w:pPr>
          </w:p>
        </w:tc>
        <w:tc>
          <w:tcPr>
            <w:tcW w:w="852"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r>
      <w:tr w:rsidR="00B45DD4" w:rsidTr="009B20E7">
        <w:tc>
          <w:tcPr>
            <w:tcW w:w="1559" w:type="dxa"/>
          </w:tcPr>
          <w:p w:rsidR="00B45DD4" w:rsidRPr="00E913BF" w:rsidRDefault="00B45DD4" w:rsidP="00FF6CB1">
            <w:pPr>
              <w:spacing w:after="100" w:afterAutospacing="1"/>
              <w:jc w:val="both"/>
              <w:rPr>
                <w:b/>
              </w:rPr>
            </w:pPr>
            <w:r w:rsidRPr="00E913BF">
              <w:rPr>
                <w:b/>
              </w:rPr>
              <w:t>SE</w:t>
            </w:r>
          </w:p>
        </w:tc>
        <w:tc>
          <w:tcPr>
            <w:tcW w:w="668" w:type="dxa"/>
          </w:tcPr>
          <w:p w:rsidR="00B45DD4" w:rsidRDefault="00B45DD4" w:rsidP="00FF6CB1">
            <w:pPr>
              <w:spacing w:after="100" w:afterAutospacing="1"/>
              <w:jc w:val="both"/>
            </w:pPr>
          </w:p>
        </w:tc>
        <w:tc>
          <w:tcPr>
            <w:tcW w:w="1040" w:type="dxa"/>
          </w:tcPr>
          <w:p w:rsidR="00B45DD4" w:rsidRDefault="00B45DD4" w:rsidP="00FF6CB1">
            <w:pPr>
              <w:spacing w:after="100" w:afterAutospacing="1"/>
              <w:jc w:val="both"/>
            </w:pPr>
          </w:p>
        </w:tc>
        <w:tc>
          <w:tcPr>
            <w:tcW w:w="866" w:type="dxa"/>
          </w:tcPr>
          <w:p w:rsidR="00B45DD4" w:rsidRDefault="00B45DD4" w:rsidP="00FF6CB1">
            <w:pPr>
              <w:spacing w:after="100" w:afterAutospacing="1"/>
              <w:jc w:val="both"/>
            </w:pPr>
            <w:r>
              <w:t>1/0.08</w:t>
            </w:r>
          </w:p>
        </w:tc>
        <w:tc>
          <w:tcPr>
            <w:tcW w:w="970" w:type="dxa"/>
          </w:tcPr>
          <w:p w:rsidR="00B45DD4" w:rsidRDefault="00B45DD4" w:rsidP="00FF6CB1">
            <w:pPr>
              <w:spacing w:after="100" w:afterAutospacing="1"/>
              <w:jc w:val="both"/>
            </w:pPr>
          </w:p>
        </w:tc>
        <w:tc>
          <w:tcPr>
            <w:tcW w:w="806"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c>
          <w:tcPr>
            <w:tcW w:w="899" w:type="dxa"/>
          </w:tcPr>
          <w:p w:rsidR="00B45DD4" w:rsidRDefault="00B45DD4" w:rsidP="00FF6CB1">
            <w:pPr>
              <w:spacing w:after="100" w:afterAutospacing="1"/>
              <w:jc w:val="both"/>
            </w:pPr>
          </w:p>
        </w:tc>
        <w:tc>
          <w:tcPr>
            <w:tcW w:w="852"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r>
      <w:tr w:rsidR="00B45DD4" w:rsidTr="009B20E7">
        <w:tc>
          <w:tcPr>
            <w:tcW w:w="1559" w:type="dxa"/>
          </w:tcPr>
          <w:p w:rsidR="00B45DD4" w:rsidRPr="00E913BF" w:rsidRDefault="00B45DD4" w:rsidP="00FF6CB1">
            <w:pPr>
              <w:spacing w:after="100" w:afterAutospacing="1"/>
              <w:jc w:val="both"/>
              <w:rPr>
                <w:b/>
              </w:rPr>
            </w:pPr>
            <w:r w:rsidRPr="00E913BF">
              <w:rPr>
                <w:b/>
              </w:rPr>
              <w:t>RE</w:t>
            </w:r>
          </w:p>
        </w:tc>
        <w:tc>
          <w:tcPr>
            <w:tcW w:w="668" w:type="dxa"/>
          </w:tcPr>
          <w:p w:rsidR="00B45DD4" w:rsidRDefault="00B45DD4" w:rsidP="00FF6CB1">
            <w:pPr>
              <w:spacing w:after="100" w:afterAutospacing="1"/>
              <w:jc w:val="both"/>
            </w:pPr>
          </w:p>
        </w:tc>
        <w:tc>
          <w:tcPr>
            <w:tcW w:w="1040" w:type="dxa"/>
          </w:tcPr>
          <w:p w:rsidR="00B45DD4" w:rsidRDefault="00B45DD4" w:rsidP="00FF6CB1">
            <w:pPr>
              <w:spacing w:after="100" w:afterAutospacing="1"/>
              <w:jc w:val="both"/>
            </w:pPr>
          </w:p>
        </w:tc>
        <w:tc>
          <w:tcPr>
            <w:tcW w:w="866" w:type="dxa"/>
          </w:tcPr>
          <w:p w:rsidR="00B45DD4" w:rsidRDefault="00B45DD4" w:rsidP="00FF6CB1">
            <w:pPr>
              <w:spacing w:after="100" w:afterAutospacing="1"/>
              <w:jc w:val="both"/>
            </w:pPr>
          </w:p>
        </w:tc>
        <w:tc>
          <w:tcPr>
            <w:tcW w:w="970" w:type="dxa"/>
          </w:tcPr>
          <w:p w:rsidR="00B45DD4" w:rsidRDefault="00B45DD4" w:rsidP="00FF6CB1">
            <w:pPr>
              <w:spacing w:after="100" w:afterAutospacing="1"/>
              <w:jc w:val="both"/>
            </w:pPr>
          </w:p>
        </w:tc>
        <w:tc>
          <w:tcPr>
            <w:tcW w:w="806"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c>
          <w:tcPr>
            <w:tcW w:w="899" w:type="dxa"/>
          </w:tcPr>
          <w:p w:rsidR="00B45DD4" w:rsidRDefault="00B45DD4" w:rsidP="00FF6CB1">
            <w:pPr>
              <w:spacing w:after="100" w:afterAutospacing="1"/>
              <w:jc w:val="both"/>
            </w:pPr>
          </w:p>
        </w:tc>
        <w:tc>
          <w:tcPr>
            <w:tcW w:w="852"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r>
      <w:tr w:rsidR="00B45DD4" w:rsidTr="009B20E7">
        <w:tc>
          <w:tcPr>
            <w:tcW w:w="1559" w:type="dxa"/>
          </w:tcPr>
          <w:p w:rsidR="00B45DD4" w:rsidRPr="00E913BF" w:rsidRDefault="00B45DD4" w:rsidP="00FF6CB1">
            <w:pPr>
              <w:spacing w:after="100" w:afterAutospacing="1"/>
              <w:jc w:val="both"/>
              <w:rPr>
                <w:b/>
              </w:rPr>
            </w:pPr>
            <w:r w:rsidRPr="00E913BF">
              <w:rPr>
                <w:b/>
              </w:rPr>
              <w:t>LE</w:t>
            </w:r>
          </w:p>
        </w:tc>
        <w:tc>
          <w:tcPr>
            <w:tcW w:w="668" w:type="dxa"/>
          </w:tcPr>
          <w:p w:rsidR="00B45DD4" w:rsidRDefault="00B45DD4" w:rsidP="00FF6CB1">
            <w:pPr>
              <w:spacing w:after="100" w:afterAutospacing="1"/>
              <w:jc w:val="both"/>
            </w:pPr>
          </w:p>
        </w:tc>
        <w:tc>
          <w:tcPr>
            <w:tcW w:w="1040" w:type="dxa"/>
          </w:tcPr>
          <w:p w:rsidR="00B45DD4" w:rsidRDefault="00B45DD4" w:rsidP="00FF6CB1">
            <w:pPr>
              <w:spacing w:after="100" w:afterAutospacing="1"/>
              <w:jc w:val="both"/>
            </w:pPr>
          </w:p>
        </w:tc>
        <w:tc>
          <w:tcPr>
            <w:tcW w:w="866" w:type="dxa"/>
          </w:tcPr>
          <w:p w:rsidR="00B45DD4" w:rsidRDefault="00B45DD4" w:rsidP="00FF6CB1">
            <w:pPr>
              <w:spacing w:after="100" w:afterAutospacing="1"/>
              <w:jc w:val="both"/>
            </w:pPr>
          </w:p>
        </w:tc>
        <w:tc>
          <w:tcPr>
            <w:tcW w:w="970" w:type="dxa"/>
          </w:tcPr>
          <w:p w:rsidR="00B45DD4" w:rsidRDefault="00B45DD4" w:rsidP="00FF6CB1">
            <w:pPr>
              <w:spacing w:after="100" w:afterAutospacing="1"/>
              <w:jc w:val="both"/>
            </w:pPr>
          </w:p>
        </w:tc>
        <w:tc>
          <w:tcPr>
            <w:tcW w:w="806"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c>
          <w:tcPr>
            <w:tcW w:w="899" w:type="dxa"/>
          </w:tcPr>
          <w:p w:rsidR="00B45DD4" w:rsidRDefault="00B45DD4" w:rsidP="00FF6CB1">
            <w:pPr>
              <w:spacing w:after="100" w:afterAutospacing="1"/>
              <w:jc w:val="both"/>
            </w:pPr>
          </w:p>
        </w:tc>
        <w:tc>
          <w:tcPr>
            <w:tcW w:w="852"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r>
      <w:tr w:rsidR="00B45DD4" w:rsidTr="009B20E7">
        <w:tc>
          <w:tcPr>
            <w:tcW w:w="1559" w:type="dxa"/>
          </w:tcPr>
          <w:p w:rsidR="00B45DD4" w:rsidRPr="00E913BF" w:rsidRDefault="00B45DD4" w:rsidP="00FF6CB1">
            <w:pPr>
              <w:spacing w:after="100" w:afterAutospacing="1"/>
              <w:jc w:val="both"/>
              <w:rPr>
                <w:b/>
              </w:rPr>
            </w:pPr>
            <w:r w:rsidRPr="00E913BF">
              <w:rPr>
                <w:b/>
              </w:rPr>
              <w:t>TGN</w:t>
            </w:r>
          </w:p>
        </w:tc>
        <w:tc>
          <w:tcPr>
            <w:tcW w:w="668" w:type="dxa"/>
          </w:tcPr>
          <w:p w:rsidR="00B45DD4" w:rsidRDefault="00B45DD4" w:rsidP="00FF6CB1">
            <w:pPr>
              <w:spacing w:after="100" w:afterAutospacing="1"/>
              <w:jc w:val="both"/>
            </w:pPr>
          </w:p>
        </w:tc>
        <w:tc>
          <w:tcPr>
            <w:tcW w:w="1040" w:type="dxa"/>
          </w:tcPr>
          <w:p w:rsidR="00B45DD4" w:rsidRDefault="00B45DD4" w:rsidP="00FF6CB1">
            <w:pPr>
              <w:spacing w:after="100" w:afterAutospacing="1"/>
              <w:jc w:val="both"/>
            </w:pPr>
          </w:p>
        </w:tc>
        <w:tc>
          <w:tcPr>
            <w:tcW w:w="866" w:type="dxa"/>
          </w:tcPr>
          <w:p w:rsidR="00B45DD4" w:rsidRDefault="00B45DD4" w:rsidP="00FF6CB1">
            <w:pPr>
              <w:spacing w:after="100" w:afterAutospacing="1"/>
              <w:jc w:val="both"/>
            </w:pPr>
          </w:p>
        </w:tc>
        <w:tc>
          <w:tcPr>
            <w:tcW w:w="970" w:type="dxa"/>
          </w:tcPr>
          <w:p w:rsidR="00B45DD4" w:rsidRDefault="00B45DD4" w:rsidP="00FF6CB1">
            <w:pPr>
              <w:spacing w:after="100" w:afterAutospacing="1"/>
              <w:jc w:val="both"/>
            </w:pPr>
          </w:p>
        </w:tc>
        <w:tc>
          <w:tcPr>
            <w:tcW w:w="806"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c>
          <w:tcPr>
            <w:tcW w:w="899" w:type="dxa"/>
          </w:tcPr>
          <w:p w:rsidR="00B45DD4" w:rsidRDefault="00B45DD4" w:rsidP="00FF6CB1">
            <w:pPr>
              <w:spacing w:after="100" w:afterAutospacing="1"/>
              <w:jc w:val="both"/>
            </w:pPr>
          </w:p>
        </w:tc>
        <w:tc>
          <w:tcPr>
            <w:tcW w:w="852"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r>
      <w:tr w:rsidR="00B45DD4" w:rsidTr="009B20E7">
        <w:tc>
          <w:tcPr>
            <w:tcW w:w="1559" w:type="dxa"/>
          </w:tcPr>
          <w:p w:rsidR="00B45DD4" w:rsidRPr="00E913BF" w:rsidRDefault="00B45DD4" w:rsidP="00FF6CB1">
            <w:pPr>
              <w:spacing w:after="100" w:afterAutospacing="1"/>
              <w:jc w:val="both"/>
              <w:rPr>
                <w:b/>
              </w:rPr>
            </w:pPr>
            <w:proofErr w:type="spellStart"/>
            <w:r w:rsidRPr="00E913BF">
              <w:rPr>
                <w:b/>
              </w:rPr>
              <w:t>tGolgi</w:t>
            </w:r>
            <w:proofErr w:type="spellEnd"/>
          </w:p>
        </w:tc>
        <w:tc>
          <w:tcPr>
            <w:tcW w:w="668" w:type="dxa"/>
          </w:tcPr>
          <w:p w:rsidR="00B45DD4" w:rsidRDefault="00B45DD4" w:rsidP="00FF6CB1">
            <w:pPr>
              <w:spacing w:after="100" w:afterAutospacing="1"/>
              <w:jc w:val="both"/>
            </w:pPr>
          </w:p>
        </w:tc>
        <w:tc>
          <w:tcPr>
            <w:tcW w:w="1040" w:type="dxa"/>
          </w:tcPr>
          <w:p w:rsidR="00B45DD4" w:rsidRDefault="00B45DD4" w:rsidP="00FF6CB1">
            <w:pPr>
              <w:spacing w:after="100" w:afterAutospacing="1"/>
              <w:jc w:val="both"/>
            </w:pPr>
          </w:p>
        </w:tc>
        <w:tc>
          <w:tcPr>
            <w:tcW w:w="866" w:type="dxa"/>
          </w:tcPr>
          <w:p w:rsidR="00B45DD4" w:rsidRDefault="00B45DD4" w:rsidP="00FF6CB1">
            <w:pPr>
              <w:spacing w:after="100" w:afterAutospacing="1"/>
              <w:jc w:val="both"/>
            </w:pPr>
          </w:p>
        </w:tc>
        <w:tc>
          <w:tcPr>
            <w:tcW w:w="970" w:type="dxa"/>
          </w:tcPr>
          <w:p w:rsidR="00B45DD4" w:rsidRDefault="00B45DD4" w:rsidP="00FF6CB1">
            <w:pPr>
              <w:spacing w:after="100" w:afterAutospacing="1"/>
              <w:jc w:val="both"/>
            </w:pPr>
          </w:p>
        </w:tc>
        <w:tc>
          <w:tcPr>
            <w:tcW w:w="806" w:type="dxa"/>
          </w:tcPr>
          <w:p w:rsidR="00B45DD4" w:rsidRDefault="00B45DD4" w:rsidP="00FF6CB1">
            <w:pPr>
              <w:spacing w:after="100" w:afterAutospacing="1"/>
              <w:jc w:val="both"/>
            </w:pPr>
            <w:r>
              <w:t>1/0.8</w:t>
            </w:r>
          </w:p>
        </w:tc>
        <w:tc>
          <w:tcPr>
            <w:tcW w:w="845" w:type="dxa"/>
          </w:tcPr>
          <w:p w:rsidR="00B45DD4" w:rsidRDefault="00B45DD4" w:rsidP="00FF6CB1">
            <w:pPr>
              <w:spacing w:after="100" w:afterAutospacing="1"/>
              <w:jc w:val="both"/>
            </w:pPr>
          </w:p>
        </w:tc>
        <w:tc>
          <w:tcPr>
            <w:tcW w:w="899" w:type="dxa"/>
          </w:tcPr>
          <w:p w:rsidR="00B45DD4" w:rsidRDefault="00B45DD4" w:rsidP="00FF6CB1">
            <w:pPr>
              <w:spacing w:after="100" w:afterAutospacing="1"/>
              <w:jc w:val="both"/>
            </w:pPr>
          </w:p>
        </w:tc>
        <w:tc>
          <w:tcPr>
            <w:tcW w:w="852"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r>
      <w:tr w:rsidR="00B45DD4" w:rsidTr="009B20E7">
        <w:tc>
          <w:tcPr>
            <w:tcW w:w="1559" w:type="dxa"/>
          </w:tcPr>
          <w:p w:rsidR="00B45DD4" w:rsidRPr="00E913BF" w:rsidRDefault="00B45DD4" w:rsidP="00FF6CB1">
            <w:pPr>
              <w:spacing w:after="100" w:afterAutospacing="1"/>
              <w:jc w:val="both"/>
              <w:rPr>
                <w:b/>
              </w:rPr>
            </w:pPr>
            <w:proofErr w:type="spellStart"/>
            <w:r w:rsidRPr="00E913BF">
              <w:rPr>
                <w:b/>
              </w:rPr>
              <w:t>mGolgi</w:t>
            </w:r>
            <w:proofErr w:type="spellEnd"/>
          </w:p>
        </w:tc>
        <w:tc>
          <w:tcPr>
            <w:tcW w:w="668" w:type="dxa"/>
          </w:tcPr>
          <w:p w:rsidR="00B45DD4" w:rsidRDefault="00B45DD4" w:rsidP="00FF6CB1">
            <w:pPr>
              <w:spacing w:after="100" w:afterAutospacing="1"/>
              <w:jc w:val="both"/>
            </w:pPr>
          </w:p>
        </w:tc>
        <w:tc>
          <w:tcPr>
            <w:tcW w:w="1040" w:type="dxa"/>
          </w:tcPr>
          <w:p w:rsidR="00B45DD4" w:rsidRDefault="00B45DD4" w:rsidP="00FF6CB1">
            <w:pPr>
              <w:spacing w:after="100" w:afterAutospacing="1"/>
              <w:jc w:val="both"/>
            </w:pPr>
          </w:p>
        </w:tc>
        <w:tc>
          <w:tcPr>
            <w:tcW w:w="866" w:type="dxa"/>
          </w:tcPr>
          <w:p w:rsidR="00B45DD4" w:rsidRDefault="00B45DD4" w:rsidP="00FF6CB1">
            <w:pPr>
              <w:spacing w:after="100" w:afterAutospacing="1"/>
              <w:jc w:val="both"/>
            </w:pPr>
          </w:p>
        </w:tc>
        <w:tc>
          <w:tcPr>
            <w:tcW w:w="970" w:type="dxa"/>
          </w:tcPr>
          <w:p w:rsidR="00B45DD4" w:rsidRDefault="00B45DD4" w:rsidP="00FF6CB1">
            <w:pPr>
              <w:spacing w:after="100" w:afterAutospacing="1"/>
              <w:jc w:val="both"/>
            </w:pPr>
          </w:p>
        </w:tc>
        <w:tc>
          <w:tcPr>
            <w:tcW w:w="806"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r>
              <w:t>1/0.8</w:t>
            </w:r>
          </w:p>
        </w:tc>
        <w:tc>
          <w:tcPr>
            <w:tcW w:w="899" w:type="dxa"/>
          </w:tcPr>
          <w:p w:rsidR="00B45DD4" w:rsidRDefault="00B45DD4" w:rsidP="00FF6CB1">
            <w:pPr>
              <w:spacing w:after="100" w:afterAutospacing="1"/>
              <w:jc w:val="both"/>
            </w:pPr>
          </w:p>
        </w:tc>
        <w:tc>
          <w:tcPr>
            <w:tcW w:w="852"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r>
      <w:tr w:rsidR="00B45DD4" w:rsidTr="009B20E7">
        <w:tc>
          <w:tcPr>
            <w:tcW w:w="1559" w:type="dxa"/>
          </w:tcPr>
          <w:p w:rsidR="00B45DD4" w:rsidRPr="00E913BF" w:rsidRDefault="00B45DD4" w:rsidP="00FF6CB1">
            <w:pPr>
              <w:spacing w:after="100" w:afterAutospacing="1"/>
              <w:jc w:val="both"/>
              <w:rPr>
                <w:b/>
              </w:rPr>
            </w:pPr>
            <w:proofErr w:type="spellStart"/>
            <w:r w:rsidRPr="00E913BF">
              <w:rPr>
                <w:b/>
              </w:rPr>
              <w:t>cGolgi</w:t>
            </w:r>
            <w:proofErr w:type="spellEnd"/>
          </w:p>
        </w:tc>
        <w:tc>
          <w:tcPr>
            <w:tcW w:w="668" w:type="dxa"/>
          </w:tcPr>
          <w:p w:rsidR="00B45DD4" w:rsidRDefault="00B45DD4" w:rsidP="00FF6CB1">
            <w:pPr>
              <w:spacing w:after="100" w:afterAutospacing="1"/>
              <w:jc w:val="both"/>
            </w:pPr>
          </w:p>
        </w:tc>
        <w:tc>
          <w:tcPr>
            <w:tcW w:w="1040" w:type="dxa"/>
          </w:tcPr>
          <w:p w:rsidR="00B45DD4" w:rsidRDefault="00B45DD4" w:rsidP="00FF6CB1">
            <w:pPr>
              <w:spacing w:after="100" w:afterAutospacing="1"/>
              <w:jc w:val="both"/>
            </w:pPr>
          </w:p>
        </w:tc>
        <w:tc>
          <w:tcPr>
            <w:tcW w:w="866" w:type="dxa"/>
          </w:tcPr>
          <w:p w:rsidR="00B45DD4" w:rsidRDefault="00B45DD4" w:rsidP="00FF6CB1">
            <w:pPr>
              <w:spacing w:after="100" w:afterAutospacing="1"/>
              <w:jc w:val="both"/>
            </w:pPr>
          </w:p>
        </w:tc>
        <w:tc>
          <w:tcPr>
            <w:tcW w:w="970" w:type="dxa"/>
          </w:tcPr>
          <w:p w:rsidR="00B45DD4" w:rsidRDefault="00B45DD4" w:rsidP="00FF6CB1">
            <w:pPr>
              <w:spacing w:after="100" w:afterAutospacing="1"/>
              <w:jc w:val="both"/>
            </w:pPr>
          </w:p>
        </w:tc>
        <w:tc>
          <w:tcPr>
            <w:tcW w:w="806"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c>
          <w:tcPr>
            <w:tcW w:w="899" w:type="dxa"/>
          </w:tcPr>
          <w:p w:rsidR="00B45DD4" w:rsidRDefault="00B45DD4" w:rsidP="00FF6CB1">
            <w:pPr>
              <w:spacing w:after="100" w:afterAutospacing="1"/>
              <w:jc w:val="both"/>
            </w:pPr>
            <w:r>
              <w:t>1/0.8</w:t>
            </w:r>
          </w:p>
        </w:tc>
        <w:tc>
          <w:tcPr>
            <w:tcW w:w="852"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r>
      <w:tr w:rsidR="00B45DD4" w:rsidTr="009B20E7">
        <w:tc>
          <w:tcPr>
            <w:tcW w:w="1559" w:type="dxa"/>
          </w:tcPr>
          <w:p w:rsidR="00B45DD4" w:rsidRPr="00E913BF" w:rsidRDefault="00B45DD4" w:rsidP="00FF6CB1">
            <w:pPr>
              <w:spacing w:after="100" w:afterAutospacing="1"/>
              <w:jc w:val="both"/>
              <w:rPr>
                <w:b/>
              </w:rPr>
            </w:pPr>
            <w:r w:rsidRPr="00E913BF">
              <w:rPr>
                <w:b/>
              </w:rPr>
              <w:t>ERGIC</w:t>
            </w:r>
          </w:p>
        </w:tc>
        <w:tc>
          <w:tcPr>
            <w:tcW w:w="668" w:type="dxa"/>
          </w:tcPr>
          <w:p w:rsidR="00B45DD4" w:rsidRDefault="00B45DD4" w:rsidP="00FF6CB1">
            <w:pPr>
              <w:spacing w:after="100" w:afterAutospacing="1"/>
              <w:jc w:val="both"/>
            </w:pPr>
          </w:p>
        </w:tc>
        <w:tc>
          <w:tcPr>
            <w:tcW w:w="1040" w:type="dxa"/>
          </w:tcPr>
          <w:p w:rsidR="00B45DD4" w:rsidRDefault="00B45DD4" w:rsidP="00FF6CB1">
            <w:pPr>
              <w:spacing w:after="100" w:afterAutospacing="1"/>
              <w:jc w:val="both"/>
            </w:pPr>
          </w:p>
        </w:tc>
        <w:tc>
          <w:tcPr>
            <w:tcW w:w="866" w:type="dxa"/>
          </w:tcPr>
          <w:p w:rsidR="00B45DD4" w:rsidRDefault="00B45DD4" w:rsidP="00FF6CB1">
            <w:pPr>
              <w:spacing w:after="100" w:afterAutospacing="1"/>
              <w:jc w:val="both"/>
            </w:pPr>
          </w:p>
        </w:tc>
        <w:tc>
          <w:tcPr>
            <w:tcW w:w="970" w:type="dxa"/>
          </w:tcPr>
          <w:p w:rsidR="00B45DD4" w:rsidRDefault="00B45DD4" w:rsidP="00FF6CB1">
            <w:pPr>
              <w:spacing w:after="100" w:afterAutospacing="1"/>
              <w:jc w:val="both"/>
            </w:pPr>
          </w:p>
        </w:tc>
        <w:tc>
          <w:tcPr>
            <w:tcW w:w="806" w:type="dxa"/>
          </w:tcPr>
          <w:p w:rsidR="00B45DD4" w:rsidRDefault="00B45DD4" w:rsidP="00FF6CB1">
            <w:pPr>
              <w:spacing w:after="100" w:afterAutospacing="1"/>
              <w:jc w:val="both"/>
            </w:pPr>
          </w:p>
        </w:tc>
        <w:tc>
          <w:tcPr>
            <w:tcW w:w="845" w:type="dxa"/>
          </w:tcPr>
          <w:p w:rsidR="00B45DD4" w:rsidRDefault="00B45DD4" w:rsidP="00FF6CB1">
            <w:pPr>
              <w:spacing w:after="100" w:afterAutospacing="1"/>
              <w:jc w:val="both"/>
            </w:pPr>
          </w:p>
        </w:tc>
        <w:tc>
          <w:tcPr>
            <w:tcW w:w="899" w:type="dxa"/>
          </w:tcPr>
          <w:p w:rsidR="00B45DD4" w:rsidRDefault="00B45DD4" w:rsidP="00FF6CB1">
            <w:pPr>
              <w:spacing w:after="100" w:afterAutospacing="1"/>
              <w:jc w:val="both"/>
            </w:pPr>
          </w:p>
        </w:tc>
        <w:tc>
          <w:tcPr>
            <w:tcW w:w="852" w:type="dxa"/>
          </w:tcPr>
          <w:p w:rsidR="00B45DD4" w:rsidRDefault="00B45DD4" w:rsidP="00FF6CB1">
            <w:pPr>
              <w:spacing w:after="100" w:afterAutospacing="1"/>
              <w:jc w:val="both"/>
            </w:pPr>
            <w:r>
              <w:t>1/0.8</w:t>
            </w:r>
          </w:p>
        </w:tc>
        <w:tc>
          <w:tcPr>
            <w:tcW w:w="845" w:type="dxa"/>
          </w:tcPr>
          <w:p w:rsidR="00B45DD4" w:rsidRDefault="00B45DD4" w:rsidP="00FF6CB1">
            <w:pPr>
              <w:spacing w:after="100" w:afterAutospacing="1"/>
              <w:jc w:val="both"/>
            </w:pPr>
          </w:p>
        </w:tc>
      </w:tr>
    </w:tbl>
    <w:p w:rsidR="00940998" w:rsidRDefault="009B20E7" w:rsidP="00FF6CB1">
      <w:pPr>
        <w:spacing w:after="100" w:afterAutospacing="1" w:line="240" w:lineRule="auto"/>
        <w:jc w:val="both"/>
      </w:pPr>
      <w:r w:rsidRPr="009B20E7">
        <w:rPr>
          <w:vertAlign w:val="superscript"/>
        </w:rPr>
        <w:t>*</w:t>
      </w:r>
      <w:r w:rsidR="00EA39B0">
        <w:t>The numbers indicate</w:t>
      </w:r>
      <w:r>
        <w:t xml:space="preserve"> “maturation probability” / “proportion of the </w:t>
      </w:r>
      <w:r w:rsidRPr="009B20E7">
        <w:t>area that matures”</w:t>
      </w:r>
    </w:p>
    <w:p w:rsidR="00EA39B0" w:rsidRPr="00EA39B0" w:rsidRDefault="00EA39B0" w:rsidP="00A61870">
      <w:pPr>
        <w:pStyle w:val="ListParagraph"/>
        <w:numPr>
          <w:ilvl w:val="0"/>
          <w:numId w:val="3"/>
        </w:numPr>
        <w:spacing w:after="100" w:afterAutospacing="1" w:line="240" w:lineRule="auto"/>
        <w:jc w:val="both"/>
        <w:rPr>
          <w:b/>
        </w:rPr>
      </w:pPr>
      <w:r w:rsidRPr="00EA39B0">
        <w:rPr>
          <w:b/>
        </w:rPr>
        <w:t>Vesicle and Tubule Budding and Cargo Sorting</w:t>
      </w:r>
    </w:p>
    <w:p w:rsidR="00FF6CB1" w:rsidRDefault="00EA39B0" w:rsidP="00FF6CB1">
      <w:pPr>
        <w:spacing w:after="100" w:afterAutospacing="1" w:line="240" w:lineRule="auto"/>
        <w:jc w:val="both"/>
        <w:rPr>
          <w:b/>
        </w:rPr>
      </w:pPr>
      <w:r>
        <w:t>Vesicles and tubules may bud from an organelle. These structures carry a single membrane domain that facilitates the sorting of both membranes and cargoes. Whenever a fission event occurs, membrane-associated cargoes (e.g., R, R-</w:t>
      </w:r>
      <w:proofErr w:type="spellStart"/>
      <w:r>
        <w:t>Tf</w:t>
      </w:r>
      <w:proofErr w:type="spellEnd"/>
      <w:r>
        <w:t>, and R-</w:t>
      </w:r>
      <w:proofErr w:type="spellStart"/>
      <w:r>
        <w:t>Tf.Fe</w:t>
      </w:r>
      <w:proofErr w:type="spellEnd"/>
      <w:r>
        <w:t xml:space="preserve">) are partitioned among the resulting organelles according to their affinity for specific membrane domains. In cases where no specific affinity is defined, the cargoes are distributed proportionally to the area of the resulting organelles. Soluble cargoes (Fe, </w:t>
      </w:r>
      <w:proofErr w:type="spellStart"/>
      <w:r>
        <w:t>Tf</w:t>
      </w:r>
      <w:proofErr w:type="spellEnd"/>
      <w:r>
        <w:t xml:space="preserve">, </w:t>
      </w:r>
      <w:proofErr w:type="spellStart"/>
      <w:proofErr w:type="gramStart"/>
      <w:r>
        <w:t>Tf.Fe</w:t>
      </w:r>
      <w:proofErr w:type="spellEnd"/>
      <w:proofErr w:type="gramEnd"/>
      <w:r>
        <w:t>) are distributed according to the volume of the resulting organelles.</w:t>
      </w:r>
      <w:r w:rsidR="00FF6CB1" w:rsidRPr="00FF6CB1">
        <w:rPr>
          <w:b/>
        </w:rPr>
        <w:t xml:space="preserve"> </w:t>
      </w:r>
    </w:p>
    <w:p w:rsidR="00891760" w:rsidRPr="00A61870" w:rsidRDefault="00FF6CB1" w:rsidP="00FF6CB1">
      <w:pPr>
        <w:spacing w:after="100" w:afterAutospacing="1" w:line="240" w:lineRule="auto"/>
        <w:jc w:val="both"/>
        <w:rPr>
          <w:b/>
        </w:rPr>
      </w:pPr>
      <w:r>
        <w:rPr>
          <w:b/>
        </w:rPr>
        <w:t xml:space="preserve">Table 5. </w:t>
      </w:r>
      <w:r w:rsidRPr="00EA39B0">
        <w:rPr>
          <w:b/>
        </w:rPr>
        <w:t>Properties of molecules or complexes for sorting during fission</w:t>
      </w:r>
    </w:p>
    <w:tbl>
      <w:tblPr>
        <w:tblStyle w:val="TableGrid"/>
        <w:tblpPr w:leftFromText="180" w:rightFromText="180" w:vertAnchor="text" w:horzAnchor="margin" w:tblpY="370"/>
        <w:tblW w:w="0" w:type="auto"/>
        <w:tblLook w:val="04A0" w:firstRow="1" w:lastRow="0" w:firstColumn="1" w:lastColumn="0" w:noHBand="0" w:noVBand="1"/>
      </w:tblPr>
      <w:tblGrid>
        <w:gridCol w:w="2335"/>
        <w:gridCol w:w="871"/>
      </w:tblGrid>
      <w:tr w:rsidR="00A6368B" w:rsidTr="00A6368B">
        <w:tc>
          <w:tcPr>
            <w:tcW w:w="2335" w:type="dxa"/>
          </w:tcPr>
          <w:p w:rsidR="00A6368B" w:rsidRPr="00E913BF" w:rsidRDefault="00A6368B" w:rsidP="00FF6CB1">
            <w:pPr>
              <w:spacing w:after="100" w:afterAutospacing="1"/>
              <w:jc w:val="both"/>
              <w:rPr>
                <w:b/>
              </w:rPr>
            </w:pPr>
            <w:r w:rsidRPr="00E913BF">
              <w:rPr>
                <w:b/>
              </w:rPr>
              <w:t>Molecule/complex</w:t>
            </w:r>
          </w:p>
        </w:tc>
        <w:tc>
          <w:tcPr>
            <w:tcW w:w="860" w:type="dxa"/>
          </w:tcPr>
          <w:p w:rsidR="00A6368B" w:rsidRPr="00E913BF" w:rsidRDefault="00A6368B" w:rsidP="00FF6CB1">
            <w:pPr>
              <w:spacing w:after="100" w:afterAutospacing="1"/>
              <w:jc w:val="both"/>
              <w:rPr>
                <w:b/>
              </w:rPr>
            </w:pPr>
            <w:r w:rsidRPr="00E913BF">
              <w:rPr>
                <w:b/>
              </w:rPr>
              <w:t>affinity</w:t>
            </w:r>
          </w:p>
        </w:tc>
      </w:tr>
      <w:tr w:rsidR="00A6368B" w:rsidTr="00A6368B">
        <w:tc>
          <w:tcPr>
            <w:tcW w:w="2335" w:type="dxa"/>
          </w:tcPr>
          <w:p w:rsidR="00A6368B" w:rsidRPr="00E913BF" w:rsidRDefault="00A6368B" w:rsidP="00FF6CB1">
            <w:pPr>
              <w:spacing w:after="100" w:afterAutospacing="1"/>
              <w:jc w:val="both"/>
              <w:rPr>
                <w:b/>
              </w:rPr>
            </w:pPr>
            <w:r w:rsidRPr="00E913BF">
              <w:rPr>
                <w:b/>
              </w:rPr>
              <w:t>R-</w:t>
            </w:r>
            <w:proofErr w:type="spellStart"/>
            <w:r w:rsidRPr="00E913BF">
              <w:rPr>
                <w:b/>
              </w:rPr>
              <w:t>Tf.Fe</w:t>
            </w:r>
            <w:proofErr w:type="spellEnd"/>
          </w:p>
        </w:tc>
        <w:tc>
          <w:tcPr>
            <w:tcW w:w="860" w:type="dxa"/>
          </w:tcPr>
          <w:p w:rsidR="00A6368B" w:rsidRDefault="00A6368B" w:rsidP="00FF6CB1">
            <w:pPr>
              <w:spacing w:after="100" w:afterAutospacing="1"/>
              <w:jc w:val="both"/>
            </w:pPr>
            <w:r>
              <w:t>SE, RE</w:t>
            </w:r>
          </w:p>
        </w:tc>
      </w:tr>
      <w:tr w:rsidR="00A6368B" w:rsidTr="00A6368B">
        <w:tc>
          <w:tcPr>
            <w:tcW w:w="2335" w:type="dxa"/>
          </w:tcPr>
          <w:p w:rsidR="00A6368B" w:rsidRPr="00E913BF" w:rsidRDefault="00A6368B" w:rsidP="00FF6CB1">
            <w:pPr>
              <w:spacing w:after="100" w:afterAutospacing="1"/>
              <w:jc w:val="both"/>
              <w:rPr>
                <w:b/>
              </w:rPr>
            </w:pPr>
            <w:r w:rsidRPr="00E913BF">
              <w:rPr>
                <w:b/>
              </w:rPr>
              <w:t>R-</w:t>
            </w:r>
            <w:proofErr w:type="spellStart"/>
            <w:r w:rsidRPr="00E913BF">
              <w:rPr>
                <w:b/>
              </w:rPr>
              <w:t>Tf</w:t>
            </w:r>
            <w:proofErr w:type="spellEnd"/>
          </w:p>
        </w:tc>
        <w:tc>
          <w:tcPr>
            <w:tcW w:w="860" w:type="dxa"/>
          </w:tcPr>
          <w:p w:rsidR="00A6368B" w:rsidRDefault="00A6368B" w:rsidP="00FF6CB1">
            <w:pPr>
              <w:spacing w:after="100" w:afterAutospacing="1"/>
              <w:jc w:val="both"/>
            </w:pPr>
            <w:r>
              <w:t>SE, RE</w:t>
            </w:r>
          </w:p>
        </w:tc>
      </w:tr>
      <w:tr w:rsidR="00A6368B" w:rsidTr="00A6368B">
        <w:tc>
          <w:tcPr>
            <w:tcW w:w="2335" w:type="dxa"/>
          </w:tcPr>
          <w:p w:rsidR="00A6368B" w:rsidRPr="00E913BF" w:rsidRDefault="00A6368B" w:rsidP="00FF6CB1">
            <w:pPr>
              <w:spacing w:after="100" w:afterAutospacing="1"/>
              <w:jc w:val="both"/>
              <w:rPr>
                <w:b/>
              </w:rPr>
            </w:pPr>
            <w:r w:rsidRPr="00E913BF">
              <w:rPr>
                <w:b/>
              </w:rPr>
              <w:t>R</w:t>
            </w:r>
          </w:p>
        </w:tc>
        <w:tc>
          <w:tcPr>
            <w:tcW w:w="860" w:type="dxa"/>
          </w:tcPr>
          <w:p w:rsidR="00A6368B" w:rsidRDefault="00A6368B" w:rsidP="00FF6CB1">
            <w:pPr>
              <w:spacing w:after="100" w:afterAutospacing="1"/>
              <w:jc w:val="both"/>
            </w:pPr>
            <w:r>
              <w:t>SE, RE</w:t>
            </w:r>
          </w:p>
        </w:tc>
      </w:tr>
      <w:tr w:rsidR="00A6368B" w:rsidTr="00A6368B">
        <w:tc>
          <w:tcPr>
            <w:tcW w:w="2335" w:type="dxa"/>
          </w:tcPr>
          <w:p w:rsidR="00A6368B" w:rsidRPr="00E913BF" w:rsidRDefault="002A2A12" w:rsidP="00FF6CB1">
            <w:pPr>
              <w:spacing w:after="100" w:afterAutospacing="1"/>
              <w:jc w:val="both"/>
              <w:rPr>
                <w:b/>
              </w:rPr>
            </w:pPr>
            <w:r>
              <w:rPr>
                <w:b/>
              </w:rPr>
              <w:lastRenderedPageBreak/>
              <w:t>Labelled R</w:t>
            </w:r>
          </w:p>
        </w:tc>
        <w:tc>
          <w:tcPr>
            <w:tcW w:w="860" w:type="dxa"/>
          </w:tcPr>
          <w:p w:rsidR="00A6368B" w:rsidRDefault="00A6368B" w:rsidP="00FF6CB1">
            <w:pPr>
              <w:spacing w:after="100" w:afterAutospacing="1"/>
              <w:jc w:val="both"/>
            </w:pPr>
            <w:r>
              <w:t>SE, RE</w:t>
            </w:r>
          </w:p>
        </w:tc>
      </w:tr>
      <w:tr w:rsidR="00A6368B" w:rsidTr="00A6368B">
        <w:tc>
          <w:tcPr>
            <w:tcW w:w="2335" w:type="dxa"/>
          </w:tcPr>
          <w:p w:rsidR="00A6368B" w:rsidRPr="00E913BF" w:rsidRDefault="00A6368B" w:rsidP="00FF6CB1">
            <w:pPr>
              <w:spacing w:after="100" w:afterAutospacing="1"/>
              <w:jc w:val="both"/>
              <w:rPr>
                <w:b/>
              </w:rPr>
            </w:pPr>
            <w:proofErr w:type="spellStart"/>
            <w:r w:rsidRPr="00E913BF">
              <w:rPr>
                <w:b/>
              </w:rPr>
              <w:t>Tf.Fe</w:t>
            </w:r>
            <w:proofErr w:type="spellEnd"/>
          </w:p>
        </w:tc>
        <w:tc>
          <w:tcPr>
            <w:tcW w:w="860" w:type="dxa"/>
          </w:tcPr>
          <w:p w:rsidR="00A6368B" w:rsidRDefault="00A6368B" w:rsidP="00FF6CB1">
            <w:pPr>
              <w:spacing w:after="100" w:afterAutospacing="1"/>
              <w:jc w:val="both"/>
            </w:pPr>
            <w:r>
              <w:t>soluble</w:t>
            </w:r>
          </w:p>
        </w:tc>
      </w:tr>
      <w:tr w:rsidR="00A6368B" w:rsidTr="00A6368B">
        <w:tc>
          <w:tcPr>
            <w:tcW w:w="2335" w:type="dxa"/>
          </w:tcPr>
          <w:p w:rsidR="00A6368B" w:rsidRPr="00E913BF" w:rsidRDefault="00A6368B" w:rsidP="00FF6CB1">
            <w:pPr>
              <w:spacing w:after="100" w:afterAutospacing="1"/>
              <w:jc w:val="both"/>
              <w:rPr>
                <w:b/>
              </w:rPr>
            </w:pPr>
            <w:proofErr w:type="spellStart"/>
            <w:r w:rsidRPr="00E913BF">
              <w:rPr>
                <w:b/>
              </w:rPr>
              <w:t>Tf</w:t>
            </w:r>
            <w:proofErr w:type="spellEnd"/>
          </w:p>
        </w:tc>
        <w:tc>
          <w:tcPr>
            <w:tcW w:w="860" w:type="dxa"/>
          </w:tcPr>
          <w:p w:rsidR="00A6368B" w:rsidRDefault="00A6368B" w:rsidP="00FF6CB1">
            <w:pPr>
              <w:spacing w:after="100" w:afterAutospacing="1"/>
              <w:jc w:val="both"/>
            </w:pPr>
            <w:r>
              <w:t>soluble</w:t>
            </w:r>
          </w:p>
        </w:tc>
      </w:tr>
      <w:tr w:rsidR="00A6368B" w:rsidTr="00A6368B">
        <w:tc>
          <w:tcPr>
            <w:tcW w:w="2335" w:type="dxa"/>
          </w:tcPr>
          <w:p w:rsidR="00A6368B" w:rsidRPr="00E913BF" w:rsidRDefault="00A6368B" w:rsidP="00FF6CB1">
            <w:pPr>
              <w:spacing w:after="100" w:afterAutospacing="1"/>
              <w:jc w:val="both"/>
              <w:rPr>
                <w:b/>
              </w:rPr>
            </w:pPr>
            <w:r w:rsidRPr="00E913BF">
              <w:rPr>
                <w:b/>
              </w:rPr>
              <w:t>Fe</w:t>
            </w:r>
          </w:p>
        </w:tc>
        <w:tc>
          <w:tcPr>
            <w:tcW w:w="860" w:type="dxa"/>
          </w:tcPr>
          <w:p w:rsidR="00A6368B" w:rsidRDefault="00A6368B" w:rsidP="00FF6CB1">
            <w:pPr>
              <w:spacing w:after="100" w:afterAutospacing="1"/>
              <w:jc w:val="both"/>
            </w:pPr>
            <w:r>
              <w:t>soluble</w:t>
            </w:r>
          </w:p>
        </w:tc>
      </w:tr>
    </w:tbl>
    <w:p w:rsidR="00FF6CB1" w:rsidRDefault="00FF6CB1" w:rsidP="00FF6CB1">
      <w:pPr>
        <w:spacing w:after="100" w:afterAutospacing="1" w:line="240" w:lineRule="auto"/>
      </w:pPr>
    </w:p>
    <w:p w:rsidR="00FF6CB1" w:rsidRDefault="00FF6CB1" w:rsidP="00FF6CB1">
      <w:pPr>
        <w:spacing w:after="100" w:afterAutospacing="1" w:line="240" w:lineRule="auto"/>
        <w:jc w:val="both"/>
        <w:outlineLvl w:val="2"/>
        <w:rPr>
          <w:rFonts w:ascii="Calibri" w:eastAsia="Times New Roman" w:hAnsi="Calibri" w:cs="Calibri"/>
          <w:b/>
          <w:bCs/>
        </w:rPr>
      </w:pPr>
    </w:p>
    <w:p w:rsidR="00FF6CB1" w:rsidRDefault="00FF6CB1" w:rsidP="00FF6CB1">
      <w:pPr>
        <w:spacing w:after="100" w:afterAutospacing="1" w:line="240" w:lineRule="auto"/>
        <w:jc w:val="both"/>
        <w:outlineLvl w:val="2"/>
        <w:rPr>
          <w:rFonts w:ascii="Calibri" w:eastAsia="Times New Roman" w:hAnsi="Calibri" w:cs="Calibri"/>
          <w:b/>
          <w:bCs/>
        </w:rPr>
      </w:pPr>
    </w:p>
    <w:p w:rsidR="00FF6CB1" w:rsidRPr="00A61870" w:rsidRDefault="00FF6CB1" w:rsidP="00A61870">
      <w:pPr>
        <w:pStyle w:val="ListParagraph"/>
        <w:numPr>
          <w:ilvl w:val="0"/>
          <w:numId w:val="3"/>
        </w:numPr>
        <w:spacing w:after="100" w:afterAutospacing="1" w:line="240" w:lineRule="auto"/>
        <w:jc w:val="both"/>
        <w:outlineLvl w:val="2"/>
        <w:rPr>
          <w:rFonts w:ascii="Calibri" w:eastAsia="Times New Roman" w:hAnsi="Calibri" w:cs="Calibri"/>
          <w:b/>
          <w:bCs/>
        </w:rPr>
      </w:pPr>
      <w:r w:rsidRPr="00A61870">
        <w:rPr>
          <w:rFonts w:ascii="Calibri" w:eastAsia="Times New Roman" w:hAnsi="Calibri" w:cs="Calibri"/>
          <w:b/>
          <w:bCs/>
        </w:rPr>
        <w:t>Organelle Movement in 2D Space</w:t>
      </w:r>
    </w:p>
    <w:p w:rsidR="00FF6CB1" w:rsidRPr="00EA39B0" w:rsidRDefault="00FF6CB1" w:rsidP="00FF6CB1">
      <w:pPr>
        <w:spacing w:after="100" w:afterAutospacing="1" w:line="240" w:lineRule="auto"/>
        <w:jc w:val="both"/>
        <w:rPr>
          <w:rFonts w:ascii="Calibri" w:eastAsia="Times New Roman" w:hAnsi="Calibri" w:cs="Calibri"/>
        </w:rPr>
      </w:pPr>
      <w:r w:rsidRPr="00EA39B0">
        <w:rPr>
          <w:rFonts w:ascii="Calibri" w:eastAsia="Times New Roman" w:hAnsi="Calibri" w:cs="Calibri"/>
        </w:rPr>
        <w:t>In two-dimensional space, organelles move randomly unless they are near a microtubule (MT). When an organelle is close to an MT, it attaches with a given probability and then moves either toward the plasma membrane or toward the microtubule orga</w:t>
      </w:r>
      <w:r>
        <w:rPr>
          <w:rFonts w:ascii="Calibri" w:eastAsia="Times New Roman" w:hAnsi="Calibri" w:cs="Calibri"/>
        </w:rPr>
        <w:t>nizing center. Note that budding tubules or vesicles</w:t>
      </w:r>
      <w:r w:rsidRPr="00EA39B0">
        <w:rPr>
          <w:rFonts w:ascii="Calibri" w:eastAsia="Times New Roman" w:hAnsi="Calibri" w:cs="Calibri"/>
        </w:rPr>
        <w:t xml:space="preserve"> and </w:t>
      </w:r>
      <w:r>
        <w:rPr>
          <w:rFonts w:ascii="Calibri" w:eastAsia="Times New Roman" w:hAnsi="Calibri" w:cs="Calibri"/>
        </w:rPr>
        <w:t>the remaining organelle</w:t>
      </w:r>
      <w:r w:rsidRPr="00EA39B0">
        <w:rPr>
          <w:rFonts w:ascii="Calibri" w:eastAsia="Times New Roman" w:hAnsi="Calibri" w:cs="Calibri"/>
        </w:rPr>
        <w:t xml:space="preserve"> may exhibit distinct movement behaviors.</w:t>
      </w:r>
    </w:p>
    <w:p w:rsidR="00FF6CB1" w:rsidRDefault="00FF6CB1" w:rsidP="00FF6CB1">
      <w:pPr>
        <w:spacing w:after="100" w:afterAutospacing="1" w:line="240" w:lineRule="auto"/>
        <w:jc w:val="both"/>
      </w:pPr>
      <w:r>
        <w:rPr>
          <w:b/>
        </w:rPr>
        <w:t xml:space="preserve">Table 6. </w:t>
      </w:r>
      <w:r w:rsidRPr="00EA39B0">
        <w:rPr>
          <w:b/>
        </w:rPr>
        <w:t>Probability of movement on microtubules.</w:t>
      </w:r>
      <w:r>
        <w:t xml:space="preserve">  </w:t>
      </w:r>
      <w:r w:rsidRPr="00EA39B0">
        <w:t>Positive values indicate movement toward the plasma membrane, whereas negative values indicate movement toward the microtubule organizing center.</w:t>
      </w:r>
    </w:p>
    <w:tbl>
      <w:tblPr>
        <w:tblStyle w:val="TableGrid"/>
        <w:tblW w:w="0" w:type="auto"/>
        <w:tblInd w:w="-5" w:type="dxa"/>
        <w:tblLook w:val="04A0" w:firstRow="1" w:lastRow="0" w:firstColumn="1" w:lastColumn="0" w:noHBand="0" w:noVBand="1"/>
      </w:tblPr>
      <w:tblGrid>
        <w:gridCol w:w="1559"/>
        <w:gridCol w:w="1520"/>
        <w:gridCol w:w="1074"/>
      </w:tblGrid>
      <w:tr w:rsidR="00FF6CB1" w:rsidTr="00557D1A">
        <w:tc>
          <w:tcPr>
            <w:tcW w:w="1534" w:type="dxa"/>
          </w:tcPr>
          <w:p w:rsidR="00FF6CB1" w:rsidRPr="00E913BF" w:rsidRDefault="00FF6CB1" w:rsidP="00FF6CB1">
            <w:pPr>
              <w:spacing w:after="100" w:afterAutospacing="1"/>
              <w:jc w:val="both"/>
              <w:rPr>
                <w:b/>
              </w:rPr>
            </w:pPr>
            <w:r w:rsidRPr="00E913BF">
              <w:rPr>
                <w:b/>
              </w:rPr>
              <w:t>compartments</w:t>
            </w:r>
          </w:p>
        </w:tc>
        <w:tc>
          <w:tcPr>
            <w:tcW w:w="919" w:type="dxa"/>
          </w:tcPr>
          <w:p w:rsidR="00FF6CB1" w:rsidRPr="00E913BF" w:rsidRDefault="00FF6CB1" w:rsidP="00FF6CB1">
            <w:pPr>
              <w:spacing w:after="100" w:afterAutospacing="1"/>
              <w:jc w:val="both"/>
              <w:rPr>
                <w:b/>
              </w:rPr>
            </w:pPr>
            <w:r w:rsidRPr="00E913BF">
              <w:rPr>
                <w:b/>
              </w:rPr>
              <w:t>tubule</w:t>
            </w:r>
            <w:r>
              <w:rPr>
                <w:b/>
              </w:rPr>
              <w:t>/vesicle</w:t>
            </w:r>
          </w:p>
        </w:tc>
        <w:tc>
          <w:tcPr>
            <w:tcW w:w="919" w:type="dxa"/>
          </w:tcPr>
          <w:p w:rsidR="00FF6CB1" w:rsidRPr="00E913BF" w:rsidRDefault="00FF6CB1" w:rsidP="00FF6CB1">
            <w:pPr>
              <w:spacing w:after="100" w:afterAutospacing="1"/>
              <w:jc w:val="both"/>
              <w:rPr>
                <w:b/>
              </w:rPr>
            </w:pPr>
            <w:r>
              <w:rPr>
                <w:b/>
              </w:rPr>
              <w:t>organelle</w:t>
            </w:r>
          </w:p>
        </w:tc>
      </w:tr>
      <w:tr w:rsidR="00FF6CB1" w:rsidTr="00557D1A">
        <w:tc>
          <w:tcPr>
            <w:tcW w:w="1534" w:type="dxa"/>
          </w:tcPr>
          <w:p w:rsidR="00FF6CB1" w:rsidRPr="00E913BF" w:rsidRDefault="00FF6CB1" w:rsidP="00FF6CB1">
            <w:pPr>
              <w:spacing w:after="100" w:afterAutospacing="1"/>
              <w:jc w:val="both"/>
              <w:rPr>
                <w:b/>
              </w:rPr>
            </w:pPr>
            <w:r w:rsidRPr="00E913BF">
              <w:rPr>
                <w:b/>
              </w:rPr>
              <w:t>EE</w:t>
            </w:r>
          </w:p>
        </w:tc>
        <w:tc>
          <w:tcPr>
            <w:tcW w:w="919" w:type="dxa"/>
          </w:tcPr>
          <w:p w:rsidR="00FF6CB1" w:rsidRDefault="00FF6CB1" w:rsidP="00FF6CB1">
            <w:pPr>
              <w:spacing w:after="100" w:afterAutospacing="1"/>
              <w:jc w:val="center"/>
            </w:pPr>
            <w:r>
              <w:t>1</w:t>
            </w:r>
          </w:p>
        </w:tc>
        <w:tc>
          <w:tcPr>
            <w:tcW w:w="919" w:type="dxa"/>
          </w:tcPr>
          <w:p w:rsidR="00FF6CB1" w:rsidRDefault="00FF6CB1" w:rsidP="00FF6CB1">
            <w:pPr>
              <w:spacing w:after="100" w:afterAutospacing="1"/>
              <w:jc w:val="center"/>
            </w:pPr>
            <w:r>
              <w:t>0</w:t>
            </w:r>
          </w:p>
        </w:tc>
      </w:tr>
      <w:tr w:rsidR="00FF6CB1" w:rsidTr="00557D1A">
        <w:tc>
          <w:tcPr>
            <w:tcW w:w="1534" w:type="dxa"/>
          </w:tcPr>
          <w:p w:rsidR="00FF6CB1" w:rsidRPr="00E913BF" w:rsidRDefault="00FF6CB1" w:rsidP="00FF6CB1">
            <w:pPr>
              <w:spacing w:after="100" w:afterAutospacing="1"/>
              <w:jc w:val="both"/>
              <w:rPr>
                <w:b/>
              </w:rPr>
            </w:pPr>
            <w:r w:rsidRPr="00E913BF">
              <w:rPr>
                <w:b/>
              </w:rPr>
              <w:t>SE</w:t>
            </w:r>
          </w:p>
        </w:tc>
        <w:tc>
          <w:tcPr>
            <w:tcW w:w="919" w:type="dxa"/>
          </w:tcPr>
          <w:p w:rsidR="00FF6CB1" w:rsidRDefault="00FF6CB1" w:rsidP="00FF6CB1">
            <w:pPr>
              <w:spacing w:after="100" w:afterAutospacing="1"/>
              <w:jc w:val="center"/>
            </w:pPr>
            <w:r>
              <w:t>1</w:t>
            </w:r>
          </w:p>
        </w:tc>
        <w:tc>
          <w:tcPr>
            <w:tcW w:w="919" w:type="dxa"/>
          </w:tcPr>
          <w:p w:rsidR="00FF6CB1" w:rsidRDefault="00FF6CB1" w:rsidP="00FF6CB1">
            <w:pPr>
              <w:spacing w:after="100" w:afterAutospacing="1"/>
              <w:jc w:val="center"/>
            </w:pPr>
            <w:r>
              <w:t>1</w:t>
            </w:r>
          </w:p>
        </w:tc>
      </w:tr>
      <w:tr w:rsidR="00FF6CB1" w:rsidTr="00557D1A">
        <w:tc>
          <w:tcPr>
            <w:tcW w:w="1534" w:type="dxa"/>
          </w:tcPr>
          <w:p w:rsidR="00FF6CB1" w:rsidRPr="00E913BF" w:rsidRDefault="00FF6CB1" w:rsidP="00FF6CB1">
            <w:pPr>
              <w:spacing w:after="100" w:afterAutospacing="1"/>
              <w:jc w:val="both"/>
              <w:rPr>
                <w:b/>
              </w:rPr>
            </w:pPr>
            <w:r w:rsidRPr="00E913BF">
              <w:rPr>
                <w:b/>
              </w:rPr>
              <w:t>RE</w:t>
            </w:r>
          </w:p>
        </w:tc>
        <w:tc>
          <w:tcPr>
            <w:tcW w:w="919" w:type="dxa"/>
          </w:tcPr>
          <w:p w:rsidR="00FF6CB1" w:rsidRDefault="00FF6CB1" w:rsidP="00FF6CB1">
            <w:pPr>
              <w:spacing w:after="100" w:afterAutospacing="1"/>
              <w:jc w:val="center"/>
            </w:pPr>
            <w:r>
              <w:t>1</w:t>
            </w:r>
          </w:p>
        </w:tc>
        <w:tc>
          <w:tcPr>
            <w:tcW w:w="919" w:type="dxa"/>
          </w:tcPr>
          <w:p w:rsidR="00FF6CB1" w:rsidRDefault="00FF6CB1" w:rsidP="00FF6CB1">
            <w:pPr>
              <w:spacing w:after="100" w:afterAutospacing="1"/>
              <w:jc w:val="center"/>
            </w:pPr>
            <w:r>
              <w:t>-0.1</w:t>
            </w:r>
          </w:p>
        </w:tc>
      </w:tr>
      <w:tr w:rsidR="00FF6CB1" w:rsidTr="00557D1A">
        <w:tc>
          <w:tcPr>
            <w:tcW w:w="1534" w:type="dxa"/>
          </w:tcPr>
          <w:p w:rsidR="00FF6CB1" w:rsidRPr="00E913BF" w:rsidRDefault="00FF6CB1" w:rsidP="00FF6CB1">
            <w:pPr>
              <w:spacing w:after="100" w:afterAutospacing="1"/>
              <w:jc w:val="both"/>
              <w:rPr>
                <w:b/>
              </w:rPr>
            </w:pPr>
            <w:r w:rsidRPr="00E913BF">
              <w:rPr>
                <w:b/>
              </w:rPr>
              <w:t>LE</w:t>
            </w:r>
          </w:p>
        </w:tc>
        <w:tc>
          <w:tcPr>
            <w:tcW w:w="919" w:type="dxa"/>
          </w:tcPr>
          <w:p w:rsidR="00FF6CB1" w:rsidRDefault="00FF6CB1" w:rsidP="00FF6CB1">
            <w:pPr>
              <w:spacing w:after="100" w:afterAutospacing="1"/>
              <w:jc w:val="center"/>
            </w:pPr>
            <w:r>
              <w:t>-0.5</w:t>
            </w:r>
          </w:p>
        </w:tc>
        <w:tc>
          <w:tcPr>
            <w:tcW w:w="919" w:type="dxa"/>
          </w:tcPr>
          <w:p w:rsidR="00FF6CB1" w:rsidRDefault="00FF6CB1" w:rsidP="00FF6CB1">
            <w:pPr>
              <w:spacing w:after="100" w:afterAutospacing="1"/>
              <w:jc w:val="center"/>
            </w:pPr>
            <w:r>
              <w:t>-1</w:t>
            </w:r>
          </w:p>
        </w:tc>
      </w:tr>
      <w:tr w:rsidR="00FF6CB1" w:rsidTr="00557D1A">
        <w:tc>
          <w:tcPr>
            <w:tcW w:w="1534" w:type="dxa"/>
          </w:tcPr>
          <w:p w:rsidR="00FF6CB1" w:rsidRPr="00E913BF" w:rsidRDefault="00FF6CB1" w:rsidP="00FF6CB1">
            <w:pPr>
              <w:spacing w:after="100" w:afterAutospacing="1"/>
              <w:jc w:val="both"/>
              <w:rPr>
                <w:b/>
              </w:rPr>
            </w:pPr>
            <w:r w:rsidRPr="00E913BF">
              <w:rPr>
                <w:b/>
              </w:rPr>
              <w:t>TGN</w:t>
            </w:r>
          </w:p>
        </w:tc>
        <w:tc>
          <w:tcPr>
            <w:tcW w:w="919" w:type="dxa"/>
          </w:tcPr>
          <w:p w:rsidR="00FF6CB1" w:rsidRDefault="00FF6CB1" w:rsidP="00FF6CB1">
            <w:pPr>
              <w:spacing w:after="100" w:afterAutospacing="1"/>
              <w:jc w:val="center"/>
            </w:pPr>
            <w:r>
              <w:t>1</w:t>
            </w:r>
          </w:p>
        </w:tc>
        <w:tc>
          <w:tcPr>
            <w:tcW w:w="919" w:type="dxa"/>
          </w:tcPr>
          <w:p w:rsidR="00FF6CB1" w:rsidRDefault="00FF6CB1" w:rsidP="00FF6CB1">
            <w:pPr>
              <w:spacing w:after="100" w:afterAutospacing="1"/>
              <w:jc w:val="center"/>
            </w:pPr>
            <w:r>
              <w:t>1</w:t>
            </w:r>
          </w:p>
        </w:tc>
      </w:tr>
      <w:tr w:rsidR="00FF6CB1" w:rsidTr="00557D1A">
        <w:tc>
          <w:tcPr>
            <w:tcW w:w="1534" w:type="dxa"/>
          </w:tcPr>
          <w:p w:rsidR="00FF6CB1" w:rsidRPr="00E913BF" w:rsidRDefault="00FF6CB1" w:rsidP="00FF6CB1">
            <w:pPr>
              <w:spacing w:after="100" w:afterAutospacing="1"/>
              <w:jc w:val="both"/>
              <w:rPr>
                <w:b/>
              </w:rPr>
            </w:pPr>
            <w:proofErr w:type="spellStart"/>
            <w:r w:rsidRPr="00E913BF">
              <w:rPr>
                <w:b/>
              </w:rPr>
              <w:t>tGolgi</w:t>
            </w:r>
            <w:proofErr w:type="spellEnd"/>
          </w:p>
        </w:tc>
        <w:tc>
          <w:tcPr>
            <w:tcW w:w="919" w:type="dxa"/>
          </w:tcPr>
          <w:p w:rsidR="00FF6CB1" w:rsidRDefault="00FF6CB1" w:rsidP="00FF6CB1">
            <w:pPr>
              <w:spacing w:after="100" w:afterAutospacing="1"/>
              <w:jc w:val="center"/>
            </w:pPr>
            <w:r>
              <w:t>-1</w:t>
            </w:r>
          </w:p>
        </w:tc>
        <w:tc>
          <w:tcPr>
            <w:tcW w:w="919" w:type="dxa"/>
          </w:tcPr>
          <w:p w:rsidR="00FF6CB1" w:rsidRDefault="00FF6CB1" w:rsidP="00FF6CB1">
            <w:pPr>
              <w:spacing w:after="100" w:afterAutospacing="1"/>
              <w:jc w:val="center"/>
            </w:pPr>
            <w:r>
              <w:t>-1</w:t>
            </w:r>
          </w:p>
        </w:tc>
      </w:tr>
      <w:tr w:rsidR="00FF6CB1" w:rsidTr="00557D1A">
        <w:tc>
          <w:tcPr>
            <w:tcW w:w="1534" w:type="dxa"/>
          </w:tcPr>
          <w:p w:rsidR="00FF6CB1" w:rsidRPr="00E913BF" w:rsidRDefault="00FF6CB1" w:rsidP="00FF6CB1">
            <w:pPr>
              <w:spacing w:after="100" w:afterAutospacing="1"/>
              <w:jc w:val="both"/>
              <w:rPr>
                <w:b/>
              </w:rPr>
            </w:pPr>
            <w:proofErr w:type="spellStart"/>
            <w:r w:rsidRPr="00E913BF">
              <w:rPr>
                <w:b/>
              </w:rPr>
              <w:t>mGolgi</w:t>
            </w:r>
            <w:proofErr w:type="spellEnd"/>
          </w:p>
        </w:tc>
        <w:tc>
          <w:tcPr>
            <w:tcW w:w="919" w:type="dxa"/>
          </w:tcPr>
          <w:p w:rsidR="00FF6CB1" w:rsidRDefault="00FF6CB1" w:rsidP="00FF6CB1">
            <w:pPr>
              <w:spacing w:after="100" w:afterAutospacing="1"/>
              <w:jc w:val="center"/>
            </w:pPr>
            <w:r>
              <w:t>-1</w:t>
            </w:r>
          </w:p>
        </w:tc>
        <w:tc>
          <w:tcPr>
            <w:tcW w:w="919" w:type="dxa"/>
          </w:tcPr>
          <w:p w:rsidR="00FF6CB1" w:rsidRDefault="00FF6CB1" w:rsidP="00FF6CB1">
            <w:pPr>
              <w:spacing w:after="100" w:afterAutospacing="1"/>
              <w:jc w:val="center"/>
            </w:pPr>
            <w:r>
              <w:t>-1</w:t>
            </w:r>
          </w:p>
        </w:tc>
      </w:tr>
      <w:tr w:rsidR="00FF6CB1" w:rsidTr="00557D1A">
        <w:tc>
          <w:tcPr>
            <w:tcW w:w="1534" w:type="dxa"/>
          </w:tcPr>
          <w:p w:rsidR="00FF6CB1" w:rsidRPr="00E913BF" w:rsidRDefault="00FF6CB1" w:rsidP="00FF6CB1">
            <w:pPr>
              <w:spacing w:after="100" w:afterAutospacing="1"/>
              <w:jc w:val="both"/>
              <w:rPr>
                <w:b/>
              </w:rPr>
            </w:pPr>
            <w:proofErr w:type="spellStart"/>
            <w:r w:rsidRPr="00E913BF">
              <w:rPr>
                <w:b/>
              </w:rPr>
              <w:t>cGolgi</w:t>
            </w:r>
            <w:proofErr w:type="spellEnd"/>
          </w:p>
        </w:tc>
        <w:tc>
          <w:tcPr>
            <w:tcW w:w="919" w:type="dxa"/>
          </w:tcPr>
          <w:p w:rsidR="00FF6CB1" w:rsidRDefault="00FF6CB1" w:rsidP="00FF6CB1">
            <w:pPr>
              <w:spacing w:after="100" w:afterAutospacing="1"/>
              <w:jc w:val="center"/>
            </w:pPr>
            <w:r>
              <w:t>-1</w:t>
            </w:r>
          </w:p>
        </w:tc>
        <w:tc>
          <w:tcPr>
            <w:tcW w:w="919" w:type="dxa"/>
          </w:tcPr>
          <w:p w:rsidR="00FF6CB1" w:rsidRDefault="00FF6CB1" w:rsidP="00FF6CB1">
            <w:pPr>
              <w:spacing w:after="100" w:afterAutospacing="1"/>
              <w:jc w:val="center"/>
            </w:pPr>
            <w:r>
              <w:t>-1</w:t>
            </w:r>
          </w:p>
        </w:tc>
      </w:tr>
      <w:tr w:rsidR="00FF6CB1" w:rsidTr="00557D1A">
        <w:tc>
          <w:tcPr>
            <w:tcW w:w="1534" w:type="dxa"/>
          </w:tcPr>
          <w:p w:rsidR="00FF6CB1" w:rsidRPr="00E913BF" w:rsidRDefault="00FF6CB1" w:rsidP="00FF6CB1">
            <w:pPr>
              <w:spacing w:after="100" w:afterAutospacing="1"/>
              <w:jc w:val="both"/>
              <w:rPr>
                <w:b/>
              </w:rPr>
            </w:pPr>
            <w:r w:rsidRPr="00E913BF">
              <w:rPr>
                <w:b/>
              </w:rPr>
              <w:t>ERGIC</w:t>
            </w:r>
          </w:p>
        </w:tc>
        <w:tc>
          <w:tcPr>
            <w:tcW w:w="919" w:type="dxa"/>
          </w:tcPr>
          <w:p w:rsidR="00FF6CB1" w:rsidRDefault="00FF6CB1" w:rsidP="00FF6CB1">
            <w:pPr>
              <w:spacing w:after="100" w:afterAutospacing="1"/>
              <w:jc w:val="center"/>
            </w:pPr>
            <w:r>
              <w:t>-1</w:t>
            </w:r>
          </w:p>
        </w:tc>
        <w:tc>
          <w:tcPr>
            <w:tcW w:w="919" w:type="dxa"/>
          </w:tcPr>
          <w:p w:rsidR="00FF6CB1" w:rsidRDefault="00FF6CB1" w:rsidP="00FF6CB1">
            <w:pPr>
              <w:spacing w:after="100" w:afterAutospacing="1"/>
              <w:jc w:val="center"/>
            </w:pPr>
            <w:r>
              <w:t>-1</w:t>
            </w:r>
          </w:p>
        </w:tc>
      </w:tr>
    </w:tbl>
    <w:p w:rsidR="00FA7966" w:rsidRDefault="00FA7966" w:rsidP="00FF6CB1">
      <w:pPr>
        <w:spacing w:after="100" w:afterAutospacing="1" w:line="240" w:lineRule="auto"/>
      </w:pPr>
    </w:p>
    <w:p w:rsidR="00605C61" w:rsidRPr="00605C61" w:rsidRDefault="00605C61" w:rsidP="00605C61">
      <w:pPr>
        <w:pStyle w:val="Bibliography"/>
        <w:rPr>
          <w:rFonts w:ascii="Calibri" w:hAnsi="Calibri" w:cs="Calibri"/>
        </w:rPr>
      </w:pPr>
      <w:r>
        <w:fldChar w:fldCharType="begin"/>
      </w:r>
      <w:r>
        <w:instrText xml:space="preserve"> ADDIN ZOTERO_BIBL {"uncited":[],"omitted":[],"custom":[]} CSL_BIBLIOGRAPHY </w:instrText>
      </w:r>
      <w:r>
        <w:fldChar w:fldCharType="separate"/>
      </w:r>
      <w:r w:rsidRPr="00605C61">
        <w:rPr>
          <w:rFonts w:ascii="Calibri" w:hAnsi="Calibri" w:cs="Calibri"/>
        </w:rPr>
        <w:t xml:space="preserve">1. </w:t>
      </w:r>
      <w:r w:rsidRPr="00605C61">
        <w:rPr>
          <w:rFonts w:ascii="Calibri" w:hAnsi="Calibri" w:cs="Calibri"/>
        </w:rPr>
        <w:tab/>
        <w:t xml:space="preserve">North MJ, Collier NT, </w:t>
      </w:r>
      <w:proofErr w:type="spellStart"/>
      <w:r w:rsidRPr="00605C61">
        <w:rPr>
          <w:rFonts w:ascii="Calibri" w:hAnsi="Calibri" w:cs="Calibri"/>
        </w:rPr>
        <w:t>Ozik</w:t>
      </w:r>
      <w:proofErr w:type="spellEnd"/>
      <w:r w:rsidRPr="00605C61">
        <w:rPr>
          <w:rFonts w:ascii="Calibri" w:hAnsi="Calibri" w:cs="Calibri"/>
        </w:rPr>
        <w:t xml:space="preserve"> J, </w:t>
      </w:r>
      <w:proofErr w:type="spellStart"/>
      <w:r w:rsidRPr="00605C61">
        <w:rPr>
          <w:rFonts w:ascii="Calibri" w:hAnsi="Calibri" w:cs="Calibri"/>
        </w:rPr>
        <w:t>Tatara</w:t>
      </w:r>
      <w:proofErr w:type="spellEnd"/>
      <w:r w:rsidRPr="00605C61">
        <w:rPr>
          <w:rFonts w:ascii="Calibri" w:hAnsi="Calibri" w:cs="Calibri"/>
        </w:rPr>
        <w:t xml:space="preserve"> ER, </w:t>
      </w:r>
      <w:proofErr w:type="spellStart"/>
      <w:r w:rsidRPr="00605C61">
        <w:rPr>
          <w:rFonts w:ascii="Calibri" w:hAnsi="Calibri" w:cs="Calibri"/>
        </w:rPr>
        <w:t>Macal</w:t>
      </w:r>
      <w:proofErr w:type="spellEnd"/>
      <w:r w:rsidRPr="00605C61">
        <w:rPr>
          <w:rFonts w:ascii="Calibri" w:hAnsi="Calibri" w:cs="Calibri"/>
        </w:rPr>
        <w:t xml:space="preserve"> CM, </w:t>
      </w:r>
      <w:proofErr w:type="spellStart"/>
      <w:r w:rsidRPr="00605C61">
        <w:rPr>
          <w:rFonts w:ascii="Calibri" w:hAnsi="Calibri" w:cs="Calibri"/>
        </w:rPr>
        <w:t>Bragen</w:t>
      </w:r>
      <w:proofErr w:type="spellEnd"/>
      <w:r w:rsidRPr="00605C61">
        <w:rPr>
          <w:rFonts w:ascii="Calibri" w:hAnsi="Calibri" w:cs="Calibri"/>
        </w:rPr>
        <w:t xml:space="preserve"> M, </w:t>
      </w:r>
      <w:proofErr w:type="spellStart"/>
      <w:r w:rsidRPr="00605C61">
        <w:rPr>
          <w:rFonts w:ascii="Calibri" w:hAnsi="Calibri" w:cs="Calibri"/>
        </w:rPr>
        <w:t>Sydelko</w:t>
      </w:r>
      <w:proofErr w:type="spellEnd"/>
      <w:r w:rsidRPr="00605C61">
        <w:rPr>
          <w:rFonts w:ascii="Calibri" w:hAnsi="Calibri" w:cs="Calibri"/>
        </w:rPr>
        <w:t xml:space="preserve"> P. Complex adaptive systems modeling with Repast </w:t>
      </w:r>
      <w:proofErr w:type="spellStart"/>
      <w:r w:rsidRPr="00605C61">
        <w:rPr>
          <w:rFonts w:ascii="Calibri" w:hAnsi="Calibri" w:cs="Calibri"/>
        </w:rPr>
        <w:t>Simphony</w:t>
      </w:r>
      <w:proofErr w:type="spellEnd"/>
      <w:r w:rsidRPr="00605C61">
        <w:rPr>
          <w:rFonts w:ascii="Calibri" w:hAnsi="Calibri" w:cs="Calibri"/>
        </w:rPr>
        <w:t>. Complex Adapt</w:t>
      </w:r>
      <w:r>
        <w:rPr>
          <w:rFonts w:ascii="Calibri" w:hAnsi="Calibri" w:cs="Calibri"/>
        </w:rPr>
        <w:t xml:space="preserve">ive Systems Modeling </w:t>
      </w:r>
      <w:r w:rsidRPr="00605C61">
        <w:rPr>
          <w:rFonts w:ascii="Calibri" w:hAnsi="Calibri" w:cs="Calibri"/>
        </w:rPr>
        <w:t>2013</w:t>
      </w:r>
      <w:proofErr w:type="gramStart"/>
      <w:r w:rsidRPr="00605C61">
        <w:rPr>
          <w:rFonts w:ascii="Calibri" w:hAnsi="Calibri" w:cs="Calibri"/>
        </w:rPr>
        <w:t>;</w:t>
      </w:r>
      <w:r>
        <w:rPr>
          <w:rFonts w:ascii="Calibri" w:hAnsi="Calibri" w:cs="Calibri"/>
        </w:rPr>
        <w:t>1:1</w:t>
      </w:r>
      <w:proofErr w:type="gramEnd"/>
      <w:r>
        <w:rPr>
          <w:rFonts w:ascii="Calibri" w:hAnsi="Calibri" w:cs="Calibri"/>
        </w:rPr>
        <w:t xml:space="preserve">–26. </w:t>
      </w:r>
      <w:r w:rsidRPr="00605C61">
        <w:rPr>
          <w:rFonts w:ascii="Calibri" w:hAnsi="Calibri" w:cs="Calibri"/>
        </w:rPr>
        <w:t>doi.org/10.1186/2194-3206-1-3</w:t>
      </w:r>
    </w:p>
    <w:p w:rsidR="00605C61" w:rsidRPr="00605C61" w:rsidRDefault="00605C61" w:rsidP="00605C61">
      <w:pPr>
        <w:pStyle w:val="Bibliography"/>
        <w:rPr>
          <w:rFonts w:ascii="Calibri" w:hAnsi="Calibri" w:cs="Calibri"/>
        </w:rPr>
      </w:pPr>
      <w:r w:rsidRPr="00605C61">
        <w:rPr>
          <w:rFonts w:ascii="Calibri" w:hAnsi="Calibri" w:cs="Calibri"/>
        </w:rPr>
        <w:t xml:space="preserve">2. </w:t>
      </w:r>
      <w:r w:rsidRPr="00605C61">
        <w:rPr>
          <w:rFonts w:ascii="Calibri" w:hAnsi="Calibri" w:cs="Calibri"/>
        </w:rPr>
        <w:tab/>
        <w:t xml:space="preserve">Hoops S, </w:t>
      </w:r>
      <w:proofErr w:type="spellStart"/>
      <w:r w:rsidRPr="00605C61">
        <w:rPr>
          <w:rFonts w:ascii="Calibri" w:hAnsi="Calibri" w:cs="Calibri"/>
        </w:rPr>
        <w:t>Sahle</w:t>
      </w:r>
      <w:proofErr w:type="spellEnd"/>
      <w:r w:rsidRPr="00605C61">
        <w:rPr>
          <w:rFonts w:ascii="Calibri" w:hAnsi="Calibri" w:cs="Calibri"/>
        </w:rPr>
        <w:t xml:space="preserve"> S, Gauges R, Lee C, </w:t>
      </w:r>
      <w:proofErr w:type="spellStart"/>
      <w:r w:rsidRPr="00605C61">
        <w:rPr>
          <w:rFonts w:ascii="Calibri" w:hAnsi="Calibri" w:cs="Calibri"/>
        </w:rPr>
        <w:t>Pahle</w:t>
      </w:r>
      <w:proofErr w:type="spellEnd"/>
      <w:r w:rsidRPr="00605C61">
        <w:rPr>
          <w:rFonts w:ascii="Calibri" w:hAnsi="Calibri" w:cs="Calibri"/>
        </w:rPr>
        <w:t xml:space="preserve"> J, </w:t>
      </w:r>
      <w:proofErr w:type="spellStart"/>
      <w:r w:rsidRPr="00605C61">
        <w:rPr>
          <w:rFonts w:ascii="Calibri" w:hAnsi="Calibri" w:cs="Calibri"/>
        </w:rPr>
        <w:t>Simus</w:t>
      </w:r>
      <w:proofErr w:type="spellEnd"/>
      <w:r w:rsidRPr="00605C61">
        <w:rPr>
          <w:rFonts w:ascii="Calibri" w:hAnsi="Calibri" w:cs="Calibri"/>
        </w:rPr>
        <w:t xml:space="preserve"> N, </w:t>
      </w:r>
      <w:proofErr w:type="spellStart"/>
      <w:r w:rsidRPr="00605C61">
        <w:rPr>
          <w:rFonts w:ascii="Calibri" w:hAnsi="Calibri" w:cs="Calibri"/>
        </w:rPr>
        <w:t>Singhal</w:t>
      </w:r>
      <w:proofErr w:type="spellEnd"/>
      <w:r w:rsidRPr="00605C61">
        <w:rPr>
          <w:rFonts w:ascii="Calibri" w:hAnsi="Calibri" w:cs="Calibri"/>
        </w:rPr>
        <w:t xml:space="preserve"> M, Xu L, Mendes P, </w:t>
      </w:r>
      <w:proofErr w:type="spellStart"/>
      <w:r w:rsidRPr="00605C61">
        <w:rPr>
          <w:rFonts w:ascii="Calibri" w:hAnsi="Calibri" w:cs="Calibri"/>
        </w:rPr>
        <w:t>Kummer</w:t>
      </w:r>
      <w:proofErr w:type="spellEnd"/>
      <w:r w:rsidRPr="00605C61">
        <w:rPr>
          <w:rFonts w:ascii="Calibri" w:hAnsi="Calibri" w:cs="Calibri"/>
        </w:rPr>
        <w:t xml:space="preserve"> U. COPASI--a </w:t>
      </w:r>
      <w:proofErr w:type="spellStart"/>
      <w:r w:rsidRPr="00605C61">
        <w:rPr>
          <w:rFonts w:ascii="Calibri" w:hAnsi="Calibri" w:cs="Calibri"/>
        </w:rPr>
        <w:t>COmplex</w:t>
      </w:r>
      <w:proofErr w:type="spellEnd"/>
      <w:r w:rsidRPr="00605C61">
        <w:rPr>
          <w:rFonts w:ascii="Calibri" w:hAnsi="Calibri" w:cs="Calibri"/>
        </w:rPr>
        <w:t xml:space="preserve"> </w:t>
      </w:r>
      <w:proofErr w:type="spellStart"/>
      <w:r w:rsidRPr="00605C61">
        <w:rPr>
          <w:rFonts w:ascii="Calibri" w:hAnsi="Calibri" w:cs="Calibri"/>
        </w:rPr>
        <w:t>PAthway</w:t>
      </w:r>
      <w:proofErr w:type="spellEnd"/>
      <w:r w:rsidRPr="00605C61">
        <w:rPr>
          <w:rFonts w:ascii="Calibri" w:hAnsi="Calibri" w:cs="Calibri"/>
        </w:rPr>
        <w:t xml:space="preserve"> </w:t>
      </w:r>
      <w:proofErr w:type="spellStart"/>
      <w:r w:rsidRPr="00605C61">
        <w:rPr>
          <w:rFonts w:ascii="Calibri" w:hAnsi="Calibri" w:cs="Calibri"/>
        </w:rPr>
        <w:t>SImulator</w:t>
      </w:r>
      <w:proofErr w:type="spellEnd"/>
      <w:r w:rsidRPr="00605C61">
        <w:rPr>
          <w:rFonts w:ascii="Calibri" w:hAnsi="Calibri" w:cs="Calibri"/>
        </w:rPr>
        <w:t>. Bioinformatics 2006</w:t>
      </w:r>
      <w:proofErr w:type="gramStart"/>
      <w:r w:rsidRPr="00605C61">
        <w:rPr>
          <w:rFonts w:ascii="Calibri" w:hAnsi="Calibri" w:cs="Calibri"/>
        </w:rPr>
        <w:t>;22:3067</w:t>
      </w:r>
      <w:proofErr w:type="gramEnd"/>
      <w:r w:rsidRPr="00605C61">
        <w:rPr>
          <w:rFonts w:ascii="Calibri" w:hAnsi="Calibri" w:cs="Calibri"/>
        </w:rPr>
        <w:t xml:space="preserve">–3074. </w:t>
      </w:r>
    </w:p>
    <w:p w:rsidR="00605C61" w:rsidRPr="00605C61" w:rsidRDefault="00605C61" w:rsidP="00605C61">
      <w:pPr>
        <w:pStyle w:val="Bibliography"/>
        <w:rPr>
          <w:rFonts w:ascii="Calibri" w:hAnsi="Calibri" w:cs="Calibri"/>
          <w:lang w:val="es-AR"/>
        </w:rPr>
      </w:pPr>
      <w:r w:rsidRPr="00605C61">
        <w:rPr>
          <w:rFonts w:ascii="Calibri" w:hAnsi="Calibri" w:cs="Calibri"/>
        </w:rPr>
        <w:t xml:space="preserve">3. </w:t>
      </w:r>
      <w:r w:rsidRPr="00605C61">
        <w:rPr>
          <w:rFonts w:ascii="Calibri" w:hAnsi="Calibri" w:cs="Calibri"/>
        </w:rPr>
        <w:tab/>
      </w:r>
      <w:proofErr w:type="spellStart"/>
      <w:r w:rsidRPr="00605C61">
        <w:rPr>
          <w:rFonts w:ascii="Calibri" w:hAnsi="Calibri" w:cs="Calibri"/>
        </w:rPr>
        <w:t>Quiros</w:t>
      </w:r>
      <w:proofErr w:type="spellEnd"/>
      <w:r w:rsidRPr="00605C61">
        <w:rPr>
          <w:rFonts w:ascii="Calibri" w:hAnsi="Calibri" w:cs="Calibri"/>
        </w:rPr>
        <w:t xml:space="preserve"> DN, Nieto F, Mayorga LS. From cartoons to quantitative models in Golgi transport. </w:t>
      </w:r>
      <w:proofErr w:type="spellStart"/>
      <w:r w:rsidRPr="00605C61">
        <w:rPr>
          <w:rFonts w:ascii="Calibri" w:hAnsi="Calibri" w:cs="Calibri"/>
          <w:lang w:val="es-AR"/>
        </w:rPr>
        <w:t>Biol</w:t>
      </w:r>
      <w:r w:rsidR="00C21B6D">
        <w:rPr>
          <w:rFonts w:ascii="Calibri" w:hAnsi="Calibri" w:cs="Calibri"/>
          <w:lang w:val="es-AR"/>
        </w:rPr>
        <w:t>ogy</w:t>
      </w:r>
      <w:proofErr w:type="spellEnd"/>
      <w:r w:rsidR="00C21B6D">
        <w:rPr>
          <w:rFonts w:ascii="Calibri" w:hAnsi="Calibri" w:cs="Calibri"/>
          <w:lang w:val="es-AR"/>
        </w:rPr>
        <w:t xml:space="preserve"> of </w:t>
      </w:r>
      <w:proofErr w:type="spellStart"/>
      <w:r w:rsidR="00C21B6D">
        <w:rPr>
          <w:rFonts w:ascii="Calibri" w:hAnsi="Calibri" w:cs="Calibri"/>
          <w:lang w:val="es-AR"/>
        </w:rPr>
        <w:t>the</w:t>
      </w:r>
      <w:proofErr w:type="spellEnd"/>
      <w:r w:rsidR="00C21B6D">
        <w:rPr>
          <w:rFonts w:ascii="Calibri" w:hAnsi="Calibri" w:cs="Calibri"/>
          <w:lang w:val="es-AR"/>
        </w:rPr>
        <w:t xml:space="preserve"> </w:t>
      </w:r>
      <w:bookmarkStart w:id="0" w:name="_GoBack"/>
      <w:bookmarkEnd w:id="0"/>
      <w:r w:rsidRPr="00605C61">
        <w:rPr>
          <w:rFonts w:ascii="Calibri" w:hAnsi="Calibri" w:cs="Calibri"/>
          <w:lang w:val="es-AR"/>
        </w:rPr>
        <w:t xml:space="preserve">Cell 2021;113:146–164. </w:t>
      </w:r>
      <w:r w:rsidR="00C21B6D">
        <w:rPr>
          <w:rFonts w:ascii="Calibri" w:hAnsi="Calibri" w:cs="Calibri"/>
        </w:rPr>
        <w:t>doi.org/</w:t>
      </w:r>
      <w:r w:rsidRPr="00605C61">
        <w:rPr>
          <w:rFonts w:ascii="Calibri" w:hAnsi="Calibri" w:cs="Calibri"/>
          <w:lang w:val="es-AR"/>
        </w:rPr>
        <w:t>10.1111/boc.202000107</w:t>
      </w:r>
    </w:p>
    <w:p w:rsidR="00605C61" w:rsidRPr="00605C61" w:rsidRDefault="00605C61" w:rsidP="00605C61">
      <w:pPr>
        <w:pStyle w:val="Bibliography"/>
        <w:rPr>
          <w:rFonts w:ascii="Calibri" w:hAnsi="Calibri" w:cs="Calibri"/>
        </w:rPr>
      </w:pPr>
      <w:r w:rsidRPr="00605C61">
        <w:rPr>
          <w:rFonts w:ascii="Calibri" w:hAnsi="Calibri" w:cs="Calibri"/>
          <w:lang w:val="es-AR"/>
        </w:rPr>
        <w:t xml:space="preserve">4. </w:t>
      </w:r>
      <w:r w:rsidRPr="00605C61">
        <w:rPr>
          <w:rFonts w:ascii="Calibri" w:hAnsi="Calibri" w:cs="Calibri"/>
          <w:lang w:val="es-AR"/>
        </w:rPr>
        <w:tab/>
        <w:t xml:space="preserve">Nieto F, Garrido F, Dinamarca S, </w:t>
      </w:r>
      <w:proofErr w:type="spellStart"/>
      <w:r w:rsidRPr="00605C61">
        <w:rPr>
          <w:rFonts w:ascii="Calibri" w:hAnsi="Calibri" w:cs="Calibri"/>
          <w:lang w:val="es-AR"/>
        </w:rPr>
        <w:t>Cebrian</w:t>
      </w:r>
      <w:proofErr w:type="spellEnd"/>
      <w:r w:rsidRPr="00605C61">
        <w:rPr>
          <w:rFonts w:ascii="Calibri" w:hAnsi="Calibri" w:cs="Calibri"/>
          <w:lang w:val="es-AR"/>
        </w:rPr>
        <w:t xml:space="preserve"> I, Mayorga LS. </w:t>
      </w:r>
      <w:r w:rsidRPr="00605C61">
        <w:rPr>
          <w:rFonts w:ascii="Calibri" w:hAnsi="Calibri" w:cs="Calibri"/>
        </w:rPr>
        <w:t>Kinetics of antigen cross-presentation assessed experimentally and by a model of the complete endomembrane system.</w:t>
      </w:r>
      <w:r>
        <w:rPr>
          <w:rFonts w:ascii="Calibri" w:hAnsi="Calibri" w:cs="Calibri"/>
        </w:rPr>
        <w:t xml:space="preserve"> Cellular Immunology 2022; </w:t>
      </w:r>
      <w:r w:rsidRPr="00605C61">
        <w:rPr>
          <w:rFonts w:ascii="Calibri" w:hAnsi="Calibri" w:cs="Calibri"/>
        </w:rPr>
        <w:t xml:space="preserve">382:104636. </w:t>
      </w:r>
      <w:r>
        <w:rPr>
          <w:rFonts w:ascii="Calibri" w:hAnsi="Calibri" w:cs="Calibri"/>
        </w:rPr>
        <w:t>doi.org/</w:t>
      </w:r>
      <w:r w:rsidRPr="00605C61">
        <w:rPr>
          <w:rFonts w:ascii="Calibri" w:hAnsi="Calibri" w:cs="Calibri"/>
        </w:rPr>
        <w:t>10.1016/j.cellimm.2022.104636</w:t>
      </w:r>
    </w:p>
    <w:p w:rsidR="00605C61" w:rsidRPr="00605C61" w:rsidRDefault="00605C61" w:rsidP="00605C61">
      <w:pPr>
        <w:pStyle w:val="Bibliography"/>
        <w:rPr>
          <w:rFonts w:ascii="Calibri" w:hAnsi="Calibri" w:cs="Calibri"/>
        </w:rPr>
      </w:pPr>
      <w:r w:rsidRPr="00605C61">
        <w:rPr>
          <w:rFonts w:ascii="Calibri" w:hAnsi="Calibri" w:cs="Calibri"/>
        </w:rPr>
        <w:t xml:space="preserve">5. </w:t>
      </w:r>
      <w:r w:rsidRPr="00605C61">
        <w:rPr>
          <w:rFonts w:ascii="Calibri" w:hAnsi="Calibri" w:cs="Calibri"/>
        </w:rPr>
        <w:tab/>
        <w:t xml:space="preserve">Mayorga LS, </w:t>
      </w:r>
      <w:proofErr w:type="spellStart"/>
      <w:r w:rsidRPr="00605C61">
        <w:rPr>
          <w:rFonts w:ascii="Calibri" w:hAnsi="Calibri" w:cs="Calibri"/>
        </w:rPr>
        <w:t>Cebrian</w:t>
      </w:r>
      <w:proofErr w:type="spellEnd"/>
      <w:r w:rsidRPr="00605C61">
        <w:rPr>
          <w:rFonts w:ascii="Calibri" w:hAnsi="Calibri" w:cs="Calibri"/>
        </w:rPr>
        <w:t xml:space="preserve"> I, </w:t>
      </w:r>
      <w:proofErr w:type="spellStart"/>
      <w:r w:rsidRPr="00605C61">
        <w:rPr>
          <w:rFonts w:ascii="Calibri" w:hAnsi="Calibri" w:cs="Calibri"/>
        </w:rPr>
        <w:t>Verma</w:t>
      </w:r>
      <w:proofErr w:type="spellEnd"/>
      <w:r w:rsidRPr="00605C61">
        <w:rPr>
          <w:rFonts w:ascii="Calibri" w:hAnsi="Calibri" w:cs="Calibri"/>
        </w:rPr>
        <w:t xml:space="preserve"> M, Hoops S, </w:t>
      </w:r>
      <w:proofErr w:type="spellStart"/>
      <w:r w:rsidRPr="00605C61">
        <w:rPr>
          <w:rFonts w:ascii="Calibri" w:hAnsi="Calibri" w:cs="Calibri"/>
        </w:rPr>
        <w:t>Bassaganya-Riera</w:t>
      </w:r>
      <w:proofErr w:type="spellEnd"/>
      <w:r w:rsidRPr="00605C61">
        <w:rPr>
          <w:rFonts w:ascii="Calibri" w:hAnsi="Calibri" w:cs="Calibri"/>
        </w:rPr>
        <w:t xml:space="preserve"> J. Reconstruction of endosomal organization and function by a combination of ODE and agent-based modeling strategies. Biology Direct 2018</w:t>
      </w:r>
      <w:proofErr w:type="gramStart"/>
      <w:r w:rsidRPr="00605C61">
        <w:rPr>
          <w:rFonts w:ascii="Calibri" w:hAnsi="Calibri" w:cs="Calibri"/>
        </w:rPr>
        <w:t>;13:25</w:t>
      </w:r>
      <w:proofErr w:type="gramEnd"/>
      <w:r w:rsidRPr="00605C61">
        <w:rPr>
          <w:rFonts w:ascii="Calibri" w:hAnsi="Calibri" w:cs="Calibri"/>
        </w:rPr>
        <w:t xml:space="preserve">. </w:t>
      </w:r>
      <w:r w:rsidR="00C21B6D">
        <w:rPr>
          <w:rFonts w:ascii="Calibri" w:hAnsi="Calibri" w:cs="Calibri"/>
        </w:rPr>
        <w:t>doi.org/</w:t>
      </w:r>
      <w:r w:rsidR="00C21B6D" w:rsidRPr="00C21B6D">
        <w:rPr>
          <w:rFonts w:ascii="Calibri" w:hAnsi="Calibri" w:cs="Calibri"/>
        </w:rPr>
        <w:t>10.1186/s13062-018-0227-4</w:t>
      </w:r>
    </w:p>
    <w:p w:rsidR="00605C61" w:rsidRPr="00605C61" w:rsidRDefault="00605C61" w:rsidP="00605C61">
      <w:pPr>
        <w:pStyle w:val="Bibliography"/>
        <w:rPr>
          <w:rFonts w:ascii="Calibri" w:hAnsi="Calibri" w:cs="Calibri"/>
        </w:rPr>
      </w:pPr>
      <w:r w:rsidRPr="00605C61">
        <w:rPr>
          <w:rFonts w:ascii="Calibri" w:hAnsi="Calibri" w:cs="Calibri"/>
        </w:rPr>
        <w:lastRenderedPageBreak/>
        <w:t xml:space="preserve">6. </w:t>
      </w:r>
      <w:r w:rsidRPr="00605C61">
        <w:rPr>
          <w:rFonts w:ascii="Calibri" w:hAnsi="Calibri" w:cs="Calibri"/>
        </w:rPr>
        <w:tab/>
        <w:t>Griffiths G, Back R, Marsh M. A quantitative analysis of the endocytic pathway in baby hamster kidney cells. The Jou</w:t>
      </w:r>
      <w:r w:rsidR="00C21B6D">
        <w:rPr>
          <w:rFonts w:ascii="Calibri" w:hAnsi="Calibri" w:cs="Calibri"/>
        </w:rPr>
        <w:t>rnal of Cell Biology 1989</w:t>
      </w:r>
      <w:proofErr w:type="gramStart"/>
      <w:r w:rsidRPr="00605C61">
        <w:rPr>
          <w:rFonts w:ascii="Calibri" w:hAnsi="Calibri" w:cs="Calibri"/>
        </w:rPr>
        <w:t>;109:2703</w:t>
      </w:r>
      <w:proofErr w:type="gramEnd"/>
      <w:r w:rsidRPr="00605C61">
        <w:rPr>
          <w:rFonts w:ascii="Calibri" w:hAnsi="Calibri" w:cs="Calibri"/>
        </w:rPr>
        <w:t xml:space="preserve">–2720. </w:t>
      </w:r>
      <w:r w:rsidR="00C21B6D">
        <w:rPr>
          <w:rFonts w:ascii="Calibri" w:hAnsi="Calibri" w:cs="Calibri"/>
        </w:rPr>
        <w:t>doi.org/</w:t>
      </w:r>
      <w:r w:rsidR="00C21B6D" w:rsidRPr="00C21B6D">
        <w:t xml:space="preserve"> </w:t>
      </w:r>
      <w:r w:rsidR="00C21B6D" w:rsidRPr="00C21B6D">
        <w:rPr>
          <w:rFonts w:ascii="Calibri" w:hAnsi="Calibri" w:cs="Calibri"/>
        </w:rPr>
        <w:t>10.1083/jcb.109.6.2703</w:t>
      </w:r>
    </w:p>
    <w:p w:rsidR="00605C61" w:rsidRPr="00605C61" w:rsidRDefault="00605C61" w:rsidP="00605C61">
      <w:pPr>
        <w:pStyle w:val="Bibliography"/>
        <w:rPr>
          <w:rFonts w:ascii="Calibri" w:hAnsi="Calibri" w:cs="Calibri"/>
        </w:rPr>
      </w:pPr>
      <w:r w:rsidRPr="00605C61">
        <w:rPr>
          <w:rFonts w:ascii="Calibri" w:hAnsi="Calibri" w:cs="Calibri"/>
        </w:rPr>
        <w:t xml:space="preserve">7. </w:t>
      </w:r>
      <w:r w:rsidRPr="00605C61">
        <w:rPr>
          <w:rFonts w:ascii="Calibri" w:hAnsi="Calibri" w:cs="Calibri"/>
        </w:rPr>
        <w:tab/>
      </w:r>
      <w:proofErr w:type="spellStart"/>
      <w:r w:rsidRPr="00605C61">
        <w:rPr>
          <w:rFonts w:ascii="Calibri" w:hAnsi="Calibri" w:cs="Calibri"/>
        </w:rPr>
        <w:t>Ciechanover</w:t>
      </w:r>
      <w:proofErr w:type="spellEnd"/>
      <w:r w:rsidRPr="00605C61">
        <w:rPr>
          <w:rFonts w:ascii="Calibri" w:hAnsi="Calibri" w:cs="Calibri"/>
        </w:rPr>
        <w:t xml:space="preserve"> A, Schwartz AL, </w:t>
      </w:r>
      <w:proofErr w:type="spellStart"/>
      <w:r w:rsidRPr="00605C61">
        <w:rPr>
          <w:rFonts w:ascii="Calibri" w:hAnsi="Calibri" w:cs="Calibri"/>
        </w:rPr>
        <w:t>Dautry-Varsat</w:t>
      </w:r>
      <w:proofErr w:type="spellEnd"/>
      <w:r w:rsidRPr="00605C61">
        <w:rPr>
          <w:rFonts w:ascii="Calibri" w:hAnsi="Calibri" w:cs="Calibri"/>
        </w:rPr>
        <w:t xml:space="preserve"> A, </w:t>
      </w:r>
      <w:proofErr w:type="spellStart"/>
      <w:r w:rsidRPr="00605C61">
        <w:rPr>
          <w:rFonts w:ascii="Calibri" w:hAnsi="Calibri" w:cs="Calibri"/>
        </w:rPr>
        <w:t>Lodish</w:t>
      </w:r>
      <w:proofErr w:type="spellEnd"/>
      <w:r w:rsidRPr="00605C61">
        <w:rPr>
          <w:rFonts w:ascii="Calibri" w:hAnsi="Calibri" w:cs="Calibri"/>
        </w:rPr>
        <w:t xml:space="preserve"> HF. Kinetics of internalization and recycling of transferrin and the transferrin receptor in a human hepatoma cell line. Effect of </w:t>
      </w:r>
      <w:proofErr w:type="spellStart"/>
      <w:r w:rsidRPr="00605C61">
        <w:rPr>
          <w:rFonts w:ascii="Calibri" w:hAnsi="Calibri" w:cs="Calibri"/>
        </w:rPr>
        <w:t>lysosomotropic</w:t>
      </w:r>
      <w:proofErr w:type="spellEnd"/>
      <w:r w:rsidRPr="00605C61">
        <w:rPr>
          <w:rFonts w:ascii="Calibri" w:hAnsi="Calibri" w:cs="Calibri"/>
        </w:rPr>
        <w:t xml:space="preserve"> agents. Journal of</w:t>
      </w:r>
      <w:r w:rsidR="00C21B6D">
        <w:rPr>
          <w:rFonts w:ascii="Calibri" w:hAnsi="Calibri" w:cs="Calibri"/>
        </w:rPr>
        <w:t xml:space="preserve"> Biological Chemistry 1983</w:t>
      </w:r>
      <w:proofErr w:type="gramStart"/>
      <w:r w:rsidRPr="00605C61">
        <w:rPr>
          <w:rFonts w:ascii="Calibri" w:hAnsi="Calibri" w:cs="Calibri"/>
        </w:rPr>
        <w:t>;258:9681</w:t>
      </w:r>
      <w:proofErr w:type="gramEnd"/>
      <w:r w:rsidRPr="00605C61">
        <w:rPr>
          <w:rFonts w:ascii="Calibri" w:hAnsi="Calibri" w:cs="Calibri"/>
        </w:rPr>
        <w:t xml:space="preserve">–9689. </w:t>
      </w:r>
      <w:r w:rsidR="00C21B6D" w:rsidRPr="00C21B6D">
        <w:rPr>
          <w:rFonts w:ascii="Calibri" w:hAnsi="Calibri" w:cs="Calibri"/>
        </w:rPr>
        <w:t>PMID: 6309781.</w:t>
      </w:r>
    </w:p>
    <w:p w:rsidR="00890352" w:rsidRDefault="00605C61" w:rsidP="00FF6CB1">
      <w:pPr>
        <w:spacing w:after="100" w:afterAutospacing="1" w:line="240" w:lineRule="auto"/>
      </w:pPr>
      <w:r>
        <w:fldChar w:fldCharType="end"/>
      </w:r>
    </w:p>
    <w:sectPr w:rsidR="0089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23105"/>
    <w:multiLevelType w:val="hybridMultilevel"/>
    <w:tmpl w:val="B268ECA0"/>
    <w:lvl w:ilvl="0" w:tplc="DA5EEB8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772C0"/>
    <w:multiLevelType w:val="hybridMultilevel"/>
    <w:tmpl w:val="FF3EB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C6B5D"/>
    <w:multiLevelType w:val="hybridMultilevel"/>
    <w:tmpl w:val="2662CFA4"/>
    <w:lvl w:ilvl="0" w:tplc="06D21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2227E"/>
    <w:multiLevelType w:val="hybridMultilevel"/>
    <w:tmpl w:val="DB20FD08"/>
    <w:lvl w:ilvl="0" w:tplc="B11608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F5"/>
    <w:rsid w:val="000678D0"/>
    <w:rsid w:val="000D2420"/>
    <w:rsid w:val="000D27B6"/>
    <w:rsid w:val="000E2459"/>
    <w:rsid w:val="00187B1B"/>
    <w:rsid w:val="001A4E85"/>
    <w:rsid w:val="00203799"/>
    <w:rsid w:val="002A2A12"/>
    <w:rsid w:val="002D7E10"/>
    <w:rsid w:val="003424CE"/>
    <w:rsid w:val="005660EA"/>
    <w:rsid w:val="005B6E99"/>
    <w:rsid w:val="00605C61"/>
    <w:rsid w:val="006C2174"/>
    <w:rsid w:val="006E3EE4"/>
    <w:rsid w:val="00716D0C"/>
    <w:rsid w:val="007362C9"/>
    <w:rsid w:val="00752B28"/>
    <w:rsid w:val="00761B97"/>
    <w:rsid w:val="0079401F"/>
    <w:rsid w:val="00882148"/>
    <w:rsid w:val="00890352"/>
    <w:rsid w:val="00891760"/>
    <w:rsid w:val="008C4EAE"/>
    <w:rsid w:val="008D3785"/>
    <w:rsid w:val="00917939"/>
    <w:rsid w:val="00935F60"/>
    <w:rsid w:val="00940998"/>
    <w:rsid w:val="009B20E7"/>
    <w:rsid w:val="00A61870"/>
    <w:rsid w:val="00A6368B"/>
    <w:rsid w:val="00AF1FF5"/>
    <w:rsid w:val="00B45DD4"/>
    <w:rsid w:val="00B50DC0"/>
    <w:rsid w:val="00C21B6D"/>
    <w:rsid w:val="00C23997"/>
    <w:rsid w:val="00CF74C5"/>
    <w:rsid w:val="00D10130"/>
    <w:rsid w:val="00E74659"/>
    <w:rsid w:val="00E778B3"/>
    <w:rsid w:val="00E913BF"/>
    <w:rsid w:val="00EA39B0"/>
    <w:rsid w:val="00F53752"/>
    <w:rsid w:val="00F63C63"/>
    <w:rsid w:val="00FA7966"/>
    <w:rsid w:val="00FB44C6"/>
    <w:rsid w:val="00FF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86FE2-F79F-4DC3-82E0-1128AF3F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39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785"/>
    <w:pPr>
      <w:ind w:left="720"/>
      <w:contextualSpacing/>
    </w:pPr>
  </w:style>
  <w:style w:type="character" w:customStyle="1" w:styleId="Heading3Char">
    <w:name w:val="Heading 3 Char"/>
    <w:basedOn w:val="DefaultParagraphFont"/>
    <w:link w:val="Heading3"/>
    <w:uiPriority w:val="9"/>
    <w:rsid w:val="00EA39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39B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90352"/>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247153">
      <w:bodyDiv w:val="1"/>
      <w:marLeft w:val="0"/>
      <w:marRight w:val="0"/>
      <w:marTop w:val="0"/>
      <w:marBottom w:val="0"/>
      <w:divBdr>
        <w:top w:val="none" w:sz="0" w:space="0" w:color="auto"/>
        <w:left w:val="none" w:sz="0" w:space="0" w:color="auto"/>
        <w:bottom w:val="none" w:sz="0" w:space="0" w:color="auto"/>
        <w:right w:val="none" w:sz="0" w:space="0" w:color="auto"/>
      </w:divBdr>
    </w:div>
    <w:div w:id="1488941748">
      <w:bodyDiv w:val="1"/>
      <w:marLeft w:val="0"/>
      <w:marRight w:val="0"/>
      <w:marTop w:val="0"/>
      <w:marBottom w:val="0"/>
      <w:divBdr>
        <w:top w:val="none" w:sz="0" w:space="0" w:color="auto"/>
        <w:left w:val="none" w:sz="0" w:space="0" w:color="auto"/>
        <w:bottom w:val="none" w:sz="0" w:space="0" w:color="auto"/>
        <w:right w:val="none" w:sz="0" w:space="0" w:color="auto"/>
      </w:divBdr>
    </w:div>
    <w:div w:id="1612203341">
      <w:bodyDiv w:val="1"/>
      <w:marLeft w:val="0"/>
      <w:marRight w:val="0"/>
      <w:marTop w:val="0"/>
      <w:marBottom w:val="0"/>
      <w:divBdr>
        <w:top w:val="none" w:sz="0" w:space="0" w:color="auto"/>
        <w:left w:val="none" w:sz="0" w:space="0" w:color="auto"/>
        <w:bottom w:val="none" w:sz="0" w:space="0" w:color="auto"/>
        <w:right w:val="none" w:sz="0" w:space="0" w:color="auto"/>
      </w:divBdr>
    </w:div>
    <w:div w:id="16664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4</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2025-02-28T19:56:00Z</dcterms:created>
  <dcterms:modified xsi:type="dcterms:W3CDTF">2025-03-11T19:04:00Z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id="5iQSJqjg"/&gt;&lt;style id="http://www.zotero.org/styles/traffic" hasBibliography="1" bibliographyStyleHasBeenSet="1"/&gt;&lt;prefs&gt;&lt;pref name="fieldType" value="Field"/&gt;&lt;/prefs&gt;&lt;/data&gt;</vt:lpwstr>
  </property>
</Properties>
</file>