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3647"/>
          <w:sz w:val="68"/>
        </w:rPr>
        <w:t>ConsultaPsi</w:t>
      </w:r>
    </w:p>
    <w:p>
      <w:pPr>
        <w:jc w:val="center"/>
      </w:pPr>
      <w:r>
        <w:rPr>
          <w:color w:val="287EA5"/>
          <w:sz w:val="38"/>
        </w:rPr>
        <w:t>Especificação visual e inventário de telas</w:t>
      </w:r>
    </w:p>
    <w:p>
      <w:pPr>
        <w:jc w:val="center"/>
      </w:pPr>
      <w:r>
        <w:rPr>
          <w:color w:val="5C6973"/>
          <w:sz w:val="24"/>
        </w:rPr>
        <w:t>Pacote de referências para continuidade do redesign web e mobile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FBFAF7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  <w:tc>
          <w:tcPr>
            <w:tcW w:type="dxa" w:w="1680"/>
            <w:shd w:fill="8BA798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  <w:tc>
          <w:tcPr>
            <w:tcW w:type="dxa" w:w="1680"/>
            <w:shd w:fill="DCD8EA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  <w:tc>
          <w:tcPr>
            <w:tcW w:type="dxa" w:w="1680"/>
            <w:shd w:fill="EDE3D5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  <w:tc>
          <w:tcPr>
            <w:tcW w:type="dxa" w:w="1680"/>
            <w:shd w:fill="243647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  <w:tc>
          <w:tcPr>
            <w:tcW w:type="dxa" w:w="1680"/>
            <w:shd w:fill="287EA5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6"/>
              </w:rPr>
            </w:r>
          </w:p>
        </w:tc>
      </w:tr>
      <w:tr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Off-white</w:t>
              <w:br/>
              <w:t>#FBFAF7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Sálvia</w:t>
              <w:br/>
              <w:t>#8BA798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Lavanda</w:t>
              <w:br/>
              <w:t>#DCD8EA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Areia</w:t>
              <w:br/>
              <w:t>#EDE3D5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Azul profundo</w:t>
              <w:br/>
              <w:t>#243647</w:t>
            </w:r>
          </w:p>
        </w:tc>
        <w:tc>
          <w:tcPr>
            <w:tcW w:type="dxa" w:w="168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3647"/>
                <w:sz w:val="16"/>
              </w:rPr>
              <w:t>Teal de ação</w:t>
              <w:br/>
              <w:t>#287EA5</w:t>
            </w:r>
          </w:p>
        </w:tc>
      </w:tr>
    </w:tbl>
    <w:p>
      <w:pPr/>
      <w:r>
        <w:t>Data do documento: 22 de outubro de 2026. O pacote reúne 23 imagens PNG finais disponíveis nesta etapa.</w:t>
      </w:r>
    </w:p>
    <w:p>
      <w:pPr>
        <w:pStyle w:val="Heading1"/>
      </w:pPr>
      <w:r>
        <w:t>1. Direção de design</w:t>
      </w:r>
    </w:p>
    <w:p>
      <w:r>
        <w:t>A identidade selecionada para o ConsultaPsi combina organização, acolhimento e clareza. A interface deve parecer profissional para a gestão de uma clínica, mas sem assumir a estética fria de um software administrativo genérico. O sistema utiliza uma base clara e confortável, superfícies brancas, cores naturais e formas orgânicas discretas.</w:t>
      </w:r>
    </w:p>
    <w:p>
      <w:pPr>
        <w:pStyle w:val="ListBullet"/>
      </w:pPr>
      <w:r>
        <w:t>Sensação geral: leve, acolhedora, segura e organizada.</w:t>
      </w:r>
    </w:p>
    <w:p>
      <w:pPr>
        <w:pStyle w:val="ListBullet"/>
      </w:pPr>
      <w:r>
        <w:t>Fundo principal: off-white quente, reduzindo o contraste agressivo do branco puro.</w:t>
      </w:r>
    </w:p>
    <w:p>
      <w:pPr>
        <w:pStyle w:val="ListBullet"/>
      </w:pPr>
      <w:r>
        <w:t>Ações principais: azul-petróleo/teal com alto contraste e estados visíveis.</w:t>
      </w:r>
    </w:p>
    <w:p>
      <w:pPr>
        <w:pStyle w:val="ListBullet"/>
      </w:pPr>
      <w:r>
        <w:t>Estados positivos: verde sálvia ou verde suave; pendências: areia/âmbar suave; informações: lavanda e azul claro.</w:t>
      </w:r>
    </w:p>
    <w:p>
      <w:pPr>
        <w:pStyle w:val="ListBullet"/>
      </w:pPr>
      <w:r>
        <w:t>Decoração: folhas, curvas e formas orgânicas somente como apoio de marca; nunca devem competir com formulários, calendários ou dados clínicos.</w:t>
      </w:r>
    </w:p>
    <w:p>
      <w:pPr>
        <w:pStyle w:val="Heading1"/>
      </w:pPr>
      <w:r>
        <w:t>2. Sistema visual</w:t>
      </w:r>
    </w:p>
    <w:p>
      <w:pPr>
        <w:pStyle w:val="Heading2"/>
      </w:pPr>
      <w:r>
        <w:t>2.1 Cores</w:t>
      </w:r>
    </w:p>
    <w:p>
      <w:r>
        <w:t>A paleta deve ser aplicada de forma hierárquica. O off-white fica reservado para a página; branco para cartões e modais; sálvia, lavanda e areia aparecem em estados, indicadores e blocos de apoio; azul profundo é usado em títulos e texto; teal é reservado para ações primárias, links e foco.</w:t>
      </w:r>
    </w:p>
    <w:p>
      <w:pPr>
        <w:pStyle w:val="Heading2"/>
      </w:pPr>
      <w:r>
        <w:t>2.2 Tipografia</w:t>
      </w:r>
    </w:p>
    <w:p>
      <w:r>
        <w:t>Recomenda-se uma sans-serif moderna e humanista, como Inter, Manrope, Nunito Sans ou equivalente. Títulos devem ter peso 700, subtítulos 400–500, labels 600 e corpo 400. Evitar excesso de caixa alta e textos longos em componentes pequenos.</w:t>
      </w:r>
    </w:p>
    <w:p>
      <w:pPr>
        <w:pStyle w:val="Heading2"/>
      </w:pPr>
      <w:r>
        <w:t>2.3 Forma e elevação</w:t>
      </w:r>
    </w:p>
    <w:p>
      <w:pPr>
        <w:pStyle w:val="ListBullet"/>
      </w:pPr>
      <w:r>
        <w:t>Cards e modais: raio de 14–18 px.</w:t>
      </w:r>
    </w:p>
    <w:p>
      <w:pPr>
        <w:pStyle w:val="ListBullet"/>
      </w:pPr>
      <w:r>
        <w:t>Campos e botões: raio de 8–12 px.</w:t>
      </w:r>
    </w:p>
    <w:p>
      <w:pPr>
        <w:pStyle w:val="ListBullet"/>
      </w:pPr>
      <w:r>
        <w:t>Bordas: #E7E3DC ou equivalente, sempre muito suaves.</w:t>
      </w:r>
    </w:p>
    <w:p>
      <w:pPr>
        <w:pStyle w:val="ListBullet"/>
      </w:pPr>
      <w:r>
        <w:t>Sombras: baixa opacidade, ampla difusão e sem aparência pesada.</w:t>
      </w:r>
    </w:p>
    <w:p>
      <w:pPr>
        <w:pStyle w:val="ListBullet"/>
      </w:pPr>
      <w:r>
        <w:t>Espaçamento: escala consistente de 4, 8, 12, 16, 24 e 32 px.</w:t>
      </w:r>
    </w:p>
    <w:p>
      <w:pPr>
        <w:pStyle w:val="Heading1"/>
      </w:pPr>
      <w:r>
        <w:t>3. Componentes e padrões</w:t>
      </w:r>
    </w:p>
    <w:p>
      <w:pPr>
        <w:pStyle w:val="Heading2"/>
      </w:pPr>
      <w:r>
        <w:t>3.1 Navegação lateral</w:t>
      </w:r>
    </w:p>
    <w:p>
      <w:r>
        <w:t>A sidebar branca organiza Dashboard, Agendamentos, Reuniões, Pacientes, Psicólogas e Salas, além dos grupos Financeiro e Sistema. O item ativo recebe fundo sálvia muito claro, ícone teal e texto em azul profundo. Subitens de Agendamentos devem ter indentação clara, sem criar uma árvore visual pesada.</w:t>
      </w:r>
    </w:p>
    <w:p>
      <w:pPr>
        <w:pStyle w:val="Heading2"/>
      </w:pPr>
      <w:r>
        <w:t>3.2 Cabeçalhos de página</w:t>
      </w:r>
    </w:p>
    <w:p>
      <w:r>
        <w:t>Cada tela deve começar com título objetivo, subtítulo curto e uma ação principal no canto superior direito. O cabeçalho pode receber uma forma orgânica no canto, mas a área do título precisa permanecer limpa.</w:t>
      </w:r>
    </w:p>
    <w:p>
      <w:pPr>
        <w:pStyle w:val="Heading2"/>
      </w:pPr>
      <w:r>
        <w:t>3.3 Botões</w:t>
      </w:r>
    </w:p>
    <w:p>
      <w:pPr>
        <w:pStyle w:val="ListBullet"/>
      </w:pPr>
      <w:r>
        <w:t>Primário: teal/azul-petróleo, texto branco, ícone simples à esquerda.</w:t>
      </w:r>
    </w:p>
    <w:p>
      <w:pPr>
        <w:pStyle w:val="ListBullet"/>
      </w:pPr>
      <w:r>
        <w:t>Secundário: branco, borda suave, texto azul profundo.</w:t>
      </w:r>
    </w:p>
    <w:p>
      <w:pPr>
        <w:pStyle w:val="ListBullet"/>
      </w:pPr>
      <w:r>
        <w:t>Destrutivo ou cancelamento: branco ou areia clara, nunca vermelho saturado sem necessidade.</w:t>
      </w:r>
    </w:p>
    <w:p>
      <w:pPr>
        <w:pStyle w:val="ListBullet"/>
      </w:pPr>
      <w:r>
        <w:t>Todos os botões devem ter estado hover, foco, carregamento e desabilitado.</w:t>
      </w:r>
    </w:p>
    <w:p>
      <w:pPr>
        <w:pStyle w:val="Heading2"/>
      </w:pPr>
      <w:r>
        <w:t>3.4 Modais</w:t>
      </w:r>
    </w:p>
    <w:p>
      <w:r>
        <w:t>Os modais utilizam fundo branco elevado sobre uma camada escurecida translúcida. O cabeçalho deve apresentar título, descrição curta e botão de fechar. Formulários extensos devem separar campos em grupos visuais e manter ações no rodapé, com Cancelar à esquerda e a ação principal à direita.</w:t>
      </w:r>
    </w:p>
    <w:p>
      <w:pPr>
        <w:pStyle w:val="Heading2"/>
      </w:pPr>
      <w:r>
        <w:t>3.5 Calendários e grades</w:t>
      </w:r>
    </w:p>
    <w:p>
      <w:r>
        <w:t>Calendários usam linhas discretas, cabeçalhos claros e blocos coloridos por status. A cor nunca deve ser o único indicador: incluir texto, ícone ou legenda. Em reservas de sala, não exibir dados de pacientes; mostrar apenas psicóloga, sala, horário e situação.</w:t>
      </w:r>
    </w:p>
    <w:p>
      <w:pPr>
        <w:pStyle w:val="Heading1"/>
      </w:pPr>
      <w:r>
        <w:t>4. Inventário das telas disponíveis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87EA5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2520"/>
            <w:vAlign w:val="center"/>
            <w:shd w:fill="287EA5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520"/>
            <w:vAlign w:val="center"/>
            <w:shd w:fill="287EA5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520"/>
            <w:vAlign w:val="center"/>
            <w:shd w:fill="287EA5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Formato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consultaPsi-01-minhas-consultas-redesign.png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Agendamentos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Minhas consultas — calendário semanal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consultaPsi-02-reservas-salas-redesign.png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Agendamentos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Reservas de salas — visão geral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consultaPsi-03-nova-reserva-sala-redesign.png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Agendamentos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Nova Reserva de Sala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consultaPsi-04-novo-agendamento-redesign.png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Agendamentos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Novo Agendamento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consultaPsi-05-compartilhar-disponibilidade-redesign.png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Agendamentos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Compartilhar Disponibilidade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consultaPsi-06-reunioes-redesign.png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Reuniões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Lista e indicadores de reuniões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consultaPsi-07-nova-reuniao-redesign.png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Reuniões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Nova Reunião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consultaPsi-08-pacientes-lista-redesign.png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Pacientes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Lista de pacientes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consultaPsi-09-prontuario-envio-formulario-redesign.png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Prontuário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Envio de formulário e histórico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consultaPsi-11-detalhe-psicologa-redesign.png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Psicólogas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Detalhe do perfil da psicóloga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consultaPsi-13-gestao-salas-redesign.png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Salas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Gestão de salas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consultaPsi-14-nova-sala-redesign.png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Salas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Nova Sala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consultaPsi-16-editar-sala-redesign.png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Salas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Modal Editar Sala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consultaPsi-dashboard-01-acolhedor.png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 acolhedor e equilibrado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consultaPsi-dashboard-02-agenda.png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 com foco na agenda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consultaPsi-dashboard-03-gestao.png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 centro de gestão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consultaPsi-dashboard-mobile-agenda.png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Mobile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Dashboard mobile com foco na agenda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1440×2560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consultaPsi-login-mobile-acolhimento.png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Mobile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Login mobile apresentado em mockup de aparelho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1440×2560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consultaPsi-login-mobile-tela-pura.png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Mobile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Login mobile puro em proporção 9:16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1440×2560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consultaPsi-mockup-01-azul-profissional.png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Direção azul profissional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consultaPsi-mockup-02-acolhimento.png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Direção acolhimento clínico selecionada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consultaPsi-mockup-03-premium-escuro.png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Direção premium escura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consultaPsi-reservas-salas-redesign.png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Reservas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Reservas de salas — primeira tela gerada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43647"/>
                <w:sz w:val="15"/>
              </w:rPr>
              <w:t>PNG 2560×1440</w:t>
            </w:r>
          </w:p>
        </w:tc>
      </w:tr>
    </w:tbl>
    <w:p>
      <w:pPr>
        <w:pStyle w:val="Heading1"/>
      </w:pPr>
      <w:r>
        <w:t>5. Telas de referência e aplicação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mockup-02-acolhi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Tela de login selecionada — referência principal de acolhimento, paleta e formas orgânicas.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dashboard-02-age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Dashboard desktop — referência de hierarquia, cartões e foco na agenda.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7354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dashboard-mobile-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7354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Dashboard mobile — referência para empilhamento e navegação em uma coluna.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01-minhas-consultas-rede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Calendário semanal — aplicação da paleta em uma grade de alta densidade.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06-reunioes-re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Reuniões — aplicação de indicadores, alerta de integração e cards de sessão.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aPsi-13-gestao-salas-rede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973"/>
          <w:sz w:val="18"/>
        </w:rPr>
        <w:t>Gestão de salas — aplicação de cards de recurso, disponibilidade e calendário.</w:t>
      </w:r>
    </w:p>
    <w:p>
      <w:pPr>
        <w:pStyle w:val="Heading1"/>
      </w:pPr>
      <w:r>
        <w:t>6. Responsividade</w:t>
      </w:r>
    </w:p>
    <w:p>
      <w:pPr>
        <w:pStyle w:val="ListBullet"/>
      </w:pPr>
      <w:r>
        <w:t>Desktop: sidebar fixa, conteúdo em grade e ações no cabeçalho.</w:t>
      </w:r>
    </w:p>
    <w:p>
      <w:pPr>
        <w:pStyle w:val="ListBullet"/>
      </w:pPr>
      <w:r>
        <w:t>Tablet: sidebar recolhível e redução de colunas em calendários e tabelas.</w:t>
      </w:r>
    </w:p>
    <w:p>
      <w:pPr>
        <w:pStyle w:val="ListBullet"/>
      </w:pPr>
      <w:r>
        <w:t>Mobile: interface em uma coluna, cards empilhados, agenda como foco e navegação inferior ou menu compacto.</w:t>
      </w:r>
    </w:p>
    <w:p>
      <w:pPr>
        <w:pStyle w:val="ListBullet"/>
      </w:pPr>
      <w:r>
        <w:t>Não usar moldura de celular nas entregas de tela mobile; os arquivos mobile devem representar apenas a interface em proporção 9:16.</w:t>
      </w:r>
    </w:p>
    <w:p>
      <w:pPr>
        <w:pStyle w:val="ListBullet"/>
      </w:pPr>
      <w:r>
        <w:t>Alvos de toque mínimos de 44 px e labels persistentes em formulários.</w:t>
      </w:r>
    </w:p>
    <w:p>
      <w:pPr>
        <w:pStyle w:val="Heading1"/>
      </w:pPr>
      <w:r>
        <w:t>7. Acessibilidade e dados sensíveis</w:t>
      </w:r>
    </w:p>
    <w:p>
      <w:r>
        <w:t>A interface deve manter contraste suficiente, foco visível, navegação por teclado e mensagens de erro específicas. Informações de pacientes devem ser minimizadas em telas compartilháveis, especialmente em Reservas de Salas. Ações críticas precisam de confirmação e estados de sucesso ou erro perceptíveis sem depender apenas de cor.</w:t>
      </w:r>
    </w:p>
    <w:p>
      <w:pPr>
        <w:pStyle w:val="Heading1"/>
      </w:pPr>
      <w:r>
        <w:t>8. Pendências e próximos passos</w:t>
      </w:r>
    </w:p>
    <w:p>
      <w:r>
        <w:t>Na última rodada de geração, três telas ficaram pendentes por indisponibilidade temporária do gerador: Psicólogas — lista de profissionais; Psicólogas — editar profissional; e Salas — Reservar Sala. Elas devem ser produzidas mantendo exatamente os tokens e componentes descritos neste documento.</w:t>
      </w:r>
    </w:p>
    <w:p>
      <w:pPr>
        <w:pStyle w:val="ListBullet"/>
      </w:pPr>
      <w:r>
        <w:t>Transformar a paleta em tokens de design e variáveis CSS.</w:t>
      </w:r>
    </w:p>
    <w:p>
      <w:pPr>
        <w:pStyle w:val="ListBullet"/>
      </w:pPr>
      <w:r>
        <w:t>Criar uma biblioteca única de botões, campos, cards, tabs, badges, modais e estados.</w:t>
      </w:r>
    </w:p>
    <w:p>
      <w:pPr>
        <w:pStyle w:val="ListBullet"/>
      </w:pPr>
      <w:r>
        <w:t>Substituir ícones conceituais por uma biblioteca consistente e acessível em SVG.</w:t>
      </w:r>
    </w:p>
    <w:p>
      <w:pPr>
        <w:pStyle w:val="ListBullet"/>
      </w:pPr>
      <w:r>
        <w:t>Validar a experiência com psicólogas e administradores de clínica antes da implementação final.</w:t>
      </w:r>
    </w:p>
    <w:p>
      <w:pPr>
        <w:pStyle w:val="ListBullet"/>
      </w:pPr>
      <w:r>
        <w:t>Criar os estados de loading, vazio, erro, sucesso e sem permissão para cada módulo.</w:t>
      </w:r>
    </w:p>
    <w:p>
      <w:pPr>
        <w:pStyle w:val="Heading1"/>
      </w:pPr>
      <w:r>
        <w:t>9. Nota sobre o pacote ZIP</w:t>
      </w:r>
    </w:p>
    <w:p>
      <w:r>
        <w:t>O ZIP inclui todas as imagens PNG finais disponíveis e este documento de especificação. Os ícones e elementos visuais estão incorporados nos mockups rasterizados. Para receber ícones separados, componentes editáveis ou arquivos Figma, será necessário um passo adicional de reconstrução em formato vetorial/design system.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6"/>
      </w:rPr>
      <w:t xml:space="preserve">ConsultaPsi — especificação visual | </w:t>
    </w:r>
    <w:r>
      <w:rPr>
        <w:color w:val="78828A"/>
        <w:sz w:val="16"/>
      </w:rPr>
      <w:t>Documento de referência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6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6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E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6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6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