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F7C928"/>
          <w:sz w:val="18"/>
        </w:rPr>
        <w:t>GUIA DE DESIGN   •   VERSÃO 05   •   27 OUTUBRO 2026</w:t>
      </w:r>
    </w:p>
    <w:p>
      <w:pPr>
        <w:pStyle w:val="Title"/>
      </w:pPr>
      <w:r>
        <w:t>Passaporte Esportivo</w:t>
      </w:r>
    </w:p>
    <w:p>
      <w:pPr>
        <w:spacing w:after="220"/>
      </w:pPr>
      <w:r>
        <w:rPr>
          <w:rFonts w:ascii="Arial" w:hAnsi="Arial"/>
          <w:b/>
          <w:color w:val="123A32"/>
          <w:sz w:val="34"/>
        </w:rPr>
        <w:t>Identidade de marca, telas e sistema visual</w:t>
      </w:r>
    </w:p>
    <w:p>
      <w:pPr>
        <w:spacing w:after="200"/>
      </w:pPr>
      <w:r>
        <w:t>Uma direção visual retrô de futebol que transforma a ida ao estádio — para assistir a uma partida ou fazer uma visita — em memória colecionável.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4122"/>
            <wp:docPr id="1" name="Picture 1" descr="Prancha aprovada com as telas Login e Home na direção Ingresso de arquibanc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i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4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Arial" w:hAnsi="Arial"/>
          <w:i/>
          <w:color w:val="66736D"/>
          <w:sz w:val="17"/>
        </w:rPr>
        <w:t>Prancha visual aprovada como referência para a marca e para os primeiros fluxos do aplicativo.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9951"/>
      </w:tblGrid>
      <w:tr>
        <w:tc>
          <w:tcPr>
            <w:tcW w:type="dxa" w:w="9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E6A1"/>
          </w:tcPr>
          <w:p>
            <w:pPr>
              <w:spacing w:after="60"/>
            </w:pPr>
            <w:r>
              <w:rPr>
                <w:rFonts w:ascii="Arial" w:hAnsi="Arial"/>
                <w:b/>
                <w:color w:val="123A32"/>
                <w:sz w:val="20"/>
              </w:rPr>
              <w:t>IDEIA CENTRAL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520"/>
                <w:sz w:val="19"/>
              </w:rPr>
              <w:t>Mais que futebol, mais histórias: cada estádio visitado ganha um registro com cara de carimbo de viagem, guardando o lugar, a data e o motivo da visita.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123A32"/>
          <w:sz w:val="17"/>
        </w:rPr>
        <w:t>PALETA DA MARCA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1990"/>
        <w:gridCol w:w="1990"/>
        <w:gridCol w:w="1990"/>
        <w:gridCol w:w="1990"/>
        <w:gridCol w:w="1990"/>
      </w:tblGrid>
      <w:tr>
        <w:tc>
          <w:tcPr>
            <w:tcW w:type="dxa" w:w="19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Verde estádio</w:t>
              <w:br/>
              <w:t>#123A32</w:t>
            </w:r>
          </w:p>
        </w:tc>
        <w:tc>
          <w:tcPr>
            <w:tcW w:type="dxa" w:w="19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C92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23A32"/>
                <w:sz w:val="15"/>
              </w:rPr>
              <w:t>Amarelo ingresso</w:t>
              <w:br/>
              <w:t>#F7C928</w:t>
            </w:r>
          </w:p>
        </w:tc>
        <w:tc>
          <w:tcPr>
            <w:tcW w:type="dxa" w:w="19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9E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23A32"/>
                <w:sz w:val="15"/>
              </w:rPr>
              <w:t>Marfim</w:t>
              <w:br/>
              <w:t>#FFF9E8</w:t>
            </w:r>
          </w:p>
        </w:tc>
        <w:tc>
          <w:tcPr>
            <w:tcW w:type="dxa" w:w="19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72520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Texto</w:t>
              <w:br/>
              <w:t>#172520</w:t>
            </w:r>
          </w:p>
        </w:tc>
        <w:tc>
          <w:tcPr>
            <w:tcW w:type="dxa" w:w="19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23A32"/>
                <w:sz w:val="15"/>
              </w:rPr>
              <w:t>Branco</w:t>
              <w:br/>
              <w:t>#FFFFFF</w:t>
            </w:r>
          </w:p>
        </w:tc>
      </w:tr>
    </w:tbl>
    <w:p>
      <w:r>
        <w:br w:type="page"/>
      </w:r>
    </w:p>
    <w:p>
      <w:pPr>
        <w:pStyle w:val="Heading1"/>
      </w:pPr>
      <w:r>
        <w:t>Como navegar neste guia</w:t>
      </w:r>
    </w:p>
    <w:p>
      <w:pPr>
        <w:spacing w:after="160"/>
      </w:pPr>
      <w:r>
        <w:t>Este documento registra a identidade visual aprovada, descreve os fluxos existentes no kit v05 e aponta o que já está pronto como referência visual e o que ainda precisa de especificação ou integração antes da implementação.</w:t>
      </w:r>
    </w:p>
    <w:p>
      <w:pPr>
        <w:pStyle w:val="Heading2"/>
      </w:pPr>
      <w:r>
        <w:t>Conteúdo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8"/>
              </w:rPr>
              <w:t>1. Identidade da marca</w:t>
            </w:r>
          </w:p>
        </w:tc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6736D"/>
                <w:sz w:val="18"/>
              </w:rPr>
              <w:t>3</w:t>
            </w:r>
          </w:p>
        </w:tc>
      </w:tr>
      <w:tr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8"/>
              </w:rPr>
              <w:t>2. Sistema visual e componentes</w:t>
            </w:r>
          </w:p>
        </w:tc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6736D"/>
                <w:sz w:val="18"/>
              </w:rPr>
              <w:t>4</w:t>
            </w:r>
          </w:p>
        </w:tc>
      </w:tr>
      <w:tr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8"/>
              </w:rPr>
              <w:t>3. Telas de entrada e conta</w:t>
            </w:r>
          </w:p>
        </w:tc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6736D"/>
                <w:sz w:val="18"/>
              </w:rPr>
              <w:t>5</w:t>
            </w:r>
          </w:p>
        </w:tc>
      </w:tr>
      <w:tr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8"/>
              </w:rPr>
              <w:t>4. Descoberta: Home e Mapa</w:t>
            </w:r>
          </w:p>
        </w:tc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6736D"/>
                <w:sz w:val="18"/>
              </w:rPr>
              <w:t>6</w:t>
            </w:r>
          </w:p>
        </w:tc>
      </w:tr>
      <w:tr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8"/>
              </w:rPr>
              <w:t>5. Meu Passaporte e carimbos</w:t>
            </w:r>
          </w:p>
        </w:tc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6736D"/>
                <w:sz w:val="18"/>
              </w:rPr>
              <w:t>7</w:t>
            </w:r>
          </w:p>
        </w:tc>
      </w:tr>
      <w:tr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8"/>
              </w:rPr>
              <w:t>6. Auditoria do ZIP e especificação de entrega</w:t>
            </w:r>
          </w:p>
        </w:tc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6736D"/>
                <w:sz w:val="18"/>
              </w:rPr>
              <w:t>8</w:t>
            </w:r>
          </w:p>
        </w:tc>
      </w:tr>
      <w:tr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8"/>
              </w:rPr>
              <w:t>7. Resultado da auditoria e próximos passos</w:t>
            </w:r>
          </w:p>
        </w:tc>
        <w:tc>
          <w:tcPr>
            <w:tcW w:type="dxa" w:w="4975"/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6736D"/>
                <w:sz w:val="18"/>
              </w:rPr>
              <w:t>9</w:t>
            </w:r>
          </w:p>
        </w:tc>
      </w:tr>
    </w:tbl>
    <w:p>
      <w:pPr>
        <w:pStyle w:val="Heading2"/>
      </w:pPr>
      <w:r>
        <w:t>Resumo executivo</w:t>
      </w:r>
    </w:p>
    <w:p>
      <w:pPr>
        <w:spacing w:after="100"/>
      </w:pPr>
      <w:r>
        <w:t>A marca combina o ritual de colecionar carimbos com a atmosfera de arquibancada e a descoberta de estádios pelo mundo. A linguagem parte do ingresso perfurado e do passaporte esportivo; usa verde profundo para estrutura e contraste, amarelo para ação e destaque, e marfim para a sensação de papel. Tipografia condensada, selos circulares, ondas de carimbo, mapa e fotografia de estádio amarram os diferentes fluxos.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9951"/>
      </w:tblGrid>
      <w:tr>
        <w:tc>
          <w:tcPr>
            <w:tcW w:type="dxa" w:w="9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1EEDF"/>
          </w:tcPr>
          <w:p>
            <w:pPr>
              <w:spacing w:after="60"/>
            </w:pPr>
            <w:r>
              <w:rPr>
                <w:rFonts w:ascii="Arial" w:hAnsi="Arial"/>
                <w:b/>
                <w:color w:val="123A32"/>
                <w:sz w:val="20"/>
              </w:rPr>
              <w:t>ESCOPO DO KIT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520"/>
                <w:sz w:val="19"/>
              </w:rPr>
              <w:t>O ZIP reúne sete telas individuais — Login, Home, Cadastro, Recuperação de senha, Passaporte v04, Passaporte v05 e Mapa — além da prancha original Login/Home. Inclui 19 ícones SVG, dois componentes SVG, a geometria do mapa, três fotos de estádios, tokens, arquivos-fonte locais e a animação. Os arquivos representam mockups; não são um aplicativo conectado a serviços reais.</w:t>
            </w:r>
          </w:p>
        </w:tc>
      </w:tr>
    </w:tbl>
    <w:p>
      <w:pPr>
        <w:pStyle w:val="Heading1"/>
      </w:pPr>
      <w:r>
        <w:t>1. Identidade da marca</w:t>
      </w:r>
    </w:p>
    <w:p>
      <w:pPr>
        <w:pStyle w:val="Heading2"/>
      </w:pPr>
      <w:r>
        <w:t>Essência, promessa e personalidade</w:t>
      </w:r>
    </w:p>
    <w:p>
      <w:pPr>
        <w:spacing w:after="100"/>
      </w:pPr>
      <w:r>
        <w:t>Nome: Passaporte Esportivo. A marca posiciona o torcedor como viajante e colecionador de experiências: o estádio deixa de ser apenas um endereço e passa a ser um destino, uma lembrança e um carimbo pessoal. A promessa é ajudar a descobrir estádios, registrar visitas e partidas e reunir essas histórias em um passaporte digital.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6ED"/>
          </w:tcPr>
          <w:p>
            <w:pPr>
              <w:spacing w:after="80"/>
            </w:pPr>
            <w:r>
              <w:rPr>
                <w:rFonts w:ascii="Arial" w:hAnsi="Arial"/>
                <w:b/>
                <w:color w:val="123A32"/>
                <w:sz w:val="20"/>
              </w:rPr>
              <w:t>Promessa de experiência</w:t>
            </w:r>
          </w:p>
          <w:p>
            <w:pPr>
              <w:spacing w:after="0" w:line="259" w:lineRule="auto"/>
            </w:pPr>
            <w:r>
              <w:t>Descobrir o próximo estádio, chegar até ele e guardar a memória do futebol vivido — seja na arquibancada, seja numa visita ao local.</w:t>
            </w:r>
          </w:p>
        </w:tc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6ED"/>
          </w:tcPr>
          <w:p>
            <w:pPr>
              <w:spacing w:after="80"/>
            </w:pPr>
            <w:r>
              <w:rPr>
                <w:rFonts w:ascii="Arial" w:hAnsi="Arial"/>
                <w:b/>
                <w:color w:val="123A32"/>
                <w:sz w:val="20"/>
              </w:rPr>
              <w:t>Personalidade</w:t>
            </w:r>
          </w:p>
          <w:p>
            <w:pPr>
              <w:spacing w:after="0" w:line="259" w:lineRule="auto"/>
            </w:pPr>
            <w:r>
              <w:t>Apaixonada por futebol, curiosa, acolhedora e exploradora. Evoca nostalgia de ingressos e passaportes sem parecer antiga ou difícil de usar.</w:t>
            </w:r>
          </w:p>
        </w:tc>
      </w:tr>
    </w:tbl>
    <w:p>
      <w:pPr>
        <w:pStyle w:val="Heading2"/>
      </w:pPr>
      <w:r>
        <w:t>Assinaturas e frases da interface</w:t>
      </w:r>
    </w:p>
    <w:p>
      <w:pPr>
        <w:spacing w:after="100"/>
      </w:pPr>
      <w:r>
        <w:t>As frases já presentes nos mockups funcionam como expressões de marca, não como um slogan único obrigatório: “Seu próximo carimbo começa aqui”, “Mais que futebol, mais histórias” e “Suas visitas, suas histórias”. Elas conectam descoberta, memória e coleção.</w:t>
      </w:r>
    </w:p>
    <w:p>
      <w:pPr>
        <w:pStyle w:val="Heading2"/>
      </w:pPr>
      <w:r>
        <w:t>Símbolo e narrativa gráfica</w:t>
      </w:r>
    </w:p>
    <w:p>
      <w:pPr>
        <w:spacing w:after="100"/>
      </w:pPr>
      <w:r>
        <w:t>O símbolo combina bola de futebol, estrelas e linhas de cancelamento postal. A bola dentro de um selo circular comunica futebol e conquista; as linhas de carimbo evocam viagem e validação; a silhueta do ingresso perfurado reforça a lembrança de jogo. Avião, mapa, pin e bússola aparecem como sinais secundários de deslocamento e exploração. O nome em duas linhas com desenho condensado dá presença de arquibancada.</w:t>
      </w:r>
    </w:p>
    <w:p>
      <w:pPr>
        <w:pStyle w:val="Heading2"/>
      </w:pPr>
      <w:r>
        <w:t>Paleta oficial do kit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3317"/>
        <w:gridCol w:w="3317"/>
        <w:gridCol w:w="3317"/>
      </w:tblGrid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Cor / token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HEX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  <w:shd w:fill="#123A32"/>
          </w:tcPr>
          <w:p>
            <w:r>
              <w:rPr>
                <w:rFonts w:ascii="Arial" w:hAnsi="Arial"/>
                <w:b/>
                <w:color w:val="123A32"/>
                <w:sz w:val="17"/>
              </w:rPr>
              <w:t>Verde estádio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b/>
                <w:color w:val="172520"/>
                <w:sz w:val="17"/>
              </w:rPr>
              <w:t>#123A32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color w:val="172520"/>
                <w:sz w:val="17"/>
              </w:rPr>
              <w:t>Estrutura, logotipo, ícones, textos de alta ênfase e molduras.</w:t>
            </w:r>
          </w:p>
        </w:tc>
      </w:tr>
      <w:tr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  <w:shd w:fill="#F7C928"/>
          </w:tcPr>
          <w:p>
            <w:r>
              <w:rPr>
                <w:rFonts w:ascii="Arial" w:hAnsi="Arial"/>
                <w:b/>
                <w:color w:val="123A32"/>
                <w:sz w:val="17"/>
              </w:rPr>
              <w:t>Amarelo ingresso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b/>
                <w:color w:val="172520"/>
                <w:sz w:val="17"/>
              </w:rPr>
              <w:t>#F7C928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color w:val="172520"/>
                <w:sz w:val="17"/>
              </w:rPr>
              <w:t>Ação primária, seleção, carimbos de destaque e sinalização.</w:t>
            </w:r>
          </w:p>
        </w:tc>
      </w:tr>
      <w:tr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  <w:shd w:fill="#FFF9E8"/>
          </w:tcPr>
          <w:p>
            <w:r>
              <w:rPr>
                <w:rFonts w:ascii="Arial" w:hAnsi="Arial"/>
                <w:b/>
                <w:color w:val="123A32"/>
                <w:sz w:val="17"/>
              </w:rPr>
              <w:t>Marfim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b/>
                <w:color w:val="172520"/>
                <w:sz w:val="17"/>
              </w:rPr>
              <w:t>#FFF9E8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color w:val="172520"/>
                <w:sz w:val="17"/>
              </w:rPr>
              <w:t>Fundos de papel, cartões e áreas de leitura.</w:t>
            </w:r>
          </w:p>
        </w:tc>
      </w:tr>
      <w:tr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  <w:shd w:fill="#172520"/>
          </w:tcPr>
          <w:p>
            <w:r>
              <w:rPr>
                <w:rFonts w:ascii="Arial" w:hAnsi="Arial"/>
                <w:b/>
                <w:color w:val="123A32"/>
                <w:sz w:val="17"/>
              </w:rPr>
              <w:t>Texto escuro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b/>
                <w:color w:val="172520"/>
                <w:sz w:val="17"/>
              </w:rPr>
              <w:t>#172520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color w:val="172520"/>
                <w:sz w:val="17"/>
              </w:rPr>
              <w:t>Títulos e texto quando o verde não for suficiente para contraste.</w:t>
            </w:r>
          </w:p>
        </w:tc>
      </w:tr>
      <w:tr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  <w:shd w:fill="#FFFFFF"/>
          </w:tcPr>
          <w:p>
            <w:r>
              <w:rPr>
                <w:rFonts w:ascii="Arial" w:hAnsi="Arial"/>
                <w:b/>
                <w:color w:val="123A32"/>
                <w:sz w:val="17"/>
              </w:rPr>
              <w:t>Branco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b/>
                <w:color w:val="172520"/>
                <w:sz w:val="17"/>
              </w:rPr>
              <w:t>#FFFFFF</w:t>
            </w:r>
          </w:p>
        </w:tc>
        <w:tc>
          <w:tcPr>
            <w:tcW w:type="dxa" w:w="331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>
              <w:rPr>
                <w:rFonts w:ascii="Arial" w:hAnsi="Arial"/>
                <w:color w:val="172520"/>
                <w:sz w:val="17"/>
              </w:rPr>
              <w:t>Campos, superfícies limpas e contraste sobre verde.</w:t>
            </w:r>
          </w:p>
        </w:tc>
      </w:tr>
    </w:tbl>
    <w:p>
      <w:pPr>
        <w:spacing w:after="0"/>
      </w:pPr>
      <w:r>
        <w:t>A textura de papel e a fotografia podem adicionar calor, mas não devem reduzir o contraste do texto nem competir com a ação principal. O amarelo é acento e estado; não deve ser usado como corpo de texto miúdo.</w:t>
      </w:r>
    </w:p>
    <w:p>
      <w:pPr>
        <w:pStyle w:val="Heading1"/>
      </w:pPr>
      <w:r>
        <w:t>2. Sistema visual e componentes</w:t>
      </w:r>
    </w:p>
    <w:p>
      <w:pPr>
        <w:pStyle w:val="Heading2"/>
      </w:pPr>
      <w:r>
        <w:t>Tipografia, forma e textura</w:t>
      </w:r>
    </w:p>
    <w:p>
      <w:pPr>
        <w:spacing w:after="100"/>
      </w:pPr>
      <w:r>
        <w:t>Os mockups usam títulos de display pesados e condensados, inspirados em cartazes de futebol, placares e sinalização de estádio. Textos corridos e campos devem usar uma sans-serif simples e legível. O pacote não inclui arquivos de fonte nem define uma família tipográfica licenciada; na implementação, selecione uma fonte condensada com licença adequada para títulos e uma fonte de sistema/sans-serif para interface, verificando acentos, números, pesos e legibilidade em tamanhos pequenos.</w:t>
      </w:r>
    </w:p>
    <w:p>
      <w:pPr>
        <w:spacing w:after="100"/>
      </w:pPr>
      <w:r>
        <w:t>As superfícies marfim lembram papel de bilhete; a granulação é leve e decorativa. Bordas recortadas e cantos com “mordida” lembram ingresso físico. Selos circulares, linhas postais, estrelas e carimbos formam uma camada comemorativa. Cartões de conteúdo continuam claros e organizados para que a nostalgia não prejudique a leitura.</w:t>
      </w:r>
    </w:p>
    <w:p>
      <w:pPr>
        <w:pStyle w:val="Heading2"/>
      </w:pPr>
      <w:r>
        <w:t>Ícones e ativos vetoriais incluídos</w:t>
      </w:r>
    </w:p>
    <w:p>
      <w:pPr>
        <w:spacing w:after="100"/>
      </w:pPr>
      <w:r>
        <w:t>O pacote contém 19 ícones SVG editáveis: arrow-right, back, bandeira-argentina, camera-ai, crest-stamp, email, eye, football, home, location-pin, lock, map, menu, passport, profile, search, stadium, stamp-partida e stamp-visita. Há ainda dois componentes SVG — football-postmark e perforated-ticket — além do mapa mundial world-map.svg. O GeoJSON de países está em assets/map/ne_110m_admin_0_countries.geojson.</w:t>
      </w:r>
    </w:p>
    <w:p>
      <w:pPr>
        <w:pStyle w:val="Heading2"/>
      </w:pPr>
      <w:r>
        <w:t>Aplicação dos ícones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Navegação</w:t>
            </w:r>
          </w:p>
        </w:tc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home, map, passport, profile, menu, back, arrow-right</w:t>
            </w:r>
          </w:p>
        </w:tc>
      </w:tr>
      <w:tr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Conta e formulário</w:t>
            </w:r>
          </w:p>
        </w:tc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email, lock, eye</w:t>
            </w:r>
          </w:p>
        </w:tc>
      </w:tr>
      <w:tr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Descoberta e lugar</w:t>
            </w:r>
          </w:p>
        </w:tc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search, location-pin, stadium, bandeira-argentina</w:t>
            </w:r>
          </w:p>
        </w:tc>
      </w:tr>
      <w:tr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Futebol e coleção</w:t>
            </w:r>
          </w:p>
        </w:tc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football, crest-stamp, stamp-partida, stamp-visita</w:t>
            </w:r>
          </w:p>
        </w:tc>
      </w:tr>
      <w:tr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Captura e IA</w:t>
            </w:r>
          </w:p>
        </w:tc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camera-ai</w:t>
            </w:r>
          </w:p>
        </w:tc>
      </w:tr>
      <w:tr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Componentes</w:t>
            </w:r>
          </w:p>
        </w:tc>
        <w:tc>
          <w:tcPr>
            <w:tcW w:type="dxa" w:w="497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football-postmark, perforated-ticket</w:t>
            </w:r>
          </w:p>
        </w:tc>
      </w:tr>
    </w:tbl>
    <w:p>
      <w:pPr>
        <w:pStyle w:val="Heading2"/>
      </w:pPr>
      <w:r>
        <w:t>Comportamento do sistema</w:t>
      </w:r>
    </w:p>
    <w:p>
      <w:pPr>
        <w:spacing w:after="100"/>
      </w:pPr>
      <w:r>
        <w:t>Use o amarelo para ação principal e seleção; mantenha rótulos visíveis junto aos ícones de navegação; mantenha áreas de toque generosas e alinhamento consistente. Cartões e campos têm contorno fino verde/cinza e fundo claro. A hierarquia deve permanecer: título da tela, contexto (país/cidade/estádio), ação, conteúdo e navegação persistente.</w:t>
      </w:r>
    </w:p>
    <w:p>
      <w:pPr>
        <w:pStyle w:val="Heading1"/>
      </w:pPr>
      <w:r>
        <w:t>3. Telas de entrada e conta</w:t>
      </w:r>
    </w:p>
    <w:p>
      <w:pPr>
        <w:spacing w:after="100"/>
      </w:pPr>
      <w:r>
        <w:t>As três telas abaixo formam o fluxo de acesso. Cada imagem é um mockup visual — campos, botões e ações ilustram o comportamento esperado, mas não estão conectados a autenticação.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3317"/>
        <w:gridCol w:w="3317"/>
        <w:gridCol w:w="3317"/>
      </w:tblGrid>
      <w:tr>
        <w:tc>
          <w:tcPr>
            <w:tcW w:type="dxa" w:w="32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3010004"/>
                  <wp:docPr id="2" name="Picture 2" descr="Log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3010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/>
                <w:color w:val="123A32"/>
                <w:sz w:val="18"/>
              </w:rPr>
              <w:t>Login</w:t>
            </w:r>
          </w:p>
          <w:p>
            <w:pPr>
              <w:spacing w:after="0" w:line="252" w:lineRule="auto"/>
            </w:pPr>
            <w:r>
              <w:t>E-mail e senha; ação Entrar; caminho Criar conta. O selo amarelo atua como painel de autenticação.</w:t>
            </w:r>
          </w:p>
        </w:tc>
        <w:tc>
          <w:tcPr>
            <w:tcW w:type="dxa" w:w="32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6192" cy="2731008"/>
                  <wp:docPr id="3" name="Picture 3" descr="Cadast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astro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2731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/>
                <w:color w:val="123A32"/>
                <w:sz w:val="18"/>
              </w:rPr>
              <w:t>Cadastro</w:t>
            </w:r>
          </w:p>
          <w:p>
            <w:pPr>
              <w:spacing w:after="0" w:line="252" w:lineRule="auto"/>
            </w:pPr>
            <w:r>
              <w:t>Nome, e-mail, senha e confirmação; ação Criar conta; retorno para Entrar.</w:t>
            </w:r>
          </w:p>
        </w:tc>
        <w:tc>
          <w:tcPr>
            <w:tcW w:type="dxa" w:w="32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6192" cy="2731008"/>
                  <wp:docPr id="4" name="Picture 4" descr="Recuperaçã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upera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2731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/>
                <w:color w:val="123A32"/>
                <w:sz w:val="18"/>
              </w:rPr>
              <w:t>Recuperação</w:t>
            </w:r>
          </w:p>
          <w:p>
            <w:pPr>
              <w:spacing w:after="0" w:line="252" w:lineRule="auto"/>
            </w:pPr>
            <w:r>
              <w:t>Solicita e-mail para envio de link; oferece retorno ao login e seta de voltar.</w:t>
            </w:r>
          </w:p>
        </w:tc>
      </w:tr>
    </w:tbl>
    <w:p>
      <w:pPr>
        <w:pStyle w:val="Heading2"/>
      </w:pPr>
      <w:r>
        <w:t>Critérios de usabilidade para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6ED"/>
          </w:tcPr>
          <w:p>
            <w:pPr>
              <w:spacing w:after="80"/>
            </w:pPr>
            <w:r>
              <w:rPr>
                <w:rFonts w:ascii="Arial" w:hAnsi="Arial"/>
                <w:b/>
                <w:color w:val="123A32"/>
                <w:sz w:val="20"/>
              </w:rPr>
              <w:t>Formulários</w:t>
            </w:r>
          </w:p>
          <w:p>
            <w:pPr>
              <w:spacing w:after="0" w:line="259" w:lineRule="auto"/>
            </w:pPr>
            <w:r>
              <w:t>Exibir rótulos persistentes, teclado adequado por tipo de campo, estado de foco, validação próxima ao campo e mensagens de erro claras. O ícone de olho deve expor/ocultar senha sem apagar o valor.</w:t>
            </w:r>
          </w:p>
        </w:tc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6ED"/>
          </w:tcPr>
          <w:p>
            <w:pPr>
              <w:spacing w:after="80"/>
            </w:pPr>
            <w:r>
              <w:rPr>
                <w:rFonts w:ascii="Arial" w:hAnsi="Arial"/>
                <w:b/>
                <w:color w:val="123A32"/>
                <w:sz w:val="20"/>
              </w:rPr>
              <w:t>Acessibilidade e segurança</w:t>
            </w:r>
          </w:p>
          <w:p>
            <w:pPr>
              <w:spacing w:after="0" w:line="259" w:lineRule="auto"/>
            </w:pPr>
            <w:r>
              <w:t>Definir contraste, foco visível, área tátil, proteção contra exposição de senhas e confirmação acessível de envio. Não usar apenas cor ou ícone para comunicar estado.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9951"/>
      </w:tblGrid>
      <w:tr>
        <w:tc>
          <w:tcPr>
            <w:tcW w:type="dxa" w:w="9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1EEDF"/>
          </w:tcPr>
          <w:p>
            <w:pPr>
              <w:spacing w:after="60"/>
            </w:pPr>
            <w:r>
              <w:rPr>
                <w:rFonts w:ascii="Arial" w:hAnsi="Arial"/>
                <w:b/>
                <w:color w:val="123A32"/>
                <w:sz w:val="20"/>
              </w:rPr>
              <w:t>OBSERVAÇÃO DE ARTE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520"/>
                <w:sz w:val="19"/>
              </w:rPr>
              <w:t>A prancha de Login/Home aprovada tem fundo fotográfico de estádio e multidão. Esses fundos aparecem integrados à imagem rasterizada; não há arquivos de camadas nem um pacote separado de todas as fotos/texturas dessa composição.</w:t>
            </w:r>
          </w:p>
        </w:tc>
      </w:tr>
    </w:tbl>
    <w:p>
      <w:pPr>
        <w:pStyle w:val="Heading1"/>
      </w:pPr>
      <w:r>
        <w:t>4. Descoberta: Home e Mapa</w:t>
      </w:r>
    </w:p>
    <w:p>
      <w:pPr>
        <w:pStyle w:val="Heading2"/>
      </w:pPr>
      <w:r>
        <w:t>Home — descoberta contextual</w:t>
      </w:r>
    </w:p>
    <w:p>
      <w:pPr>
        <w:spacing w:after="100"/>
      </w:pPr>
      <w:r>
        <w:t>A Home da referência reúne busca por país/cidade/estádio, seletor de país com Brasil em destaque, acesso por localização (“Centro de São Paulo”), lista de estádios próximos com distância e atalho “Registrar com IA”. O card de estádio dá prioridade à foto, ao nome e à distância. O mapa mundial na Home é uma chamada de exploração; a tela dedicada Mapa aprofunda a navegação por país.</w:t>
      </w:r>
    </w:p>
    <w:p>
      <w:pPr>
        <w:pStyle w:val="Heading2"/>
      </w:pPr>
      <w:r>
        <w:t>Mapa — exploração por país</w:t>
      </w:r>
    </w:p>
    <w:p>
      <w:pPr>
        <w:spacing w:after="100"/>
      </w:pPr>
      <w:r>
        <w:t>A tela Mapa usa uma geometria mundial em verde e marfim, busca por país/estádio, destaque amarelo na Argentina e identificação do país selecionado. A prévia ordena três exemplos de estádios por capacidade e oferece “Ver todos os estádios”. A animação silenciosa demonstra a sequência: mapa neutro, toque/seleção da Argentina, destaque e aparição da lista.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483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3720230"/>
                  <wp:docPr id="5" name="Picture 5" descr="Recorte da tela Home aprovad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3720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23A32"/>
                <w:sz w:val="17"/>
              </w:rPr>
              <w:t>HOME · referência aprovada</w:t>
            </w:r>
          </w:p>
        </w:tc>
        <w:tc>
          <w:tcPr>
            <w:tcW w:type="dxa" w:w="483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251200"/>
                  <wp:docPr id="6" name="Picture 6" descr="Tela de mapa-múndi com Argentina selecionad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a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23A32"/>
                <w:sz w:val="17"/>
              </w:rPr>
              <w:t>MAPA · versão v05</w:t>
            </w:r>
          </w:p>
        </w:tc>
      </w:tr>
    </w:tbl>
    <w:p>
      <w:pPr>
        <w:pStyle w:val="Heading2"/>
      </w:pPr>
      <w:r>
        <w:t>Navegação e consistência entre versões</w:t>
      </w:r>
    </w:p>
    <w:p>
      <w:pPr>
        <w:spacing w:after="100"/>
      </w:pPr>
      <w:r>
        <w:t>A ordem consolidada mais recente é Home → Mapa → Passaporte → Perfil. Ela aparece nas telas Mapa e Passaporte v05. O recorte Home provém da prancha aprovada original e ainda mostra a navegação anterior de três itens (Mapa, Passaporte, Perfil). O ZIP mantém essa referência histórica e a separa para consulta; antes de implementar, atualizar a Home para exibir Home como primeira aba e Mapa ao lado dela, alinhando-a às telas v05.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9951"/>
      </w:tblGrid>
      <w:tr>
        <w:tc>
          <w:tcPr>
            <w:tcW w:type="dxa" w:w="9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1EEDF"/>
          </w:tcPr>
          <w:p>
            <w:pPr>
              <w:spacing w:after="60"/>
            </w:pPr>
            <w:r>
              <w:rPr>
                <w:rFonts w:ascii="Arial" w:hAnsi="Arial"/>
                <w:b/>
                <w:color w:val="123A32"/>
                <w:sz w:val="20"/>
              </w:rPr>
              <w:t>LIMITES DO PROTÓTIPO DE MAPA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520"/>
                <w:sz w:val="19"/>
              </w:rPr>
              <w:t>A tela mostra somente a Argentina como exemplo. Os dados de capacidade são demonstrativos e há divergência documentada para La Bombonera. “IA” é um indicador de conceito, não uma consulta real; a lista completa e o ranking dependem de fonte/API atualizada.</w:t>
            </w:r>
          </w:p>
        </w:tc>
      </w:tr>
    </w:tbl>
    <w:p>
      <w:pPr>
        <w:pStyle w:val="Heading1"/>
      </w:pPr>
      <w:r>
        <w:t>5. Meu Passaporte e carimbos</w:t>
      </w:r>
    </w:p>
    <w:p>
      <w:pPr>
        <w:spacing w:after="100"/>
      </w:pPr>
      <w:r>
        <w:t>A tela “Meu Passaporte” transforma cada visita em uma coleção visual. O topo resume quantidade de carimbos e estádios; cada card apresenta o nome e a cidade, um selo com a imagem do estádio, a categoria da experiência e a data. “Visita” e “Partida” são categorias distintas: a primeira registra conhecer o estádio; a segunda, assistir a uma partida. “Adicionar carimbo” inicia o fluxo de captura/registro.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52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5202936"/>
                  <wp:docPr id="7" name="Picture 7" descr="Tela Meu Passaporte com contadores, três carimbos, botão Adicionar carimbo e navegação v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aport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5202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23A32"/>
                <w:sz w:val="20"/>
              </w:rPr>
              <w:t>ELEMENTOS DO FLUXO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sz w:val="18"/>
              </w:rPr>
              <w:t>Resumo: carimbos colecionados e número de estádios distintos.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sz w:val="18"/>
              </w:rPr>
              <w:t>Selo visual com nome do estádio e localização.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sz w:val="18"/>
              </w:rPr>
              <w:t>Tipo de experiência: visita ou partida assistida.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sz w:val="18"/>
              </w:rPr>
              <w:t>Data associada ao registro.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sz w:val="18"/>
              </w:rPr>
              <w:t>Ação primária para adicionar outro carimbo.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sz w:val="18"/>
              </w:rPr>
              <w:t>Barra persistente Home, Mapa, Passaporte e Perfil.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color w:val="123A32"/>
                <w:sz w:val="18"/>
              </w:rPr>
              <w:t>FOTOS E CRÉDITOS</w:t>
            </w:r>
          </w:p>
          <w:p>
            <w:pPr>
              <w:spacing w:after="0" w:line="247" w:lineRule="auto"/>
            </w:pPr>
            <w:r>
              <w:t>As imagens substituem apenas as ilustrações centrais dos carimbos: Mercado Livre Arena Pacaembu (referência 2025), Maracanã (2022) e Allianz Parque (2024). Consulte photo-credits.md para atribuição/licença. A foto do Pacaembu não tem licença de reutilização declarada na galeria consultada; obtenha autorização antes de publicar ou explorar comercialmente.</w:t>
            </w:r>
          </w:p>
        </w:tc>
      </w:tr>
    </w:tbl>
    <w:p>
      <w:pPr>
        <w:pStyle w:val="Heading2"/>
      </w:pPr>
      <w:r>
        <w:t>Regras de consistência dos carimbos</w:t>
      </w:r>
    </w:p>
    <w:p>
      <w:pPr>
        <w:spacing w:after="100"/>
      </w:pPr>
      <w:r>
        <w:t>Manter o formato circular e a cor como códigos de coleção, sem depender exclusivamente da cor: escrever sempre “Visita” ou “Partida”. Não misturar datas de partida com datas de visita. Ao adicionar por fotografia, pedir confirmação do estádio, data e categoria; a IA pode sugerir identificação, mas o usuário precisa poder corrigir o resultado.</w:t>
      </w:r>
    </w:p>
    <w:p>
      <w:pPr>
        <w:pStyle w:val="Heading1"/>
      </w:pPr>
      <w:r>
        <w:t>6. Auditoria do ZIP e especificação de entrega</w:t>
      </w:r>
    </w:p>
    <w:p>
      <w:pPr>
        <w:pStyle w:val="Heading2"/>
      </w:pPr>
      <w:r>
        <w:t>Inventário conferido</w:t>
      </w:r>
    </w:p>
    <w:p>
      <w:pPr>
        <w:spacing w:after="100"/>
      </w:pPr>
      <w:r>
        <w:t>O ZIP v05 original estava íntegro e continha 43 arquivos. Para facilitar o uso individual, foram acrescentados recortes independentes de Login e Home; este pacote final inclui ainda este DOCX. A composição aprovada de duas telas continua preservada em reference/referencia-ingresso-de-arquibancada.png.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4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Conteúdo confirmado</w:t>
            </w:r>
          </w:p>
        </w:tc>
      </w:tr>
      <w:tr>
        <w:tc>
          <w:tcPr>
            <w:tcW w:type="dxa" w:w="497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Telas e referências</w:t>
            </w:r>
          </w:p>
        </w:tc>
        <w:tc>
          <w:tcPr>
            <w:tcW w:type="dxa" w:w="497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Login, Home, Cadastro, Recuperar senha, Meu Passaporte, Mapa com Argentina selecionada, versão anterior do Passaporte e prancha original Login/Home.</w:t>
            </w:r>
          </w:p>
        </w:tc>
      </w:tr>
      <w:tr>
        <w:tc>
          <w:tcPr>
            <w:tcW w:type="dxa" w:w="497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Ícones e componentes</w:t>
            </w:r>
          </w:p>
        </w:tc>
        <w:tc>
          <w:tcPr>
            <w:tcW w:type="dxa" w:w="497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19 ícones SVG editáveis e 2 componentes SVG; 1 SVG do mapa mundial. Inclui navegação, formulários, mapa, localização, captura/IA, estádio e carimbos.</w:t>
            </w:r>
          </w:p>
        </w:tc>
      </w:tr>
      <w:tr>
        <w:tc>
          <w:tcPr>
            <w:tcW w:type="dxa" w:w="497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Dados e visual</w:t>
            </w:r>
          </w:p>
        </w:tc>
        <w:tc>
          <w:tcPr>
            <w:tcW w:type="dxa" w:w="497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Paleta/tokens em JSON, GeoJSON de países, fotos de referência para três estádios, créditos, fontes de dados e README.</w:t>
            </w:r>
          </w:p>
        </w:tc>
      </w:tr>
      <w:tr>
        <w:tc>
          <w:tcPr>
            <w:tcW w:type="dxa" w:w="497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7"/>
              </w:rPr>
              <w:t>Movimento e fontes</w:t>
            </w:r>
          </w:p>
        </w:tc>
        <w:tc>
          <w:tcPr>
            <w:tcW w:type="dxa" w:w="4975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7"/>
              </w:rPr>
              <w:t>MP4 da interação mapa→Argentina→ranking e arquivos HTML/Python usados para montar/renderizar os mockups.</w:t>
            </w:r>
          </w:p>
        </w:tc>
      </w:tr>
    </w:tbl>
    <w:p>
      <w:pPr>
        <w:pStyle w:val="Heading2"/>
      </w:pPr>
      <w:r>
        <w:t>Especificações e fronteiras do artefato</w:t>
      </w:r>
    </w:p>
    <w:p>
      <w:pPr>
        <w:spacing w:after="100"/>
      </w:pPr>
      <w:r>
        <w:t>O arquivo de tokens define base mobile de 390 × 844 px. As imagens de tela mais novas foram exportadas em 1440 × 2560 px (retrato 9:16); os recortes Login/Home derivam da prancha 2560 × 1440 px e conservam o mockup do aparelho. Esses pixels de exportação não são medidas de layout nem garantem adaptação ao viewport real; implementar responsivamente, considerando safe areas e tamanhos de toque.</w:t>
      </w:r>
    </w:p>
    <w:p>
      <w:pPr>
        <w:spacing w:after="100"/>
      </w:pPr>
      <w:r>
        <w:t>Os mockups não contêm código de aplicativo, integração de autenticação, localização, catálogo global de estádios ou IA. O HTML/Python incluído serve à composição da tela e à animação demonstrativa. O GeoJSON/world-map é uma camada geográfica visual, não um banco de dados de estádios.</w:t>
      </w:r>
    </w:p>
    <w:p>
      <w:pPr>
        <w:pStyle w:val="Heading2"/>
      </w:pPr>
      <w:r>
        <w:t>Pendências antes de produção</w:t>
      </w:r>
    </w:p>
    <w:p>
      <w:pPr>
        <w:pStyle w:val="ListBullet"/>
        <w:spacing w:after="60"/>
        <w:ind w:left="346"/>
      </w:pPr>
      <w:r>
        <w:t>Atualizar a Home para a navegação de quatro abas e validar os estados ativo/inativo nas quatro telas principais.</w:t>
      </w:r>
    </w:p>
    <w:p>
      <w:pPr>
        <w:pStyle w:val="ListBullet"/>
        <w:spacing w:after="60"/>
        <w:ind w:left="346"/>
      </w:pPr>
      <w:r>
        <w:t>Extrair/aprovar o logotipo completo em arquivo vetorial (wordmark e símbolo); no kit, ele está rasterizado nos mockups.</w:t>
      </w:r>
    </w:p>
    <w:p>
      <w:pPr>
        <w:pStyle w:val="ListBullet"/>
        <w:spacing w:after="60"/>
        <w:ind w:left="346"/>
      </w:pPr>
      <w:r>
        <w:t>Escolher e licenciar uma tipografia condensada/display; não há arquivo de fonte embutido.</w:t>
      </w:r>
    </w:p>
    <w:p>
      <w:pPr>
        <w:pStyle w:val="ListBullet"/>
        <w:spacing w:after="60"/>
        <w:ind w:left="346"/>
      </w:pPr>
      <w:r>
        <w:t>Integrar geolocalização com consentimento, busca, mapa navegável e um catálogo de estádios com origem e data de atualização.</w:t>
      </w:r>
    </w:p>
    <w:p>
      <w:pPr>
        <w:pStyle w:val="ListBullet"/>
        <w:spacing w:after="60"/>
        <w:ind w:left="346"/>
      </w:pPr>
      <w:r>
        <w:t>Definir de forma oficial a métrica de capacidade e a fonte de verdade; resolver a divergência da La Bombonera antes de publicar o ranking.</w:t>
      </w:r>
    </w:p>
    <w:p>
      <w:pPr>
        <w:pStyle w:val="ListBullet"/>
        <w:spacing w:after="60"/>
        <w:ind w:left="346"/>
      </w:pPr>
      <w:r>
        <w:t>Obter permissão para foto do Pacaembu e manter as atribuições CC BY-SA para Maracanã e Allianz Parque ao publicar.</w:t>
      </w:r>
    </w:p>
    <w:p>
      <w:pPr>
        <w:pStyle w:val="ListBullet"/>
        <w:spacing w:after="60"/>
        <w:ind w:left="346"/>
      </w:pPr>
      <w:r>
        <w:t>Projetar acessibilidade: contraste, foco, leitura por voz, alternativa textual ao mapa, redução de movimento e mensagens de erro.</w:t>
      </w:r>
    </w:p>
    <w:p>
      <w:pPr>
        <w:pStyle w:val="Heading2"/>
      </w:pPr>
      <w:r>
        <w:t>Fontes e créditos a consultar</w:t>
      </w:r>
    </w:p>
    <w:p>
      <w:pPr>
        <w:spacing w:after="100"/>
      </w:pPr>
      <w:r>
        <w:t>As fontes e limites já estão registrados em sources-and-data.md e photo-credits.md dentro do pacote. A base cartográfica citada é Natural Earth (public domain) e GeoJSON Natural Earth (CC0-1.0). As capacidades de estádio e licenças fotográficas são referências documentadas para a maquete; consulte os links e confirme as condições vigentes antes do uso em produção.</w:t>
      </w:r>
    </w:p>
    <w:p>
      <w:pPr>
        <w:pStyle w:val="Heading1"/>
      </w:pPr>
      <w:r>
        <w:t>7. Resultado da auditoria e próximos passos</w:t>
      </w:r>
    </w:p>
    <w:p>
      <w:pPr>
        <w:spacing w:after="100"/>
      </w:pPr>
      <w:r>
        <w:t>A revisão confirma um kit forte para referência e continuidade de design: inclui as telas principais, o conjunto de ícones reutilizáveis, as cores, a camada cartográfica e uma animação de interação. O pacote não é um arquivo de interface em camadas; a marca completa e os fundos ainda precisam de fonte editável/licenciada, e a Home precisa ser alinhada à navegação aprovada mais recente.</w:t>
      </w:r>
    </w:p>
    <w:p>
      <w:pPr>
        <w:pStyle w:val="Heading2"/>
      </w:pPr>
      <w:r>
        <w:t>Resumo de completude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3317"/>
        <w:gridCol w:w="3317"/>
        <w:gridCol w:w="3317"/>
      </w:tblGrid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92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23A32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Ação recomendada</w:t>
            </w:r>
          </w:p>
        </w:tc>
      </w:tr>
      <w:tr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6"/>
              </w:rPr>
              <w:t>Telas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Cobertas visualmente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Atualizar a Home para quatro abas; preservar a prancha original como referência.</w:t>
            </w:r>
          </w:p>
        </w:tc>
      </w:tr>
      <w:tr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6"/>
              </w:rPr>
              <w:t>Ícones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19 SVGs + 2 componentes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Criar e aprovar o wordmark completo e entregar logo em SVG.</w:t>
            </w:r>
          </w:p>
        </w:tc>
      </w:tr>
      <w:tr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6"/>
              </w:rPr>
              <w:t>Estilo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Paleta/tokens documentados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Selecionar fontes licenciadas e acrescentar tokens de tipo, espaçamento e estados.</w:t>
            </w:r>
          </w:p>
        </w:tc>
      </w:tr>
      <w:tr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6"/>
              </w:rPr>
              <w:t>Mapa e IA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Fluxo demonstrativo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Conectar dados por país, localização, busca e captura assistida; informar fonte e data.</w:t>
            </w:r>
          </w:p>
        </w:tc>
      </w:tr>
      <w:tr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3A32"/>
                <w:sz w:val="16"/>
              </w:rPr>
              <w:t>Fotos e dados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Créditos incluídos</w:t>
            </w:r>
          </w:p>
        </w:tc>
        <w:tc>
          <w:tcPr>
            <w:tcW w:type="dxa" w:w="331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520"/>
                <w:sz w:val="16"/>
              </w:rPr>
              <w:t>Autorizar uso da foto do Pacaembu e verificar capacidades oficiais antes da publicação.</w:t>
            </w:r>
          </w:p>
        </w:tc>
      </w:tr>
    </w:tbl>
    <w:p>
      <w:pPr>
        <w:pStyle w:val="Heading2"/>
      </w:pPr>
      <w:r>
        <w:t>Sequência recomendada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6ED"/>
          </w:tcPr>
          <w:p>
            <w:pPr>
              <w:spacing w:after="80"/>
            </w:pPr>
            <w:r>
              <w:rPr>
                <w:rFonts w:ascii="Arial" w:hAnsi="Arial"/>
                <w:b/>
                <w:color w:val="123A32"/>
                <w:sz w:val="20"/>
              </w:rPr>
              <w:t>1 · Consolidar a base</w:t>
            </w:r>
          </w:p>
          <w:p>
            <w:pPr>
              <w:spacing w:after="0" w:line="259" w:lineRule="auto"/>
            </w:pPr>
            <w:r>
              <w:t>Atualizar Home para a barra de quatro abas; aprovar logo vetorial, fontes, tokens, estados acessíveis e componentes editáveis.</w:t>
            </w:r>
          </w:p>
        </w:tc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6ED"/>
          </w:tcPr>
          <w:p>
            <w:pPr>
              <w:spacing w:after="80"/>
            </w:pPr>
            <w:r>
              <w:rPr>
                <w:rFonts w:ascii="Arial" w:hAnsi="Arial"/>
                <w:b/>
                <w:color w:val="123A32"/>
                <w:sz w:val="20"/>
              </w:rPr>
              <w:t>2 · Conectar a descoberta</w:t>
            </w:r>
          </w:p>
          <w:p>
            <w:pPr>
              <w:spacing w:after="0" w:line="259" w:lineRule="auto"/>
            </w:pPr>
            <w:r>
              <w:t>Construir busca por país/estádio e mapa acessível; ligar seleção do país a um catálogo com fontes, data de atualização e capacidade definida.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4975"/>
        <w:gridCol w:w="4975"/>
      </w:tblGrid>
      <w:tr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6ED"/>
          </w:tcPr>
          <w:p>
            <w:pPr>
              <w:spacing w:after="80"/>
            </w:pPr>
            <w:r>
              <w:rPr>
                <w:rFonts w:ascii="Arial" w:hAnsi="Arial"/>
                <w:b/>
                <w:color w:val="123A32"/>
                <w:sz w:val="20"/>
              </w:rPr>
              <w:t>3 · Registrar memórias</w:t>
            </w:r>
          </w:p>
          <w:p>
            <w:pPr>
              <w:spacing w:after="0" w:line="259" w:lineRule="auto"/>
            </w:pPr>
            <w:r>
              <w:t>Ligar localização e captura de fotos a consentimento, revisão do usuário e seleção explícita de “Visita” ou “Partida”; oferecer correção manual quando IA sugerir dados.</w:t>
            </w:r>
          </w:p>
        </w:tc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6ED"/>
          </w:tcPr>
          <w:p>
            <w:pPr>
              <w:spacing w:after="80"/>
            </w:pPr>
            <w:r>
              <w:rPr>
                <w:rFonts w:ascii="Arial" w:hAnsi="Arial"/>
                <w:b/>
                <w:color w:val="123A32"/>
                <w:sz w:val="20"/>
              </w:rPr>
              <w:t>4 · Publicar com segurança</w:t>
            </w:r>
          </w:p>
          <w:p>
            <w:pPr>
              <w:spacing w:after="0" w:line="259" w:lineRule="auto"/>
            </w:pPr>
            <w:r>
              <w:t>Validar direitos de imagem, atribuições, privacidade, precisão do ranking, desempenho mobile e movimento reduzido antes da distribuição.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6C7"/>
          <w:left w:val="single" w:sz="5" w:space="0" w:color="D9D6C7"/>
          <w:bottom w:val="single" w:sz="5" w:space="0" w:color="D9D6C7"/>
          <w:right w:val="single" w:sz="5" w:space="0" w:color="D9D6C7"/>
          <w:insideH w:val="single" w:sz="5" w:space="0" w:color="D9D6C7"/>
          <w:insideV w:val="single" w:sz="5" w:space="0" w:color="D9D6C7"/>
        </w:tblBorders>
      </w:tblPr>
      <w:tblGrid>
        <w:gridCol w:w="9951"/>
      </w:tblGrid>
      <w:tr>
        <w:tc>
          <w:tcPr>
            <w:tcW w:type="dxa" w:w="9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E6A1"/>
          </w:tcPr>
          <w:p>
            <w:pPr>
              <w:spacing w:after="60"/>
            </w:pPr>
            <w:r>
              <w:rPr>
                <w:rFonts w:ascii="Arial" w:hAnsi="Arial"/>
                <w:b/>
                <w:color w:val="123A32"/>
                <w:sz w:val="20"/>
              </w:rPr>
              <w:t>CONCLUSÃO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72520"/>
                <w:sz w:val="19"/>
              </w:rPr>
              <w:t>O kit cobre as telas aprovadas e os principais ativos reutilizáveis de design, com ressalvas explícitas de fontes, licenças e versões. Está pronto para orientar a próxima etapa de UI, mas requer os ajustes acima antes de ser tratado como especificação final de produção.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36D"/>
        <w:sz w:val="16"/>
      </w:rPr>
      <w:t xml:space="preserve">PASSAPORTE ESPORTIVO   •   DESIGN v05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F7C928"/>
      </w:pBdr>
    </w:pPr>
    <w:r>
      <w:rPr>
        <w:rFonts w:ascii="Arial" w:hAnsi="Arial"/>
        <w:b/>
        <w:color w:val="123A32"/>
        <w:sz w:val="16"/>
      </w:rPr>
      <w:t>PASSAPORTE ESPORTIVO   /   GUIA DE IDENTIDADE VISUAL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25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23A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3A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F7C9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A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Passaporte Esportivo — Guia de design e identidade visual</dc:title>
  <dc:subject>Identidade visual, telas mobile, sistema de componentes e auditoria do kit v05</dc:subject>
  <dc:creator>Passaporte Esportivo — documentação de design</dc:creator>
  <cp:keywords>Passaporte Esportivo, identidade visual, futebol, UX, telas mobile, carimbos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