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color w:val="1A1A1A"/>
          <w:sz w:val="21"/>
          <w:szCs w:val="21"/>
        </w:rPr>
        <w:t xml:space="preserve"/>
      </w:r>
    </w:p>
    <w:p>
      <w:pPr>
        <w:spacing w:after="100"/>
      </w:pPr>
      <w:r>
        <w:rPr>
          <w:rFonts w:ascii="Calibri" w:cs="Calibri" w:eastAsia="Calibri" w:hAnsi="Calibri"/>
          <w:color w:val="1A1A1A"/>
          <w:sz w:val="21"/>
          <w:szCs w:val="21"/>
        </w:rPr>
        <w:t xml:space="preserve"/>
      </w:r>
    </w:p>
    <w:p>
      <w:pPr>
        <w:spacing w:after="100"/>
      </w:pPr>
      <w:r>
        <w:rPr>
          <w:rFonts w:ascii="Calibri" w:cs="Calibri" w:eastAsia="Calibri" w:hAnsi="Calibri"/>
          <w:color w:val="1A1A1A"/>
          <w:sz w:val="21"/>
          <w:szCs w:val="21"/>
        </w:rPr>
        <w:t xml:space="preserve"/>
      </w:r>
    </w:p>
    <w:p>
      <w:pPr>
        <w:spacing w:after="100"/>
        <w:jc w:val="center"/>
      </w:pPr>
      <w:r>
        <w:rPr>
          <w:rFonts w:ascii="Calibri" w:cs="Calibri" w:eastAsia="Calibri" w:hAnsi="Calibri"/>
          <w:b/>
          <w:bCs/>
          <w:color w:val="1E2E6E"/>
          <w:sz w:val="56"/>
          <w:szCs w:val="56"/>
        </w:rPr>
        <w:t xml:space="preserve">ZODA Dashboard</w:t>
      </w:r>
    </w:p>
    <w:p>
      <w:pPr>
        <w:pBdr>
          <w:bottom w:val="single" w:color="E3E829" w:sz="8"/>
        </w:pBdr>
        <w:spacing w:after="60"/>
        <w:jc w:val="center"/>
      </w:pPr>
      <w:r>
        <w:rPr>
          <w:rFonts w:ascii="Calibri" w:cs="Calibri" w:eastAsia="Calibri" w:hAnsi="Calibri"/>
          <w:color w:val="00AECB"/>
          <w:sz w:val="28"/>
          <w:szCs w:val="28"/>
        </w:rPr>
        <w:t xml:space="preserve">Speech para Comité de Inversiones</w:t>
      </w:r>
    </w:p>
    <w:p>
      <w:pPr>
        <w:spacing w:after="100"/>
      </w:pPr>
      <w:r>
        <w:rPr>
          <w:rFonts w:ascii="Calibri" w:cs="Calibri" w:eastAsia="Calibri" w:hAnsi="Calibri"/>
          <w:color w:val="1A1A1A"/>
          <w:sz w:val="21"/>
          <w:szCs w:val="21"/>
        </w:rPr>
        <w:t xml:space="preserve"/>
      </w:r>
    </w:p>
    <w:p>
      <w:pPr>
        <w:spacing w:after="500"/>
        <w:jc w:val="center"/>
      </w:pPr>
      <w:r>
        <w:rPr>
          <w:rFonts w:ascii="Calibri" w:cs="Calibri" w:eastAsia="Calibri" w:hAnsi="Calibri"/>
          <w:i/>
          <w:iCs/>
          <w:color w:val="7E8083"/>
          <w:sz w:val="21"/>
          <w:szCs w:val="21"/>
        </w:rPr>
        <w:t xml:space="preserve">Cómo presentar y defender cada gráfico · Tono conversacional</w:t>
      </w:r>
    </w:p>
    <w:p>
      <w:pPr>
        <w:jc w:val="center"/>
      </w:pPr>
      <w:r>
        <w:rPr>
          <w:rFonts w:ascii="Calibri" w:cs="Calibri" w:eastAsia="Calibri" w:hAnsi="Calibri"/>
          <w:color w:val="7E8083"/>
          <w:sz w:val="18"/>
          <w:szCs w:val="18"/>
        </w:rPr>
        <w:t xml:space="preserve">AFP Integra · Mesa de Inversiones RVL · Franco Olivares · Junio 2026</w:t>
      </w:r>
    </w:p>
    <w:p>
      <w:pPr>
        <w:spacing w:after="0"/>
      </w:pPr>
      <w:r>
        <w:br w:type="page"/>
      </w:r>
    </w:p>
    <w:p>
      <w:pPr>
        <w:pBdr>
          <w:bottom w:val="single" w:color="00AECB" w:sz="6"/>
        </w:pBdr>
        <w:spacing w:after="160" w:before="400"/>
      </w:pPr>
      <w:r>
        <w:rPr>
          <w:rFonts w:ascii="Calibri" w:cs="Calibri" w:eastAsia="Calibri" w:hAnsi="Calibri"/>
          <w:b/>
          <w:bCs/>
          <w:color w:val="1E2E6E"/>
          <w:sz w:val="30"/>
          <w:szCs w:val="30"/>
        </w:rPr>
        <w:t xml:space="preserve">Cómo usar este documento</w:t>
      </w:r>
    </w:p>
    <w:p>
      <w:pPr>
        <w:spacing w:after="120" w:line="276"/>
      </w:pPr>
      <w:r>
        <w:rPr>
          <w:rFonts w:ascii="Calibri" w:cs="Calibri" w:eastAsia="Calibri" w:hAnsi="Calibri"/>
          <w:color w:val="1A1A1A"/>
          <w:sz w:val="21"/>
          <w:szCs w:val="21"/>
        </w:rPr>
        <w:t xml:space="preserve">Para cada gráfico encontrarás el </w:t>
      </w:r>
      <w:r>
        <w:rPr>
          <w:rFonts w:ascii="Calibri" w:cs="Calibri" w:eastAsia="Calibri" w:hAnsi="Calibri"/>
          <w:b/>
          <w:bCs/>
          <w:color w:val="1A1A1A"/>
          <w:sz w:val="21"/>
          <w:szCs w:val="21"/>
        </w:rPr>
        <w:t xml:space="preserve">speech sugerido</w:t>
      </w:r>
      <w:r>
        <w:rPr>
          <w:rFonts w:ascii="Calibri" w:cs="Calibri" w:eastAsia="Calibri" w:hAnsi="Calibri"/>
          <w:color w:val="1A1A1A"/>
          <w:sz w:val="21"/>
          <w:szCs w:val="21"/>
        </w:rPr>
        <w:t xml:space="preserve"> — el texto que puedes decir en sala, en primera persona, con el lenguaje que usaría cualquier analista en una reunión real. No es un guión para leer literalmente: es el hilo argumental para que la explicación fluya de forma natural.</w:t>
      </w:r>
    </w:p>
    <w:p>
      <w:pPr>
        <w:spacing w:after="100"/>
      </w:pPr>
      <w:r>
        <w:rPr>
          <w:rFonts w:ascii="Calibri" w:cs="Calibri" w:eastAsia="Calibri" w:hAnsi="Calibri"/>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E8083" w:sz="12"/>
              <w:bottom w:val="none" w:color="FFFFFF" w:sz="0"/>
              <w:right w:val="none" w:color="FFFFFF" w:sz="0"/>
            </w:tcBorders>
            <w:shd w:fill="F5F5F5" w:val="clear"/>
            <w:tcMar>
              <w:top w:type="dxa" w:w="80"/>
              <w:left w:type="dxa" w:w="160"/>
              <w:bottom w:type="dxa" w:w="80"/>
              <w:right w:type="dxa" w:w="160"/>
            </w:tcMar>
          </w:tcPr>
          <w:p>
            <w:pPr>
              <w:spacing w:after="0"/>
            </w:pPr>
            <w:r>
              <w:rPr>
                <w:rFonts w:ascii="Calibri" w:cs="Calibri" w:eastAsia="Calibri" w:hAnsi="Calibri"/>
                <w:i/>
                <w:iCs/>
                <w:color w:val="7E8083"/>
                <w:sz w:val="19"/>
                <w:szCs w:val="19"/>
              </w:rPr>
              <w:t xml:space="preserve">Tip: el orden natural de presentación en comité es 02 → 01 → 04 → 03 → 05 → 06. El bubble chart primero da el contexto del portafolio, luego entras al detalle de las empresas que más llaman la atención.</w:t>
            </w:r>
          </w:p>
        </w:tc>
      </w:tr>
    </w:tbl>
    <w:p>
      <w:pPr>
        <w:spacing w:after="100"/>
      </w:pPr>
      <w:r>
        <w:rPr>
          <w:rFonts w:ascii="Calibri" w:cs="Calibri" w:eastAsia="Calibri" w:hAnsi="Calibri"/>
          <w:color w:val="1A1A1A"/>
          <w:sz w:val="21"/>
          <w:szCs w:val="21"/>
        </w:rPr>
        <w:t xml:space="preserve"/>
      </w:r>
    </w:p>
    <w:p>
      <w:pPr>
        <w:spacing w:after="100"/>
      </w:pPr>
      <w:r>
        <w:rPr>
          <w:rFonts w:ascii="Calibri" w:cs="Calibri" w:eastAsia="Calibri" w:hAnsi="Calibri"/>
          <w:color w:val="1A1A1A"/>
          <w:sz w:val="21"/>
          <w:szCs w:val="21"/>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2E6E" w:val="clear"/>
            <w:tcMar>
              <w:top w:type="dxa" w:w="120"/>
              <w:left w:type="dxa" w:w="120"/>
              <w:bottom w:type="dxa" w:w="120"/>
              <w:right w:type="dxa" w:w="120"/>
            </w:tcMar>
            <w:vAlign w:val="center"/>
          </w:tcPr>
          <w:p>
            <w:pPr>
              <w:spacing w:after="0"/>
              <w:jc w:val="center"/>
            </w:pPr>
            <w:r>
              <w:rPr>
                <w:rFonts w:ascii="IBM Plex Mono" w:cs="IBM Plex Mono" w:eastAsia="IBM Plex Mono" w:hAnsi="IBM Plex Mono"/>
                <w:b/>
                <w:bCs/>
                <w:color w:val="FFFFFF"/>
                <w:sz w:val="22"/>
                <w:szCs w:val="22"/>
              </w:rPr>
              <w:t xml:space="preserve">01</w:t>
            </w:r>
          </w:p>
        </w:tc>
        <w:tc>
          <w:tcPr>
            <w:tcBorders>
              <w:top w:val="none" w:color="FFFFFF" w:sz="0"/>
              <w:left w:val="single" w:color="00AECB" w:sz="8"/>
              <w:bottom w:val="none" w:color="FFFFFF" w:sz="0"/>
              <w:right w:val="none" w:color="FFFFFF" w:sz="0"/>
            </w:tcBorders>
            <w:shd w:fill="EEF2FA" w:val="clear"/>
            <w:tcMar>
              <w:top w:type="dxa" w:w="100"/>
              <w:left w:type="dxa" w:w="160"/>
              <w:bottom w:type="dxa" w:w="100"/>
              <w:right w:type="dxa" w:w="160"/>
            </w:tcMar>
          </w:tcPr>
          <w:p>
            <w:pPr>
              <w:spacing w:after="0"/>
            </w:pPr>
            <w:r>
              <w:rPr>
                <w:rFonts w:ascii="Calibri" w:cs="Calibri" w:eastAsia="Calibri" w:hAnsi="Calibri"/>
                <w:b/>
                <w:bCs/>
                <w:color w:val="1E2E6E"/>
                <w:sz w:val="24"/>
                <w:szCs w:val="24"/>
              </w:rPr>
              <w:t xml:space="preserve">Z-Score Histórico</w:t>
            </w:r>
          </w:p>
          <w:p>
            <w:pPr>
              <w:spacing w:after="0"/>
            </w:pPr>
            <w:r>
              <w:rPr>
                <w:rFonts w:ascii="Calibri" w:cs="Calibri" w:eastAsia="Calibri" w:hAnsi="Calibri"/>
                <w:i/>
                <w:iCs/>
                <w:color w:val="7E8083"/>
                <w:sz w:val="17"/>
                <w:szCs w:val="17"/>
              </w:rPr>
              <w:t xml:space="preserve">Evolución temporal de la valorización de una empresa</w:t>
            </w:r>
          </w:p>
        </w:tc>
      </w:tr>
    </w:tbl>
    <w:p>
      <w:pPr>
        <w:spacing w:after="100"/>
      </w:pPr>
      <w:r>
        <w:rPr>
          <w:rFonts w:ascii="Calibri" w:cs="Calibri" w:eastAsia="Calibri" w:hAnsi="Calibri"/>
          <w:color w:val="1A1A1A"/>
          <w:sz w:val="21"/>
          <w:szCs w:val="21"/>
        </w:rPr>
        <w:t xml:space="preserve"/>
      </w:r>
    </w:p>
    <w:p>
      <w:pPr>
        <w:spacing w:after="120" w:before="280"/>
      </w:pPr>
      <w:r>
        <w:rPr>
          <w:rFonts w:ascii="Calibri" w:cs="Calibri" w:eastAsia="Calibri" w:hAnsi="Calibri"/>
          <w:b/>
          <w:bCs/>
          <w:color w:val="1E2E6E"/>
          <w:sz w:val="24"/>
          <w:szCs w:val="24"/>
        </w:rPr>
        <w:t xml:space="preserve">El speech</w:t>
      </w:r>
    </w:p>
    <w:p>
      <w:pPr>
        <w:spacing w:after="130" w:line="288"/>
        <w:ind w:left="0"/>
      </w:pPr>
      <w:r>
        <w:rPr>
          <w:rFonts w:ascii="Calibri" w:cs="Calibri" w:eastAsia="Calibri" w:hAnsi="Calibri"/>
          <w:color w:val="1a2340"/>
          <w:sz w:val="21"/>
          <w:szCs w:val="21"/>
        </w:rPr>
        <w:t xml:space="preserve">"Lo que vemos acá es la historia de valorización de una empresa en el tiempo. Cada punto en la línea me dice cuántas desviaciones estándar está el múltiplo actual por encima o por debajo de su propio promedio histórico. Cuando la línea está sobre la línea punteada roja de +1.5, la empresa está cara en términos estadísticos — no cara en absoluto, sino cara respecto a lo que ha sido históricamente. Cuando está bajo la línea verde de −1.5, es lo opuesto."</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"Tengo tres perspectivas. La primera es la valorización absoluta — qué tan cara está la empresa respecto a su propia historia. La segunda es respecto a su basket de comparables globales del mismo sector. Y la tercera es respecto al mercado local, el SPBLPGPT. Cada una me cuenta algo distinto, y juntas me dan un panorama completo."</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"Lo que me parece clave de este gráfico es lo que aparece abajo — el panel de interpretación automática. Me dice no solo el Z de hoy, sino en qué percentil histórico está ese Z. Y eso importa porque un Z de +1.5 en el percentil 95 es una señal muy distinta a un Z de +1.5 en el percentil 60. El primero es extremo; el segundo es algo que ha pasado muchas veces."</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"También tengo aquí la posibilidad de cambiar el peso de cada ventana temporal. Por defecto uso 33% para 1 año, 33% para 3 años y 33% para 5 años. Si estamos en un momento de alta volatilidad y prefiero que la señal sea más sensible al corto plazo, le subo el peso a 1Y. Si me interesa filtrar ruido reciente, le doy más peso a 5Y. Eso me permite adaptar el indicador al contexto de mercado, sin cambiar la metodología base."</w:t>
      </w:r>
    </w:p>
    <w:p>
      <w:pPr>
        <w:spacing w:after="100"/>
      </w:pPr>
      <w:r>
        <w:rPr>
          <w:rFonts w:ascii="Calibri" w:cs="Calibri" w:eastAsia="Calibri" w:hAnsi="Calibri"/>
          <w:color w:val="1A1A1A"/>
          <w:sz w:val="21"/>
          <w:szCs w:val="21"/>
        </w:rPr>
        <w:t xml:space="preserve"/>
      </w:r>
    </w:p>
    <w:p>
      <w:pPr>
        <w:spacing w:after="120" w:line="276"/>
      </w:pPr>
      <w:r>
        <w:rPr>
          <w:rFonts w:ascii="Calibri" w:cs="Calibri" w:eastAsia="Calibri" w:hAnsi="Calibri"/>
          <w:b/>
          <w:bCs/>
          <w:color w:val="8B0000"/>
          <w:sz w:val="19"/>
          <w:szCs w:val="19"/>
        </w:rPr>
        <w:t xml:space="preserve">Posible pregunta: </w:t>
      </w:r>
      <w:r>
        <w:rPr>
          <w:rFonts w:ascii="Calibri" w:cs="Calibri" w:eastAsia="Calibri" w:hAnsi="Calibri"/>
          <w:i/>
          <w:iCs/>
          <w:color w:val="8B0000"/>
          <w:sz w:val="19"/>
          <w:szCs w:val="19"/>
        </w:rPr>
        <w:t xml:space="preserve">"¿Por qué no usan el percentil directamente en vez del Z-score?"</w:t>
      </w:r>
    </w:p>
    <w:p>
      <w:pPr>
        <w:spacing w:after="140"/>
      </w:pPr>
      <w:r>
        <w:rPr>
          <w:rFonts w:ascii="Calibri" w:cs="Calibri" w:eastAsia="Calibri" w:hAnsi="Calibri"/>
          <w:b/>
          <w:bCs/>
          <w:color w:val="1E2E6E"/>
          <w:sz w:val="19"/>
          <w:szCs w:val="19"/>
        </w:rPr>
        <w:t xml:space="preserve">Respuesta: </w:t>
      </w:r>
      <w:r>
        <w:rPr>
          <w:rFonts w:ascii="Calibri" w:cs="Calibri" w:eastAsia="Calibri" w:hAnsi="Calibri"/>
          <w:color w:val="1A1A1A"/>
          <w:sz w:val="19"/>
          <w:szCs w:val="19"/>
        </w:rPr>
        <w:t xml:space="preserve">El Z-score me permite comparar empresas distintas en la misma escala. Si te digo que BAP tiene Trail PE de 18x, eso no te dice mucho sin contexto. Si te digo que su Z es +1.76, en el percentil 95, sabes inmediatamente que está más cara de lo que ha estado en el 95% de su historia. El percentil y el Z se complementan: el Z me da la magnitud, el percentil me da la frecuencia histórica.</w:t>
      </w:r>
    </w:p>
    <w:p>
      <w:pPr>
        <w:spacing w:after="120" w:line="276"/>
      </w:pPr>
      <w:r>
        <w:rPr>
          <w:rFonts w:ascii="Calibri" w:cs="Calibri" w:eastAsia="Calibri" w:hAnsi="Calibri"/>
          <w:b/>
          <w:bCs/>
          <w:color w:val="8B0000"/>
          <w:sz w:val="19"/>
          <w:szCs w:val="19"/>
        </w:rPr>
        <w:t xml:space="preserve">Posible pregunta: </w:t>
      </w:r>
      <w:r>
        <w:rPr>
          <w:rFonts w:ascii="Calibri" w:cs="Calibri" w:eastAsia="Calibri" w:hAnsi="Calibri"/>
          <w:i/>
          <w:iCs/>
          <w:color w:val="8B0000"/>
          <w:sz w:val="19"/>
          <w:szCs w:val="19"/>
        </w:rPr>
        <w:t xml:space="preserve">"¿El peso 0% para 10 años es una limitación?"</w:t>
      </w:r>
    </w:p>
    <w:p>
      <w:pPr>
        <w:spacing w:after="140"/>
      </w:pPr>
      <w:r>
        <w:rPr>
          <w:rFonts w:ascii="Calibri" w:cs="Calibri" w:eastAsia="Calibri" w:hAnsi="Calibri"/>
          <w:b/>
          <w:bCs/>
          <w:color w:val="1E2E6E"/>
          <w:sz w:val="19"/>
          <w:szCs w:val="19"/>
        </w:rPr>
        <w:t xml:space="preserve">Respuesta: </w:t>
      </w:r>
      <w:r>
        <w:rPr>
          <w:rFonts w:ascii="Calibri" w:cs="Calibri" w:eastAsia="Calibri" w:hAnsi="Calibri"/>
          <w:color w:val="1A1A1A"/>
          <w:sz w:val="19"/>
          <w:szCs w:val="19"/>
        </w:rPr>
        <w:t xml:space="preserve">Es una decisión deliberada. En mercados latinoamericanos, 10 años de historia incluyen la pandemia del 2020, crisis regulatorias, y cambios estructurales de negocio que hacen que la distribución de hace 10 años no sea representativa del régimen actual. El 10Y tiene más ruido que señal en este universo. Si tuviéramos un mercado con 20 años de historia homogénea, la conversación sería diferente.</w:t>
      </w:r>
    </w:p>
    <w:p>
      <w:pPr>
        <w:spacing w:after="100"/>
      </w:pPr>
      <w:r>
        <w:rPr>
          <w:rFonts w:ascii="Calibri" w:cs="Calibri" w:eastAsia="Calibri" w:hAnsi="Calibri"/>
          <w:color w:val="1A1A1A"/>
          <w:sz w:val="21"/>
          <w:szCs w:val="21"/>
        </w:rPr>
        <w:t xml:space="preserve"/>
      </w:r>
    </w:p>
    <w:p>
      <w:pPr>
        <w:spacing w:after="100"/>
      </w:pPr>
      <w:r>
        <w:rPr>
          <w:rFonts w:ascii="Calibri" w:cs="Calibri" w:eastAsia="Calibri" w:hAnsi="Calibri"/>
          <w:color w:val="1A1A1A"/>
          <w:sz w:val="21"/>
          <w:szCs w:val="21"/>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2E6E" w:val="clear"/>
            <w:tcMar>
              <w:top w:type="dxa" w:w="120"/>
              <w:left w:type="dxa" w:w="120"/>
              <w:bottom w:type="dxa" w:w="120"/>
              <w:right w:type="dxa" w:w="120"/>
            </w:tcMar>
            <w:vAlign w:val="center"/>
          </w:tcPr>
          <w:p>
            <w:pPr>
              <w:spacing w:after="0"/>
              <w:jc w:val="center"/>
            </w:pPr>
            <w:r>
              <w:rPr>
                <w:rFonts w:ascii="IBM Plex Mono" w:cs="IBM Plex Mono" w:eastAsia="IBM Plex Mono" w:hAnsi="IBM Plex Mono"/>
                <w:b/>
                <w:bCs/>
                <w:color w:val="FFFFFF"/>
                <w:sz w:val="22"/>
                <w:szCs w:val="22"/>
              </w:rPr>
              <w:t xml:space="preserve">02</w:t>
            </w:r>
          </w:p>
        </w:tc>
        <w:tc>
          <w:tcPr>
            <w:tcBorders>
              <w:top w:val="none" w:color="FFFFFF" w:sz="0"/>
              <w:left w:val="single" w:color="00AECB" w:sz="8"/>
              <w:bottom w:val="none" w:color="FFFFFF" w:sz="0"/>
              <w:right w:val="none" w:color="FFFFFF" w:sz="0"/>
            </w:tcBorders>
            <w:shd w:fill="EEF2FA" w:val="clear"/>
            <w:tcMar>
              <w:top w:type="dxa" w:w="100"/>
              <w:left w:type="dxa" w:w="160"/>
              <w:bottom w:type="dxa" w:w="100"/>
              <w:right w:type="dxa" w:w="160"/>
            </w:tcMar>
          </w:tcPr>
          <w:p>
            <w:pPr>
              <w:spacing w:after="0"/>
            </w:pPr>
            <w:r>
              <w:rPr>
                <w:rFonts w:ascii="Calibri" w:cs="Calibri" w:eastAsia="Calibri" w:hAnsi="Calibri"/>
                <w:b/>
                <w:bCs/>
                <w:color w:val="1E2E6E"/>
                <w:sz w:val="24"/>
                <w:szCs w:val="24"/>
              </w:rPr>
              <w:t xml:space="preserve">Monitor de Posición</w:t>
            </w:r>
          </w:p>
          <w:p>
            <w:pPr>
              <w:spacing w:after="0"/>
            </w:pPr>
            <w:r>
              <w:rPr>
                <w:rFonts w:ascii="Calibri" w:cs="Calibri" w:eastAsia="Calibri" w:hAnsi="Calibri"/>
                <w:i/>
                <w:iCs/>
                <w:color w:val="7E8083"/>
                <w:sz w:val="17"/>
                <w:szCs w:val="17"/>
              </w:rPr>
              <w:t xml:space="preserve">Bubble chart de valorización y exposición del portafolio</w:t>
            </w:r>
          </w:p>
        </w:tc>
      </w:tr>
    </w:tbl>
    <w:p>
      <w:pPr>
        <w:spacing w:after="100"/>
      </w:pPr>
      <w:r>
        <w:rPr>
          <w:rFonts w:ascii="Calibri" w:cs="Calibri" w:eastAsia="Calibri" w:hAnsi="Calibri"/>
          <w:color w:val="1A1A1A"/>
          <w:sz w:val="21"/>
          <w:szCs w:val="21"/>
        </w:rPr>
        <w:t xml:space="preserve"/>
      </w:r>
    </w:p>
    <w:p>
      <w:pPr>
        <w:spacing w:after="120" w:before="280"/>
      </w:pPr>
      <w:r>
        <w:rPr>
          <w:rFonts w:ascii="Calibri" w:cs="Calibri" w:eastAsia="Calibri" w:hAnsi="Calibri"/>
          <w:b/>
          <w:bCs/>
          <w:color w:val="1E2E6E"/>
          <w:sz w:val="24"/>
          <w:szCs w:val="24"/>
        </w:rPr>
        <w:t xml:space="preserve">El speech</w:t>
      </w:r>
    </w:p>
    <w:p>
      <w:pPr>
        <w:spacing w:after="130" w:line="288"/>
        <w:ind w:left="0"/>
      </w:pPr>
      <w:r>
        <w:rPr>
          <w:rFonts w:ascii="Calibri" w:cs="Calibri" w:eastAsia="Calibri" w:hAnsi="Calibri"/>
          <w:color w:val="1a2340"/>
          <w:sz w:val="21"/>
          <w:szCs w:val="21"/>
        </w:rPr>
        <w:t xml:space="preserve">"Este es el gráfico con el que recomiendo empezar cada presentación. En 30 segundos me da una foto completa del portafolio de RVL. Cada burbuja es una empresa. Su posición horizontal me dice qué tan cara o barata está en términos absolutos — a la derecha, cara; a la izquierda, barata. Su posición vertical me dice lo mismo pero respecto a sus pares globales del sector. Y el tamaño de la burbuja es la exposición real del fondo — suma de Fondo 1, 2 y 3 — en soles."</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"Los cuatro cuadrantes son la clave de lectura. Arriba a la derecha: cara en absoluto Y cara versus pares — doble señal negativa. Abajo a la izquierda: barata en absoluto Y barata versus pares — ahí es donde quiero tener mis posiciones más grandes. Los cuadrantes mixtos son los más interesantes para discutir."</w:t>
      </w:r>
    </w:p>
    <w:p>
      <w:pPr>
        <w:spacing w:after="130" w:line="288"/>
        <w:ind w:left="0"/>
      </w:pPr>
      <w:r>
        <w:rPr>
          <w:rFonts w:ascii="Calibri" w:cs="Calibri" w:eastAsia="Calibri" w:hAnsi="Calibri"/>
          <w:color w:val="1a2340"/>
          <w:sz w:val="21"/>
          <w:szCs w:val="21"/>
        </w:rPr>
        <w:t xml:space="preserve">"Fíjense en este punto acá [señalar]: tenemos una burbuja grande en zona roja. Eso es una conversación que tenemos que tener — estamos con exposición relevante en algo que está caro en su historia y caro versus sus comparables. No significa que hay que vender mañana, pero sí que la tesis tiene que ser muy sólida para justificarlo."</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"Puedo mover el slider de fecha para ver cómo estaba este mismo plano hace 6 meses o hace un año. Eso me permite ver si las burbujas han migrado de cuadrante — si algo que era barato se ha encarecido con el rally, o si algo caro ha corregido y ya está en zona de interés."</w:t>
      </w:r>
    </w:p>
    <w:p>
      <w:pPr>
        <w:spacing w:after="100"/>
      </w:pPr>
      <w:r>
        <w:rPr>
          <w:rFonts w:ascii="Calibri" w:cs="Calibri" w:eastAsia="Calibri" w:hAnsi="Calibri"/>
          <w:color w:val="1A1A1A"/>
          <w:sz w:val="21"/>
          <w:szCs w:val="21"/>
        </w:rPr>
        <w:t xml:space="preserve"/>
      </w:r>
    </w:p>
    <w:p>
      <w:pPr>
        <w:spacing w:after="120" w:line="276"/>
      </w:pPr>
      <w:r>
        <w:rPr>
          <w:rFonts w:ascii="Calibri" w:cs="Calibri" w:eastAsia="Calibri" w:hAnsi="Calibri"/>
          <w:b/>
          <w:bCs/>
          <w:color w:val="8B0000"/>
          <w:sz w:val="19"/>
          <w:szCs w:val="19"/>
        </w:rPr>
        <w:t xml:space="preserve">Posible pregunta: </w:t>
      </w:r>
      <w:r>
        <w:rPr>
          <w:rFonts w:ascii="Calibri" w:cs="Calibri" w:eastAsia="Calibri" w:hAnsi="Calibri"/>
          <w:i/>
          <w:iCs/>
          <w:color w:val="8B0000"/>
          <w:sz w:val="19"/>
          <w:szCs w:val="19"/>
        </w:rPr>
        <w:t xml:space="preserve">"¿Las exposiciones están actualizadas a hoy?"</w:t>
      </w:r>
    </w:p>
    <w:p>
      <w:pPr>
        <w:spacing w:after="140"/>
      </w:pPr>
      <w:r>
        <w:rPr>
          <w:rFonts w:ascii="Calibri" w:cs="Calibri" w:eastAsia="Calibri" w:hAnsi="Calibri"/>
          <w:b/>
          <w:bCs/>
          <w:color w:val="1E2E6E"/>
          <w:sz w:val="19"/>
          <w:szCs w:val="19"/>
        </w:rPr>
        <w:t xml:space="preserve">Respuesta: </w:t>
      </w:r>
      <w:r>
        <w:rPr>
          <w:rFonts w:ascii="Calibri" w:cs="Calibri" w:eastAsia="Calibri" w:hAnsi="Calibri"/>
          <w:color w:val="1A1A1A"/>
          <w:sz w:val="19"/>
          <w:szCs w:val="19"/>
        </w:rPr>
        <w:t xml:space="preserve">Las exposiciones vienen del DQ_IN, que se actualiza con la periodicidad que establece la SBS. Puede haber un desfase de días entre la exposición reflejada en el gráfico y la posición exacta de hoy. La valorización — los ejes X e Y — sí está actualizada al último día hábil con datos de Bloomberg. Para el análisis del cuadrante lo que importa es la posición relativa, y eso es estable en ventanas de días.</w:t>
      </w:r>
    </w:p>
    <w:p>
      <w:pPr>
        <w:spacing w:after="120" w:line="276"/>
      </w:pPr>
      <w:r>
        <w:rPr>
          <w:rFonts w:ascii="Calibri" w:cs="Calibri" w:eastAsia="Calibri" w:hAnsi="Calibri"/>
          <w:b/>
          <w:bCs/>
          <w:color w:val="8B0000"/>
          <w:sz w:val="19"/>
          <w:szCs w:val="19"/>
        </w:rPr>
        <w:t xml:space="preserve">Posible pregunta: </w:t>
      </w:r>
      <w:r>
        <w:rPr>
          <w:rFonts w:ascii="Calibri" w:cs="Calibri" w:eastAsia="Calibri" w:hAnsi="Calibri"/>
          <w:i/>
          <w:iCs/>
          <w:color w:val="8B0000"/>
          <w:sz w:val="19"/>
          <w:szCs w:val="19"/>
        </w:rPr>
        <w:t xml:space="preserve">"¿Por qué algunos puntos son muy pequeños?"</w:t>
      </w:r>
    </w:p>
    <w:p>
      <w:pPr>
        <w:spacing w:after="140"/>
      </w:pPr>
      <w:r>
        <w:rPr>
          <w:rFonts w:ascii="Calibri" w:cs="Calibri" w:eastAsia="Calibri" w:hAnsi="Calibri"/>
          <w:b/>
          <w:bCs/>
          <w:color w:val="1E2E6E"/>
          <w:sz w:val="19"/>
          <w:szCs w:val="19"/>
        </w:rPr>
        <w:t xml:space="preserve">Respuesta: </w:t>
      </w:r>
      <w:r>
        <w:rPr>
          <w:rFonts w:ascii="Calibri" w:cs="Calibri" w:eastAsia="Calibri" w:hAnsi="Calibri"/>
          <w:color w:val="1A1A1A"/>
          <w:sz w:val="19"/>
          <w:szCs w:val="19"/>
        </w:rPr>
        <w:t xml:space="preserve">Los puntos pequeños son referencias — índices como el BVL, el IBOV o el IPSA que no tienen exposición del portafolio. Los puse para dar contexto de dónde están los mercados respecto a las empresas individuales. Si el BVL está en el centro del plano y la mayoría de nuestras posiciones están a la derecha, eso me dice que tenemos un portafolio sistemáticamente más caro que el índice.</w:t>
      </w:r>
    </w:p>
    <w:p>
      <w:pPr>
        <w:spacing w:after="100"/>
      </w:pPr>
      <w:r>
        <w:rPr>
          <w:rFonts w:ascii="Calibri" w:cs="Calibri" w:eastAsia="Calibri" w:hAnsi="Calibri"/>
          <w:color w:val="1A1A1A"/>
          <w:sz w:val="21"/>
          <w:szCs w:val="21"/>
        </w:rPr>
        <w:t xml:space="preserve"/>
      </w:r>
    </w:p>
    <w:p>
      <w:pPr>
        <w:spacing w:after="100"/>
      </w:pPr>
      <w:r>
        <w:rPr>
          <w:rFonts w:ascii="Calibri" w:cs="Calibri" w:eastAsia="Calibri" w:hAnsi="Calibri"/>
          <w:color w:val="1A1A1A"/>
          <w:sz w:val="21"/>
          <w:szCs w:val="21"/>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2E6E" w:val="clear"/>
            <w:tcMar>
              <w:top w:type="dxa" w:w="120"/>
              <w:left w:type="dxa" w:w="120"/>
              <w:bottom w:type="dxa" w:w="120"/>
              <w:right w:type="dxa" w:w="120"/>
            </w:tcMar>
            <w:vAlign w:val="center"/>
          </w:tcPr>
          <w:p>
            <w:pPr>
              <w:spacing w:after="0"/>
              <w:jc w:val="center"/>
            </w:pPr>
            <w:r>
              <w:rPr>
                <w:rFonts w:ascii="IBM Plex Mono" w:cs="IBM Plex Mono" w:eastAsia="IBM Plex Mono" w:hAnsi="IBM Plex Mono"/>
                <w:b/>
                <w:bCs/>
                <w:color w:val="FFFFFF"/>
                <w:sz w:val="22"/>
                <w:szCs w:val="22"/>
              </w:rPr>
              <w:t xml:space="preserve">03</w:t>
            </w:r>
          </w:p>
        </w:tc>
        <w:tc>
          <w:tcPr>
            <w:tcBorders>
              <w:top w:val="none" w:color="FFFFFF" w:sz="0"/>
              <w:left w:val="single" w:color="00AECB" w:sz="8"/>
              <w:bottom w:val="none" w:color="FFFFFF" w:sz="0"/>
              <w:right w:val="none" w:color="FFFFFF" w:sz="0"/>
            </w:tcBorders>
            <w:shd w:fill="EEF2FA" w:val="clear"/>
            <w:tcMar>
              <w:top w:type="dxa" w:w="100"/>
              <w:left w:type="dxa" w:w="160"/>
              <w:bottom w:type="dxa" w:w="100"/>
              <w:right w:type="dxa" w:w="160"/>
            </w:tcMar>
          </w:tcPr>
          <w:p>
            <w:pPr>
              <w:spacing w:after="0"/>
            </w:pPr>
            <w:r>
              <w:rPr>
                <w:rFonts w:ascii="Calibri" w:cs="Calibri" w:eastAsia="Calibri" w:hAnsi="Calibri"/>
                <w:b/>
                <w:bCs/>
                <w:color w:val="1E2E6E"/>
                <w:sz w:val="24"/>
                <w:szCs w:val="24"/>
              </w:rPr>
              <w:t xml:space="preserve">Régimen de Valorización</w:t>
            </w:r>
          </w:p>
          <w:p>
            <w:pPr>
              <w:spacing w:after="0"/>
            </w:pPr>
            <w:r>
              <w:rPr>
                <w:rFonts w:ascii="Calibri" w:cs="Calibri" w:eastAsia="Calibri" w:hAnsi="Calibri"/>
                <w:i/>
                <w:iCs/>
                <w:color w:val="7E8083"/>
                <w:sz w:val="17"/>
                <w:szCs w:val="17"/>
              </w:rPr>
              <w:t xml:space="preserve">Heatmap de Z-scores semanales — últimos 12 meses</w:t>
            </w:r>
          </w:p>
        </w:tc>
      </w:tr>
    </w:tbl>
    <w:p>
      <w:pPr>
        <w:spacing w:after="100"/>
      </w:pPr>
      <w:r>
        <w:rPr>
          <w:rFonts w:ascii="Calibri" w:cs="Calibri" w:eastAsia="Calibri" w:hAnsi="Calibri"/>
          <w:color w:val="1A1A1A"/>
          <w:sz w:val="21"/>
          <w:szCs w:val="21"/>
        </w:rPr>
        <w:t xml:space="preserve"/>
      </w:r>
    </w:p>
    <w:p>
      <w:pPr>
        <w:spacing w:after="120" w:before="280"/>
      </w:pPr>
      <w:r>
        <w:rPr>
          <w:rFonts w:ascii="Calibri" w:cs="Calibri" w:eastAsia="Calibri" w:hAnsi="Calibri"/>
          <w:b/>
          <w:bCs/>
          <w:color w:val="1E2E6E"/>
          <w:sz w:val="24"/>
          <w:szCs w:val="24"/>
        </w:rPr>
        <w:t xml:space="preserve">El speech</w:t>
      </w:r>
    </w:p>
    <w:p>
      <w:pPr>
        <w:spacing w:after="130" w:line="288"/>
        <w:ind w:left="0"/>
      </w:pPr>
      <w:r>
        <w:rPr>
          <w:rFonts w:ascii="Calibri" w:cs="Calibri" w:eastAsia="Calibri" w:hAnsi="Calibri"/>
          <w:color w:val="1a2340"/>
          <w:sz w:val="21"/>
          <w:szCs w:val="21"/>
        </w:rPr>
        <w:t xml:space="preserve">"Este gráfico responde una pregunta que el Z puntual no puede responder: ¿cuánto tiempo lleva esta señal? Porque hay una diferencia enorme entre una empresa que tiene Z negativo desde esta semana y una que lleva 12 semanas seguidas en zona verde oscura. La primera puede ser ruido. La segunda es una señal con peso estadístico real."</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"Cada fila es una empresa del portafolio. Cada columna es una semana de los últimos 12 meses. El color es el Z-score: verde oscuro es barata, rojo oscuro es cara, gris es neutral. Si miro horizontalmente una fila y veo verde continuo de izquierda a derecha, eso me dice que esa empresa ha estado consistentemente barata durante meses."</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"Esto tiene respaldo en la literatura. Asness, Moskowitz y Pedersen demostraron en 2013 que los retornos anormales de estrategias de valor se concentran en posiciones con múltiplos persistentemente bajos, no en señales puntuales. El heatmap hace exactamente eso visible — me muestra la persistencia, no solo el nivel."</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"Lo que busco con este gráfico antes de un comité es identificar cuáles empresas tienen verde o rojo sostenido. Si tengo una empresa que lleva 10 semanas en verde oscuro, eso es algo que quiero llevar a discusión con análisis fundamental para ver si el descuento está justificado o es una oportunidad. Si veo una en rojo sostenido y tengo posición, eso es candidata a revisar la tesis."</w:t>
      </w:r>
    </w:p>
    <w:p>
      <w:pPr>
        <w:spacing w:after="100"/>
      </w:pPr>
      <w:r>
        <w:rPr>
          <w:rFonts w:ascii="Calibri" w:cs="Calibri" w:eastAsia="Calibri" w:hAnsi="Calibri"/>
          <w:color w:val="1A1A1A"/>
          <w:sz w:val="21"/>
          <w:szCs w:val="21"/>
        </w:rPr>
        <w:t xml:space="preserve"/>
      </w:r>
    </w:p>
    <w:p>
      <w:pPr>
        <w:spacing w:after="120" w:line="276"/>
      </w:pPr>
      <w:r>
        <w:rPr>
          <w:rFonts w:ascii="Calibri" w:cs="Calibri" w:eastAsia="Calibri" w:hAnsi="Calibri"/>
          <w:b/>
          <w:bCs/>
          <w:color w:val="8B0000"/>
          <w:sz w:val="19"/>
          <w:szCs w:val="19"/>
        </w:rPr>
        <w:t xml:space="preserve">Posible pregunta: </w:t>
      </w:r>
      <w:r>
        <w:rPr>
          <w:rFonts w:ascii="Calibri" w:cs="Calibri" w:eastAsia="Calibri" w:hAnsi="Calibri"/>
          <w:i/>
          <w:iCs/>
          <w:color w:val="8B0000"/>
          <w:sz w:val="19"/>
          <w:szCs w:val="19"/>
        </w:rPr>
        <w:t xml:space="preserve">"¿Por qué semanal y no diario?"</w:t>
      </w:r>
    </w:p>
    <w:p>
      <w:pPr>
        <w:spacing w:after="140"/>
      </w:pPr>
      <w:r>
        <w:rPr>
          <w:rFonts w:ascii="Calibri" w:cs="Calibri" w:eastAsia="Calibri" w:hAnsi="Calibri"/>
          <w:b/>
          <w:bCs/>
          <w:color w:val="1E2E6E"/>
          <w:sz w:val="19"/>
          <w:szCs w:val="19"/>
        </w:rPr>
        <w:t xml:space="preserve">Respuesta: </w:t>
      </w:r>
      <w:r>
        <w:rPr>
          <w:rFonts w:ascii="Calibri" w:cs="Calibri" w:eastAsia="Calibri" w:hAnsi="Calibri"/>
          <w:color w:val="1A1A1A"/>
          <w:sz w:val="19"/>
          <w:szCs w:val="19"/>
        </w:rPr>
        <w:t xml:space="preserve">El dato diario tiene mucho ruido — cualquier movimiento puntual de precio contamina la lectura. El dato semanal suaviza ese ruido y captura la tendencia real de la valorización. Además, la frecuencia semanal nos da exactamente 52 puntos por año, que es un número manejable visualmente. Con datos diarios el heatmap sería ilegible.</w:t>
      </w:r>
    </w:p>
    <w:p>
      <w:pPr>
        <w:spacing w:after="100"/>
      </w:pPr>
      <w:r>
        <w:rPr>
          <w:rFonts w:ascii="Calibri" w:cs="Calibri" w:eastAsia="Calibri" w:hAnsi="Calibri"/>
          <w:color w:val="1A1A1A"/>
          <w:sz w:val="21"/>
          <w:szCs w:val="21"/>
        </w:rPr>
        <w:t xml:space="preserve"/>
      </w:r>
    </w:p>
    <w:p>
      <w:pPr>
        <w:spacing w:after="100"/>
      </w:pPr>
      <w:r>
        <w:rPr>
          <w:rFonts w:ascii="Calibri" w:cs="Calibri" w:eastAsia="Calibri" w:hAnsi="Calibri"/>
          <w:color w:val="1A1A1A"/>
          <w:sz w:val="21"/>
          <w:szCs w:val="21"/>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2E6E" w:val="clear"/>
            <w:tcMar>
              <w:top w:type="dxa" w:w="120"/>
              <w:left w:type="dxa" w:w="120"/>
              <w:bottom w:type="dxa" w:w="120"/>
              <w:right w:type="dxa" w:w="120"/>
            </w:tcMar>
            <w:vAlign w:val="center"/>
          </w:tcPr>
          <w:p>
            <w:pPr>
              <w:spacing w:after="0"/>
              <w:jc w:val="center"/>
            </w:pPr>
            <w:r>
              <w:rPr>
                <w:rFonts w:ascii="IBM Plex Mono" w:cs="IBM Plex Mono" w:eastAsia="IBM Plex Mono" w:hAnsi="IBM Plex Mono"/>
                <w:b/>
                <w:bCs/>
                <w:color w:val="FFFFFF"/>
                <w:sz w:val="22"/>
                <w:szCs w:val="22"/>
              </w:rPr>
              <w:t xml:space="preserve">04</w:t>
            </w:r>
          </w:p>
        </w:tc>
        <w:tc>
          <w:tcPr>
            <w:tcBorders>
              <w:top w:val="none" w:color="FFFFFF" w:sz="0"/>
              <w:left w:val="single" w:color="00AECB" w:sz="8"/>
              <w:bottom w:val="none" w:color="FFFFFF" w:sz="0"/>
              <w:right w:val="none" w:color="FFFFFF" w:sz="0"/>
            </w:tcBorders>
            <w:shd w:fill="EEF2FA" w:val="clear"/>
            <w:tcMar>
              <w:top w:type="dxa" w:w="100"/>
              <w:left w:type="dxa" w:w="160"/>
              <w:bottom w:type="dxa" w:w="100"/>
              <w:right w:type="dxa" w:w="160"/>
            </w:tcMar>
          </w:tcPr>
          <w:p>
            <w:pPr>
              <w:spacing w:after="0"/>
            </w:pPr>
            <w:r>
              <w:rPr>
                <w:rFonts w:ascii="Calibri" w:cs="Calibri" w:eastAsia="Calibri" w:hAnsi="Calibri"/>
                <w:b/>
                <w:bCs/>
                <w:color w:val="1E2E6E"/>
                <w:sz w:val="24"/>
                <w:szCs w:val="24"/>
              </w:rPr>
              <w:t xml:space="preserve">Distribución Histórica EQRV</w:t>
            </w:r>
          </w:p>
          <w:p>
            <w:pPr>
              <w:spacing w:after="0"/>
            </w:pPr>
            <w:r>
              <w:rPr>
                <w:rFonts w:ascii="Calibri" w:cs="Calibri" w:eastAsia="Calibri" w:hAnsi="Calibri"/>
                <w:i/>
                <w:iCs/>
                <w:color w:val="7E8083"/>
                <w:sz w:val="17"/>
                <w:szCs w:val="17"/>
              </w:rPr>
              <w:t xml:space="preserve">Z actual vs percentiles históricos de cada empresa</w:t>
            </w:r>
          </w:p>
        </w:tc>
      </w:tr>
    </w:tbl>
    <w:p>
      <w:pPr>
        <w:spacing w:after="100"/>
      </w:pPr>
      <w:r>
        <w:rPr>
          <w:rFonts w:ascii="Calibri" w:cs="Calibri" w:eastAsia="Calibri" w:hAnsi="Calibri"/>
          <w:color w:val="1A1A1A"/>
          <w:sz w:val="21"/>
          <w:szCs w:val="21"/>
        </w:rPr>
        <w:t xml:space="preserve"/>
      </w:r>
    </w:p>
    <w:p>
      <w:pPr>
        <w:spacing w:after="120" w:before="280"/>
      </w:pPr>
      <w:r>
        <w:rPr>
          <w:rFonts w:ascii="Calibri" w:cs="Calibri" w:eastAsia="Calibri" w:hAnsi="Calibri"/>
          <w:b/>
          <w:bCs/>
          <w:color w:val="1E2E6E"/>
          <w:sz w:val="24"/>
          <w:szCs w:val="24"/>
        </w:rPr>
        <w:t xml:space="preserve">El speech</w:t>
      </w:r>
    </w:p>
    <w:p>
      <w:pPr>
        <w:spacing w:after="130" w:line="288"/>
        <w:ind w:left="0"/>
      </w:pPr>
      <w:r>
        <w:rPr>
          <w:rFonts w:ascii="Calibri" w:cs="Calibri" w:eastAsia="Calibri" w:hAnsi="Calibri"/>
          <w:color w:val="1a2340"/>
          <w:sz w:val="21"/>
          <w:szCs w:val="21"/>
        </w:rPr>
        <w:t xml:space="preserve">"Este gráfico está inspirado en el EQRV de Bloomberg y en los gráficos de percentil de J.P. Morgan Asset Management. La idea es simple: para cada empresa, quiero saber no solo cuál es su Z hoy, sino en qué punto de su distribución histórica completa está ese Z."</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"Cada empresa tiene cuatro capas de información. La banda azul tenue es el rango entre el percentil 10 y el percentil 90 — donde ha estado el Z el 80% del tiempo. La caja azul más oscura es el rango intercuartil, el 50% central. La línea vertical teal es la mediana histórica. Y el diamante coloreado es el Z de hoy."</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"Si el diamante está fuera de la banda azul tenue, a la derecha, significa que el múltiplo está en un nivel que históricamente solo ha ocurrido menos del 10% del tiempo. Eso es una señal de valorización extrema. Si está fuera de la banda por la izquierda, es el descuento más histórico que podemos observar en ese ticker."</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"Lo que me gusta de este gráfico para el comité es que puedo ordenar por percentil descendente y de un vistazo ver cuáles son las empresas con valorización más extrema — en cualquiera de las dos direcciones. Eso me da la lista de dónde enfocar el análisis fundamental esa semana."</w:t>
      </w:r>
    </w:p>
    <w:p>
      <w:pPr>
        <w:spacing w:after="100"/>
      </w:pPr>
      <w:r>
        <w:rPr>
          <w:rFonts w:ascii="Calibri" w:cs="Calibri" w:eastAsia="Calibri" w:hAnsi="Calibri"/>
          <w:color w:val="1A1A1A"/>
          <w:sz w:val="21"/>
          <w:szCs w:val="21"/>
        </w:rPr>
        <w:t xml:space="preserve"/>
      </w:r>
    </w:p>
    <w:p>
      <w:pPr>
        <w:spacing w:after="120" w:line="276"/>
      </w:pPr>
      <w:r>
        <w:rPr>
          <w:rFonts w:ascii="Calibri" w:cs="Calibri" w:eastAsia="Calibri" w:hAnsi="Calibri"/>
          <w:b/>
          <w:bCs/>
          <w:color w:val="8B0000"/>
          <w:sz w:val="19"/>
          <w:szCs w:val="19"/>
        </w:rPr>
        <w:t xml:space="preserve">Posible pregunta: </w:t>
      </w:r>
      <w:r>
        <w:rPr>
          <w:rFonts w:ascii="Calibri" w:cs="Calibri" w:eastAsia="Calibri" w:hAnsi="Calibri"/>
          <w:i/>
          <w:iCs/>
          <w:color w:val="8B0000"/>
          <w:sz w:val="19"/>
          <w:szCs w:val="19"/>
        </w:rPr>
        <w:t xml:space="preserve">"¿Desde cuándo parte la historia?"</w:t>
      </w:r>
    </w:p>
    <w:p>
      <w:pPr>
        <w:spacing w:after="140"/>
      </w:pPr>
      <w:r>
        <w:rPr>
          <w:rFonts w:ascii="Calibri" w:cs="Calibri" w:eastAsia="Calibri" w:hAnsi="Calibri"/>
          <w:b/>
          <w:bCs/>
          <w:color w:val="1E2E6E"/>
          <w:sz w:val="19"/>
          <w:szCs w:val="19"/>
        </w:rPr>
        <w:t xml:space="preserve">Respuesta: </w:t>
      </w:r>
      <w:r>
        <w:rPr>
          <w:rFonts w:ascii="Calibri" w:cs="Calibri" w:eastAsia="Calibri" w:hAnsi="Calibri"/>
          <w:color w:val="1A1A1A"/>
          <w:sz w:val="19"/>
          <w:szCs w:val="19"/>
        </w:rPr>
        <w:t xml:space="preserve">Desde 2011 en la mayoría de los casos. Para empresas con IPO reciente como AUNA, la historia es más corta — 200 o 300 días — y los percentiles no son tan confiables estadísticamente. El gráfico muestra el número de observaciones en el hover tooltip, así que se puede calibrar la confianza en la señal según la empresa.</w:t>
      </w:r>
    </w:p>
    <w:p>
      <w:pPr>
        <w:spacing w:after="120" w:line="276"/>
      </w:pPr>
      <w:r>
        <w:rPr>
          <w:rFonts w:ascii="Calibri" w:cs="Calibri" w:eastAsia="Calibri" w:hAnsi="Calibri"/>
          <w:b/>
          <w:bCs/>
          <w:color w:val="8B0000"/>
          <w:sz w:val="19"/>
          <w:szCs w:val="19"/>
        </w:rPr>
        <w:t xml:space="preserve">Posible pregunta: </w:t>
      </w:r>
      <w:r>
        <w:rPr>
          <w:rFonts w:ascii="Calibri" w:cs="Calibri" w:eastAsia="Calibri" w:hAnsi="Calibri"/>
          <w:i/>
          <w:iCs/>
          <w:color w:val="8B0000"/>
          <w:sz w:val="19"/>
          <w:szCs w:val="19"/>
        </w:rPr>
        <w:t xml:space="preserve">"¿Qué diferencia hay entre este y el gráfico 1?"</w:t>
      </w:r>
    </w:p>
    <w:p>
      <w:pPr>
        <w:spacing w:after="140"/>
      </w:pPr>
      <w:r>
        <w:rPr>
          <w:rFonts w:ascii="Calibri" w:cs="Calibri" w:eastAsia="Calibri" w:hAnsi="Calibri"/>
          <w:b/>
          <w:bCs/>
          <w:color w:val="1E2E6E"/>
          <w:sz w:val="19"/>
          <w:szCs w:val="19"/>
        </w:rPr>
        <w:t xml:space="preserve">Respuesta: </w:t>
      </w:r>
      <w:r>
        <w:rPr>
          <w:rFonts w:ascii="Calibri" w:cs="Calibri" w:eastAsia="Calibri" w:hAnsi="Calibri"/>
          <w:color w:val="1A1A1A"/>
          <w:sz w:val="19"/>
          <w:szCs w:val="19"/>
        </w:rPr>
        <w:t xml:space="preserve">El gráfico 1 me muestra cómo llegué hasta acá — la trayectoria en el tiempo. Este me dice dónde estoy en el mapa estadístico completo. Son complementarios: el 1 me da el contexto temporal, el 4 me da el contexto distribucional. Juntos me dicen si la señal de hoy es extrema Y si llegó rápido o viene acumulándose.</w:t>
      </w:r>
    </w:p>
    <w:p>
      <w:pPr>
        <w:spacing w:after="100"/>
      </w:pPr>
      <w:r>
        <w:rPr>
          <w:rFonts w:ascii="Calibri" w:cs="Calibri" w:eastAsia="Calibri" w:hAnsi="Calibri"/>
          <w:color w:val="1A1A1A"/>
          <w:sz w:val="21"/>
          <w:szCs w:val="21"/>
        </w:rPr>
        <w:t xml:space="preserve"/>
      </w:r>
    </w:p>
    <w:p>
      <w:pPr>
        <w:spacing w:after="100"/>
      </w:pPr>
      <w:r>
        <w:rPr>
          <w:rFonts w:ascii="Calibri" w:cs="Calibri" w:eastAsia="Calibri" w:hAnsi="Calibri"/>
          <w:color w:val="1A1A1A"/>
          <w:sz w:val="21"/>
          <w:szCs w:val="21"/>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2E6E" w:val="clear"/>
            <w:tcMar>
              <w:top w:type="dxa" w:w="120"/>
              <w:left w:type="dxa" w:w="120"/>
              <w:bottom w:type="dxa" w:w="120"/>
              <w:right w:type="dxa" w:w="120"/>
            </w:tcMar>
            <w:vAlign w:val="center"/>
          </w:tcPr>
          <w:p>
            <w:pPr>
              <w:spacing w:after="0"/>
              <w:jc w:val="center"/>
            </w:pPr>
            <w:r>
              <w:rPr>
                <w:rFonts w:ascii="IBM Plex Mono" w:cs="IBM Plex Mono" w:eastAsia="IBM Plex Mono" w:hAnsi="IBM Plex Mono"/>
                <w:b/>
                <w:bCs/>
                <w:color w:val="FFFFFF"/>
                <w:sz w:val="22"/>
                <w:szCs w:val="22"/>
              </w:rPr>
              <w:t xml:space="preserve">05</w:t>
            </w:r>
          </w:p>
        </w:tc>
        <w:tc>
          <w:tcPr>
            <w:tcBorders>
              <w:top w:val="none" w:color="FFFFFF" w:sz="0"/>
              <w:left w:val="single" w:color="00AECB" w:sz="8"/>
              <w:bottom w:val="none" w:color="FFFFFF" w:sz="0"/>
              <w:right w:val="none" w:color="FFFFFF" w:sz="0"/>
            </w:tcBorders>
            <w:shd w:fill="EEF2FA" w:val="clear"/>
            <w:tcMar>
              <w:top w:type="dxa" w:w="100"/>
              <w:left w:type="dxa" w:w="160"/>
              <w:bottom w:type="dxa" w:w="100"/>
              <w:right w:type="dxa" w:w="160"/>
            </w:tcMar>
          </w:tcPr>
          <w:p>
            <w:pPr>
              <w:spacing w:after="0"/>
            </w:pPr>
            <w:r>
              <w:rPr>
                <w:rFonts w:ascii="Calibri" w:cs="Calibri" w:eastAsia="Calibri" w:hAnsi="Calibri"/>
                <w:b/>
                <w:bCs/>
                <w:color w:val="1E2E6E"/>
                <w:sz w:val="24"/>
                <w:szCs w:val="24"/>
              </w:rPr>
              <w:t xml:space="preserve">Evolución de Múltiplos</w:t>
            </w:r>
          </w:p>
          <w:p>
            <w:pPr>
              <w:spacing w:after="0"/>
            </w:pPr>
            <w:r>
              <w:rPr>
                <w:rFonts w:ascii="Calibri" w:cs="Calibri" w:eastAsia="Calibri" w:hAnsi="Calibri"/>
                <w:i/>
                <w:iCs/>
                <w:color w:val="7E8083"/>
                <w:sz w:val="17"/>
                <w:szCs w:val="17"/>
              </w:rPr>
              <w:t xml:space="preserve">Múltiplos absolutos históricos — hasta 3 empresas</w:t>
            </w:r>
          </w:p>
        </w:tc>
      </w:tr>
    </w:tbl>
    <w:p>
      <w:pPr>
        <w:spacing w:after="100"/>
      </w:pPr>
      <w:r>
        <w:rPr>
          <w:rFonts w:ascii="Calibri" w:cs="Calibri" w:eastAsia="Calibri" w:hAnsi="Calibri"/>
          <w:color w:val="1A1A1A"/>
          <w:sz w:val="21"/>
          <w:szCs w:val="21"/>
        </w:rPr>
        <w:t xml:space="preserve"/>
      </w:r>
    </w:p>
    <w:p>
      <w:pPr>
        <w:spacing w:after="120" w:before="280"/>
      </w:pPr>
      <w:r>
        <w:rPr>
          <w:rFonts w:ascii="Calibri" w:cs="Calibri" w:eastAsia="Calibri" w:hAnsi="Calibri"/>
          <w:b/>
          <w:bCs/>
          <w:color w:val="1E2E6E"/>
          <w:sz w:val="24"/>
          <w:szCs w:val="24"/>
        </w:rPr>
        <w:t xml:space="preserve">El speech</w:t>
      </w:r>
    </w:p>
    <w:p>
      <w:pPr>
        <w:spacing w:after="130" w:line="288"/>
        <w:ind w:left="0"/>
      </w:pPr>
      <w:r>
        <w:rPr>
          <w:rFonts w:ascii="Calibri" w:cs="Calibri" w:eastAsia="Calibri" w:hAnsi="Calibri"/>
          <w:color w:val="1a2340"/>
          <w:sz w:val="21"/>
          <w:szCs w:val="21"/>
        </w:rPr>
        <w:t xml:space="preserve">"Este es el único gráfico que trabaja con múltiplos reales, no Z-scores. Si quiero ver cuánto está pagando el mercado por BAP en términos de P/Book histórico, y compararlo directamente con IFS y BBVAC1 en el mismo gráfico, lo hago acá."</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"Tengo 169 tickers disponibles de las tres hojas del ZODA y puedo seleccionar hasta tres para comparar. Elijo el múltiplo arriba — P/E trailing, P/Book, P/S, EV/EBITDA — y el gráfico me muestra la evolución histórica desde 2009 para los tres simultáneamente. Cada línea tiene un estilo distinto para distinguirlas con facilidad."</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"¿Para qué me sirve esto que los otros gráficos no me dan? Me sirve para validar una señal del Z-score con el múltiplo real. Supongamos que el Z de BAP es −1.8, señal de que está barata. Puedo venir acá y ver si el P/Book de BAP de 2.1x es efectivamente bajo en relación a su historia — o si su historia siempre fue en esos niveles y el Z está exagerado."</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"También me ayuda para preparar una tesis de inversión: si voy a argumentar que BAP está barata versus IFS, necesito el gráfico que muestre que el P/Book de BAP está convergiendo hacia abajo mientras el de IFS se mantiene, o que la prima que históricamente tenía BAP ha desaparecido. Eso lo puedo mostrar acá directamente."</w:t>
      </w:r>
    </w:p>
    <w:p>
      <w:pPr>
        <w:spacing w:after="100"/>
      </w:pPr>
      <w:r>
        <w:rPr>
          <w:rFonts w:ascii="Calibri" w:cs="Calibri" w:eastAsia="Calibri" w:hAnsi="Calibri"/>
          <w:color w:val="1A1A1A"/>
          <w:sz w:val="21"/>
          <w:szCs w:val="21"/>
        </w:rPr>
        <w:t xml:space="preserve"/>
      </w:r>
    </w:p>
    <w:p>
      <w:pPr>
        <w:spacing w:after="120" w:line="276"/>
      </w:pPr>
      <w:r>
        <w:rPr>
          <w:rFonts w:ascii="Calibri" w:cs="Calibri" w:eastAsia="Calibri" w:hAnsi="Calibri"/>
          <w:b/>
          <w:bCs/>
          <w:color w:val="8B0000"/>
          <w:sz w:val="19"/>
          <w:szCs w:val="19"/>
        </w:rPr>
        <w:t xml:space="preserve">Posible pregunta: </w:t>
      </w:r>
      <w:r>
        <w:rPr>
          <w:rFonts w:ascii="Calibri" w:cs="Calibri" w:eastAsia="Calibri" w:hAnsi="Calibri"/>
          <w:i/>
          <w:iCs/>
          <w:color w:val="8B0000"/>
          <w:sz w:val="19"/>
          <w:szCs w:val="19"/>
        </w:rPr>
        <w:t xml:space="preserve">"¿Los datos son diarios?"</w:t>
      </w:r>
    </w:p>
    <w:p>
      <w:pPr>
        <w:spacing w:after="140"/>
      </w:pPr>
      <w:r>
        <w:rPr>
          <w:rFonts w:ascii="Calibri" w:cs="Calibri" w:eastAsia="Calibri" w:hAnsi="Calibri"/>
          <w:b/>
          <w:bCs/>
          <w:color w:val="1E2E6E"/>
          <w:sz w:val="19"/>
          <w:szCs w:val="19"/>
        </w:rPr>
        <w:t xml:space="preserve">Respuesta: </w:t>
      </w:r>
      <w:r>
        <w:rPr>
          <w:rFonts w:ascii="Calibri" w:cs="Calibri" w:eastAsia="Calibri" w:hAnsi="Calibri"/>
          <w:color w:val="1A1A1A"/>
          <w:sz w:val="19"/>
          <w:szCs w:val="19"/>
        </w:rPr>
        <w:t xml:space="preserve">El gráfico usa datos bi-semanales — un dato cada dos viernes. Lo reduje así para que el archivo HTML sea manejable en tamaño. Con datos diarios de 169 tickers el archivo sería de 60 MB y tardaría demasiado en abrir. Bi-semanal es suficiente para ver tendencias de múltiplo con claridad, porque los cambios de valorización relevantes no ocurren en un día.</w:t>
      </w:r>
    </w:p>
    <w:p>
      <w:pPr>
        <w:spacing w:after="120" w:line="276"/>
      </w:pPr>
      <w:r>
        <w:rPr>
          <w:rFonts w:ascii="Calibri" w:cs="Calibri" w:eastAsia="Calibri" w:hAnsi="Calibri"/>
          <w:b/>
          <w:bCs/>
          <w:color w:val="8B0000"/>
          <w:sz w:val="19"/>
          <w:szCs w:val="19"/>
        </w:rPr>
        <w:t xml:space="preserve">Posible pregunta: </w:t>
      </w:r>
      <w:r>
        <w:rPr>
          <w:rFonts w:ascii="Calibri" w:cs="Calibri" w:eastAsia="Calibri" w:hAnsi="Calibri"/>
          <w:i/>
          <w:iCs/>
          <w:color w:val="8B0000"/>
          <w:sz w:val="19"/>
          <w:szCs w:val="19"/>
        </w:rPr>
        <w:t xml:space="preserve">"¿Por qué no incluyen múltiplos forward?"</w:t>
      </w:r>
    </w:p>
    <w:p>
      <w:pPr>
        <w:spacing w:after="140"/>
      </w:pPr>
      <w:r>
        <w:rPr>
          <w:rFonts w:ascii="Calibri" w:cs="Calibri" w:eastAsia="Calibri" w:hAnsi="Calibri"/>
          <w:b/>
          <w:bCs/>
          <w:color w:val="1E2E6E"/>
          <w:sz w:val="19"/>
          <w:szCs w:val="19"/>
        </w:rPr>
        <w:t xml:space="preserve">Respuesta: </w:t>
      </w:r>
      <w:r>
        <w:rPr>
          <w:rFonts w:ascii="Calibri" w:cs="Calibri" w:eastAsia="Calibri" w:hAnsi="Calibri"/>
          <w:color w:val="1A1A1A"/>
          <w:sz w:val="19"/>
          <w:szCs w:val="19"/>
        </w:rPr>
        <w:t xml:space="preserve">Las estimaciones forward de Capital IQ para empresas latinoamericanas tienen cobertura muy limitada y calidad variable. En muchos casos el consensus tiene uno o dos analistas cubriendo la empresa, lo que hace que el forward múltiplo sea más reflejo del analista que del mercado. Preferimos trabajar con datos reales trailing, que son más robustos.</w:t>
      </w:r>
    </w:p>
    <w:p>
      <w:pPr>
        <w:spacing w:after="100"/>
      </w:pPr>
      <w:r>
        <w:rPr>
          <w:rFonts w:ascii="Calibri" w:cs="Calibri" w:eastAsia="Calibri" w:hAnsi="Calibri"/>
          <w:color w:val="1A1A1A"/>
          <w:sz w:val="21"/>
          <w:szCs w:val="21"/>
        </w:rPr>
        <w:t xml:space="preserve"/>
      </w:r>
    </w:p>
    <w:p>
      <w:pPr>
        <w:spacing w:after="100"/>
      </w:pPr>
      <w:r>
        <w:rPr>
          <w:rFonts w:ascii="Calibri" w:cs="Calibri" w:eastAsia="Calibri" w:hAnsi="Calibri"/>
          <w:color w:val="1A1A1A"/>
          <w:sz w:val="21"/>
          <w:szCs w:val="21"/>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2E6E" w:val="clear"/>
            <w:tcMar>
              <w:top w:type="dxa" w:w="120"/>
              <w:left w:type="dxa" w:w="120"/>
              <w:bottom w:type="dxa" w:w="120"/>
              <w:right w:type="dxa" w:w="120"/>
            </w:tcMar>
            <w:vAlign w:val="center"/>
          </w:tcPr>
          <w:p>
            <w:pPr>
              <w:spacing w:after="0"/>
              <w:jc w:val="center"/>
            </w:pPr>
            <w:r>
              <w:rPr>
                <w:rFonts w:ascii="IBM Plex Mono" w:cs="IBM Plex Mono" w:eastAsia="IBM Plex Mono" w:hAnsi="IBM Plex Mono"/>
                <w:b/>
                <w:bCs/>
                <w:color w:val="FFFFFF"/>
                <w:sz w:val="22"/>
                <w:szCs w:val="22"/>
              </w:rPr>
              <w:t xml:space="preserve">06</w:t>
            </w:r>
          </w:p>
        </w:tc>
        <w:tc>
          <w:tcPr>
            <w:tcBorders>
              <w:top w:val="none" w:color="FFFFFF" w:sz="0"/>
              <w:left w:val="single" w:color="00AECB" w:sz="8"/>
              <w:bottom w:val="none" w:color="FFFFFF" w:sz="0"/>
              <w:right w:val="none" w:color="FFFFFF" w:sz="0"/>
            </w:tcBorders>
            <w:shd w:fill="EEF2FA" w:val="clear"/>
            <w:tcMar>
              <w:top w:type="dxa" w:w="100"/>
              <w:left w:type="dxa" w:w="160"/>
              <w:bottom w:type="dxa" w:w="100"/>
              <w:right w:type="dxa" w:w="160"/>
            </w:tcMar>
          </w:tcPr>
          <w:p>
            <w:pPr>
              <w:spacing w:after="0"/>
            </w:pPr>
            <w:r>
              <w:rPr>
                <w:rFonts w:ascii="Calibri" w:cs="Calibri" w:eastAsia="Calibri" w:hAnsi="Calibri"/>
                <w:b/>
                <w:bCs/>
                <w:color w:val="1E2E6E"/>
                <w:sz w:val="24"/>
                <w:szCs w:val="24"/>
              </w:rPr>
              <w:t xml:space="preserve">Calendarized Return Fan</w:t>
            </w:r>
          </w:p>
          <w:p>
            <w:pPr>
              <w:spacing w:after="0"/>
            </w:pPr>
            <w:r>
              <w:rPr>
                <w:rFonts w:ascii="Calibri" w:cs="Calibri" w:eastAsia="Calibri" w:hAnsi="Calibri"/>
                <w:i/>
                <w:iCs/>
                <w:color w:val="7E8083"/>
                <w:sz w:val="17"/>
                <w:szCs w:val="17"/>
              </w:rPr>
              <w:t xml:space="preserve">Retorno YTD actual vs distribución histórica de años anteriores</w:t>
            </w:r>
          </w:p>
        </w:tc>
      </w:tr>
    </w:tbl>
    <w:p>
      <w:pPr>
        <w:spacing w:after="100"/>
      </w:pPr>
      <w:r>
        <w:rPr>
          <w:rFonts w:ascii="Calibri" w:cs="Calibri" w:eastAsia="Calibri" w:hAnsi="Calibri"/>
          <w:color w:val="1A1A1A"/>
          <w:sz w:val="21"/>
          <w:szCs w:val="21"/>
        </w:rPr>
        <w:t xml:space="preserve"/>
      </w:r>
    </w:p>
    <w:p>
      <w:pPr>
        <w:spacing w:after="120" w:before="280"/>
      </w:pPr>
      <w:r>
        <w:rPr>
          <w:rFonts w:ascii="Calibri" w:cs="Calibri" w:eastAsia="Calibri" w:hAnsi="Calibri"/>
          <w:b/>
          <w:bCs/>
          <w:color w:val="1E2E6E"/>
          <w:sz w:val="24"/>
          <w:szCs w:val="24"/>
        </w:rPr>
        <w:t xml:space="preserve">El speech</w:t>
      </w:r>
    </w:p>
    <w:p>
      <w:pPr>
        <w:spacing w:after="130" w:line="288"/>
        <w:ind w:left="0"/>
      </w:pPr>
      <w:r>
        <w:rPr>
          <w:rFonts w:ascii="Calibri" w:cs="Calibri" w:eastAsia="Calibri" w:hAnsi="Calibri"/>
          <w:color w:val="1a2340"/>
          <w:sz w:val="21"/>
          <w:szCs w:val="21"/>
        </w:rPr>
        <w:t xml:space="preserve">"Este gráfico responde una pregunta que suele aparecer en octubre o noviembre de cada año: ¿cuánto le queda al rally? O en el sentido opuesto, si hay una caída: ¿ya estamos en un nivel históricamente extremo o el mercado puede seguir cayendo?"</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"Lo que muestra es el retorno acumulado de una empresa desde el 1 de enero de cada año. La línea verde o roja más gruesa es el año actual. Las bandas azules son las distribuciones históricas — construidas con todos los años disponibles desde 2011. La banda ancha es el rango P10–P90, la caja más angosta es el rango intercuartil, y la línea punteada es la mediana de todos los años históricos."</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"Si la línea del año actual está por encima de la banda P90, significa que el retorno acumulado a esta fecha del año es más alto de lo que fue en el 90% de los años anteriores. Eso no significa automáticamente que va a caer, pero estadísticamente me dice que hay poca historia en que el año terminara aún más alto desde ese punto."</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"Déjenme mostrarles el caso de BAP. Al día 141 del año — que es hoy aproximadamente — va un +16.5% acumulado. La mediana histórica a esta misma fecha es de alrededor de +3%. Eso significa que BAP está teniendo uno de sus mejores arranques de año en su historia registrada. El P90 histórico a esta fecha está en +47%, así que aún hay espacio estadístico, pero la pregunta es si el Z de valorización — que ya está elevado — puede sostener ese retorno."</w:t>
      </w:r>
    </w:p>
    <w:p>
      <w:pPr>
        <w:spacing w:after="100"/>
      </w:pPr>
      <w:r>
        <w:rPr>
          <w:rFonts w:ascii="Calibri" w:cs="Calibri" w:eastAsia="Calibri" w:hAnsi="Calibri"/>
          <w:color w:val="1A1A1A"/>
          <w:sz w:val="21"/>
          <w:szCs w:val="21"/>
        </w:rPr>
        <w:t xml:space="preserve"/>
      </w:r>
    </w:p>
    <w:p>
      <w:pPr>
        <w:spacing w:after="130" w:line="288"/>
        <w:ind w:left="0"/>
      </w:pPr>
      <w:r>
        <w:rPr>
          <w:rFonts w:ascii="Calibri" w:cs="Calibri" w:eastAsia="Calibri" w:hAnsi="Calibri"/>
          <w:color w:val="1a2340"/>
          <w:sz w:val="21"/>
          <w:szCs w:val="21"/>
        </w:rPr>
        <w:t xml:space="preserve">"Es el gráfico que conecta la valorización con el desempeño. Los otros cinco gráficos me dicen dónde está el múltiplo. Este me dice cómo le ha ido al precio en el año. La combinación es potente: una empresa con Z alto Y retorno YTD en el P75 histórico es la que más me preocupa para el segundo semestre."</w:t>
      </w:r>
    </w:p>
    <w:p>
      <w:pPr>
        <w:spacing w:after="100"/>
      </w:pPr>
      <w:r>
        <w:rPr>
          <w:rFonts w:ascii="Calibri" w:cs="Calibri" w:eastAsia="Calibri" w:hAnsi="Calibri"/>
          <w:color w:val="1A1A1A"/>
          <w:sz w:val="21"/>
          <w:szCs w:val="21"/>
        </w:rPr>
        <w:t xml:space="preserve"/>
      </w:r>
    </w:p>
    <w:p>
      <w:pPr>
        <w:spacing w:after="120" w:line="276"/>
      </w:pPr>
      <w:r>
        <w:rPr>
          <w:rFonts w:ascii="Calibri" w:cs="Calibri" w:eastAsia="Calibri" w:hAnsi="Calibri"/>
          <w:b/>
          <w:bCs/>
          <w:color w:val="8B0000"/>
          <w:sz w:val="19"/>
          <w:szCs w:val="19"/>
        </w:rPr>
        <w:t xml:space="preserve">Posible pregunta: </w:t>
      </w:r>
      <w:r>
        <w:rPr>
          <w:rFonts w:ascii="Calibri" w:cs="Calibri" w:eastAsia="Calibri" w:hAnsi="Calibri"/>
          <w:i/>
          <w:iCs/>
          <w:color w:val="8B0000"/>
          <w:sz w:val="19"/>
          <w:szCs w:val="19"/>
        </w:rPr>
        <w:t xml:space="preserve">"¿Por qué desde enero de cada año y no rolling 12 meses?"</w:t>
      </w:r>
    </w:p>
    <w:p>
      <w:pPr>
        <w:spacing w:after="140"/>
      </w:pPr>
      <w:r>
        <w:rPr>
          <w:rFonts w:ascii="Calibri" w:cs="Calibri" w:eastAsia="Calibri" w:hAnsi="Calibri"/>
          <w:b/>
          <w:bCs/>
          <w:color w:val="1E2E6E"/>
          <w:sz w:val="19"/>
          <w:szCs w:val="19"/>
        </w:rPr>
        <w:t xml:space="preserve">Respuesta: </w:t>
      </w:r>
      <w:r>
        <w:rPr>
          <w:rFonts w:ascii="Calibri" w:cs="Calibri" w:eastAsia="Calibri" w:hAnsi="Calibri"/>
          <w:color w:val="1A1A1A"/>
          <w:sz w:val="19"/>
          <w:szCs w:val="19"/>
        </w:rPr>
        <w:t xml:space="preserve">El retorno calendario tiene una lógica conductual importante — los gestores, los benchmarks y los clientes piensan en años calendario. Un retorno del +30% desde enero significa algo distinto que el mismo +30% medido desde julio del año anterior. El año calendario es el horizonte natural de evaluación de performance, así que es el más relevante para esta comparación.</w:t>
      </w:r>
    </w:p>
    <w:p>
      <w:pPr>
        <w:spacing w:after="120" w:line="276"/>
      </w:pPr>
      <w:r>
        <w:rPr>
          <w:rFonts w:ascii="Calibri" w:cs="Calibri" w:eastAsia="Calibri" w:hAnsi="Calibri"/>
          <w:b/>
          <w:bCs/>
          <w:color w:val="8B0000"/>
          <w:sz w:val="19"/>
          <w:szCs w:val="19"/>
        </w:rPr>
        <w:t xml:space="preserve">Posible pregunta: </w:t>
      </w:r>
      <w:r>
        <w:rPr>
          <w:rFonts w:ascii="Calibri" w:cs="Calibri" w:eastAsia="Calibri" w:hAnsi="Calibri"/>
          <w:i/>
          <w:iCs/>
          <w:color w:val="8B0000"/>
          <w:sz w:val="19"/>
          <w:szCs w:val="19"/>
        </w:rPr>
        <w:t xml:space="preserve">"¿Es útil para todas las empresas o solo para las más líquidas?"</w:t>
      </w:r>
    </w:p>
    <w:p>
      <w:pPr>
        <w:spacing w:after="140"/>
      </w:pPr>
      <w:r>
        <w:rPr>
          <w:rFonts w:ascii="Calibri" w:cs="Calibri" w:eastAsia="Calibri" w:hAnsi="Calibri"/>
          <w:b/>
          <w:bCs/>
          <w:color w:val="1E2E6E"/>
          <w:sz w:val="19"/>
          <w:szCs w:val="19"/>
        </w:rPr>
        <w:t xml:space="preserve">Respuesta: </w:t>
      </w:r>
      <w:r>
        <w:rPr>
          <w:rFonts w:ascii="Calibri" w:cs="Calibri" w:eastAsia="Calibri" w:hAnsi="Calibri"/>
          <w:color w:val="1A1A1A"/>
          <w:sz w:val="19"/>
          <w:szCs w:val="19"/>
        </w:rPr>
        <w:t xml:space="preserve">Es más confiable para las empresas con más historia disponible — BAP, IFS, CVERDE, MINSUR, que tienen datos desde 2011. Para empresas con 3 o 4 años de historia las bandas son menos robustas porque tienen pocas observaciones. El gráfico muestra cuántos años de historia se usaron para construir las bandas, así que se puede calibrar la confianza.</w:t>
      </w:r>
    </w:p>
    <w:p>
      <w:pPr>
        <w:spacing w:after="100"/>
      </w:pPr>
      <w:r>
        <w:rPr>
          <w:rFonts w:ascii="Calibri" w:cs="Calibri" w:eastAsia="Calibri" w:hAnsi="Calibri"/>
          <w:color w:val="1A1A1A"/>
          <w:sz w:val="21"/>
          <w:szCs w:val="21"/>
        </w:rPr>
        <w:t xml:space="preserve"/>
      </w:r>
    </w:p>
    <w:p>
      <w:pPr>
        <w:spacing w:after="100"/>
      </w:pPr>
      <w:r>
        <w:rPr>
          <w:rFonts w:ascii="Calibri" w:cs="Calibri" w:eastAsia="Calibri" w:hAnsi="Calibri"/>
          <w:color w:val="1A1A1A"/>
          <w:sz w:val="21"/>
          <w:szCs w:val="21"/>
        </w:rPr>
        <w:t xml:space="preserve"/>
      </w:r>
    </w:p>
    <w:p>
      <w:pPr>
        <w:pBdr>
          <w:top w:val="single" w:color="1E2E6E" w:sz="4"/>
        </w:pBdr>
        <w:spacing w:after="100" w:before="240"/>
      </w:pPr>
      <w:r>
        <w:rPr>
          <w:rFonts w:ascii="Calibri" w:cs="Calibri" w:eastAsia="Calibri" w:hAnsi="Calibri"/>
          <w:b/>
          <w:bCs/>
          <w:color w:val="1E2E6E"/>
          <w:sz w:val="21"/>
          <w:szCs w:val="21"/>
        </w:rPr>
        <w:t xml:space="preserve">Mensaje de cierre para el comité:</w:t>
      </w:r>
    </w:p>
    <w:p>
      <w:pPr>
        <w:spacing w:after="130" w:line="288"/>
        <w:ind w:left="0"/>
      </w:pPr>
      <w:r>
        <w:rPr>
          <w:rFonts w:ascii="Calibri" w:cs="Calibri" w:eastAsia="Calibri" w:hAnsi="Calibri"/>
          <w:color w:val="1a2340"/>
          <w:sz w:val="21"/>
          <w:szCs w:val="21"/>
        </w:rPr>
        <w:t xml:space="preserve">"Para resumir: el ZODA no es un modelo que me dice qué comprar y qué vender. Es una capa de señalización sistemática que me ayuda a priorizar dónde enfocar el análisis fundamental. Me dice cuáles empresas están en zonas extremas de valorización, cuáles llevan tiempo ahí, cuánto capital tenemos en cada una y cómo se ha comportado el precio en el año. El análisis fundamental y el juicio de inversión siguen siendo nuestro. Lo que el ZODA elimina es el tiempo que tomaba hacer esa exploración manual, empresa por empresa, múltiplo por múltiplo. Ahora la hacemos en segundos."</w:t>
      </w:r>
    </w:p>
    <w:p>
      <w:pPr>
        <w:spacing w:after="100"/>
      </w:pPr>
      <w:r>
        <w:rPr>
          <w:rFonts w:ascii="Calibri" w:cs="Calibri" w:eastAsia="Calibri" w:hAnsi="Calibri"/>
          <w:color w:val="1A1A1A"/>
          <w:sz w:val="21"/>
          <w:szCs w:val="21"/>
        </w:rPr>
        <w:t xml:space="preserve"/>
      </w:r>
    </w:p>
    <w:p>
      <w:pPr>
        <w:pBdr>
          <w:top w:val="single" w:color="1E2E6E" w:sz="4"/>
        </w:pBdr>
        <w:spacing w:after="80" w:before="200"/>
      </w:pPr>
      <w:r>
        <w:rPr>
          <w:rFonts w:ascii="Calibri" w:cs="Calibri" w:eastAsia="Calibri" w:hAnsi="Calibri"/>
          <w:i/>
          <w:iCs/>
          <w:color w:val="7E8083"/>
          <w:sz w:val="17"/>
          <w:szCs w:val="17"/>
        </w:rPr>
        <w:t xml:space="preserve">Franco Olivares · Mesa de Inversiones RVL · AFP Integra · Junio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E6E" w:sz="4"/>
      </w:pBdr>
      <w:spacing w:after="0" w:before="80"/>
    </w:pPr>
  </w:p>
  <w:p>
    <w:pPr>
      <w:spacing w:after="0"/>
    </w:pPr>
    <w:r>
      <w:rPr>
        <w:rFonts w:ascii="Calibri" w:cs="Calibri" w:eastAsia="Calibri" w:hAnsi="Calibri"/>
        <w:color w:val="7E8083"/>
        <w:sz w:val="16"/>
        <w:szCs w:val="16"/>
      </w:rPr>
      <w:t xml:space="preserve">Uso interno · AFP Integra · Franco Olivares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Borders>
            <w:top w:val="none" w:color="FFFFFF" w:sz="0"/>
            <w:left w:val="none" w:color="FFFFFF" w:sz="0"/>
            <w:bottom w:val="none" w:color="FFFFFF" w:sz="0"/>
            <w:right w:val="none" w:color="FFFFFF" w:sz="0"/>
          </w:tcBorders>
        </w:tcPr>
        <w:p>
          <w:pPr>
            <w:spacing w:after="0"/>
          </w:pPr>
          <w:r>
            <w:rPr>
              <w:rFonts w:ascii="Calibri" w:cs="Calibri" w:eastAsia="Calibri" w:hAnsi="Calibri"/>
              <w:b/>
              <w:bCs/>
              <w:color w:val="1E2E6E"/>
              <w:sz w:val="18"/>
              <w:szCs w:val="18"/>
            </w:rPr>
            <w:t xml:space="preserve">ZODA Dashboard</w:t>
          </w:r>
          <w:r>
            <w:rPr>
              <w:rFonts w:ascii="Calibri" w:cs="Calibri" w:eastAsia="Calibri" w:hAnsi="Calibri"/>
              <w:color w:val="7E8083"/>
              <w:sz w:val="17"/>
              <w:szCs w:val="17"/>
            </w:rPr>
            <w:t xml:space="preserve">  ·  Speech para Comité de Inversiones</w:t>
          </w:r>
        </w:p>
      </w:tc>
      <w:tc>
        <w:tcPr>
          <w:tcBorders>
            <w:top w:val="none" w:color="FFFFFF" w:sz="0"/>
            <w:left w:val="none" w:color="FFFFFF" w:sz="0"/>
            <w:bottom w:val="none" w:color="FFFFFF" w:sz="0"/>
            <w:right w:val="none" w:color="FFFFFF" w:sz="0"/>
          </w:tcBorders>
        </w:tcPr>
        <w:p>
          <w:pPr>
            <w:spacing w:after="0"/>
            <w:jc w:val="right"/>
          </w:pPr>
          <w:r>
            <w:rPr>
              <w:rFonts w:ascii="Calibri" w:cs="Calibri" w:eastAsia="Calibri" w:hAnsi="Calibri"/>
              <w:color w:val="7E8083"/>
              <w:sz w:val="17"/>
              <w:szCs w:val="17"/>
            </w:rPr>
            <w:t xml:space="preserve">AFP Integra · RVL</w:t>
          </w:r>
        </w:p>
      </w:tc>
    </w:tr>
  </w:tbl>
  <w:p>
    <w:pPr>
      <w:pBdr>
        <w:bottom w:val="single" w:color="E3E829" w:sz="5"/>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2026-06-08T06:52:30.125Z</dcterms:created>
  <dcterms:modified xsi:type="dcterms:W3CDTF">2026-06-08T06:52:30.134Z</dcterms:modified>
</cp:coreProperties>
</file>

<file path=docProps/custom.xml><?xml version="1.0" encoding="utf-8"?>
<Properties xmlns="http://schemas.openxmlformats.org/officeDocument/2006/custom-properties" xmlns:vt="http://schemas.openxmlformats.org/officeDocument/2006/docPropsVTypes"/>
</file>