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1256">
        <w:tblPrEx>
          <w:tblCellMar>
            <w:top w:w="0" w:type="dxa"/>
            <w:bottom w:w="0" w:type="dxa"/>
          </w:tblCellMar>
        </w:tblPrEx>
        <w:tc>
          <w:tcPr>
            <w:tcW w:w="0" w:type="auto"/>
            <w:shd w:val="clear" w:color="auto" w:fill="1E2E6E"/>
            <w:tcMar>
              <w:top w:w="800" w:type="dxa"/>
              <w:left w:w="600" w:type="dxa"/>
              <w:bottom w:w="800" w:type="dxa"/>
              <w:right w:w="600" w:type="dxa"/>
            </w:tcMar>
          </w:tcPr>
          <w:p w:rsidR="00961256" w:rsidRPr="00AA205B" w:rsidRDefault="00CB25D9">
            <w:pPr>
              <w:jc w:val="center"/>
              <w:rPr>
                <w:lang w:val="es-MX"/>
              </w:rPr>
            </w:pPr>
            <w:r w:rsidRPr="00AA205B">
              <w:rPr>
                <w:color w:val="00AECB"/>
                <w:sz w:val="20"/>
                <w:szCs w:val="20"/>
                <w:lang w:val="es-MX"/>
              </w:rPr>
              <w:t xml:space="preserve">AFP INTEGRA  ·  </w:t>
            </w:r>
            <w:r w:rsidR="00AA205B">
              <w:rPr>
                <w:color w:val="00AECB"/>
                <w:sz w:val="20"/>
                <w:szCs w:val="20"/>
                <w:lang w:val="es-MX"/>
              </w:rPr>
              <w:t>Bottom-Up</w:t>
            </w:r>
          </w:p>
          <w:p w:rsidR="00961256" w:rsidRPr="00AA205B" w:rsidRDefault="00CB25D9">
            <w:pPr>
              <w:spacing w:before="140"/>
              <w:jc w:val="center"/>
              <w:rPr>
                <w:lang w:val="es-MX"/>
              </w:rPr>
            </w:pPr>
            <w:r w:rsidRPr="00AA205B">
              <w:rPr>
                <w:b/>
                <w:bCs/>
                <w:color w:val="FFFFFF"/>
                <w:sz w:val="52"/>
                <w:szCs w:val="52"/>
                <w:lang w:val="es-MX"/>
              </w:rPr>
              <w:t>Forward Multiples Dashboard</w:t>
            </w:r>
          </w:p>
          <w:p w:rsidR="00961256" w:rsidRPr="00AA205B" w:rsidRDefault="00AA205B">
            <w:pPr>
              <w:spacing w:before="100"/>
              <w:jc w:val="center"/>
              <w:rPr>
                <w:lang w:val="es-MX"/>
              </w:rPr>
            </w:pPr>
            <w:r>
              <w:rPr>
                <w:color w:val="DCDDDE"/>
                <w:sz w:val="24"/>
                <w:szCs w:val="24"/>
                <w:lang w:val="es-MX"/>
              </w:rPr>
              <w:t>Manual técnico y guía</w:t>
            </w:r>
          </w:p>
          <w:p w:rsidR="00961256" w:rsidRDefault="00CB25D9">
            <w:pPr>
              <w:spacing w:before="80"/>
              <w:jc w:val="center"/>
            </w:pPr>
            <w:r>
              <w:rPr>
                <w:color w:val="7E8083"/>
                <w:sz w:val="20"/>
                <w:szCs w:val="20"/>
              </w:rPr>
              <w:t>junio 2026</w:t>
            </w:r>
          </w:p>
        </w:tc>
      </w:tr>
      <w:tr w:rsidR="00961256">
        <w:tblPrEx>
          <w:tblCellMar>
            <w:top w:w="0" w:type="dxa"/>
            <w:bottom w:w="0" w:type="dxa"/>
          </w:tblCellMar>
        </w:tblPrEx>
        <w:tc>
          <w:tcPr>
            <w:tcW w:w="0" w:type="auto"/>
            <w:shd w:val="clear" w:color="auto" w:fill="00AECB"/>
            <w:tcMar>
              <w:top w:w="60" w:type="dxa"/>
              <w:left w:w="0" w:type="dxa"/>
              <w:bottom w:w="60" w:type="dxa"/>
              <w:right w:w="0" w:type="dxa"/>
            </w:tcMar>
          </w:tcPr>
          <w:p w:rsidR="00961256" w:rsidRDefault="00961256"/>
        </w:tc>
      </w:tr>
    </w:tbl>
    <w:p w:rsidR="00961256" w:rsidRDefault="00961256">
      <w:pPr>
        <w:spacing w:before="300"/>
      </w:pPr>
    </w:p>
    <w:p w:rsidR="00961256" w:rsidRDefault="00CB25D9">
      <w:pPr>
        <w:jc w:val="center"/>
      </w:pPr>
      <w:r>
        <w:t xml:space="preserve">Franco Olivares  ·  </w:t>
      </w:r>
      <w:r w:rsidR="00AA205B">
        <w:t>Bottom-Up</w:t>
      </w:r>
    </w:p>
    <w:p w:rsidR="00961256" w:rsidRPr="00AA205B" w:rsidRDefault="00961256">
      <w:pPr>
        <w:spacing w:before="100"/>
        <w:rPr>
          <w:lang w:val="es-MX"/>
        </w:rPr>
      </w:pPr>
    </w:p>
    <w:p w:rsidR="00961256" w:rsidRPr="00AA205B" w:rsidRDefault="00CB25D9">
      <w:pPr>
        <w:rPr>
          <w:lang w:val="es-MX"/>
        </w:rPr>
      </w:pPr>
      <w:r w:rsidRPr="00AA205B">
        <w:rPr>
          <w:lang w:val="es-MX"/>
        </w:rPr>
        <w:br w:type="page"/>
      </w:r>
    </w:p>
    <w:p w:rsidR="00961256" w:rsidRPr="00AA205B" w:rsidRDefault="00CB25D9">
      <w:pPr>
        <w:pStyle w:val="Ttulo1"/>
        <w:pBdr>
          <w:bottom w:val="single" w:sz="8" w:space="4" w:color="00AECB"/>
        </w:pBdr>
        <w:rPr>
          <w:lang w:val="es-MX"/>
        </w:rPr>
      </w:pPr>
      <w:r w:rsidRPr="00AA205B">
        <w:rPr>
          <w:lang w:val="es-MX"/>
        </w:rPr>
        <w:lastRenderedPageBreak/>
        <w:t>1.  ¿Por qué existe este dashboard?</w:t>
      </w:r>
    </w:p>
    <w:p w:rsidR="00961256" w:rsidRPr="00AA205B" w:rsidRDefault="00CB25D9">
      <w:pPr>
        <w:spacing w:after="120"/>
        <w:jc w:val="both"/>
        <w:rPr>
          <w:lang w:val="es-MX"/>
        </w:rPr>
      </w:pPr>
      <w:r w:rsidRPr="00AA205B">
        <w:rPr>
          <w:b/>
          <w:bCs/>
          <w:lang w:val="es-MX"/>
        </w:rPr>
        <w:t xml:space="preserve">El problema que resuelve. </w:t>
      </w:r>
      <w:r w:rsidRPr="00AA205B">
        <w:rPr>
          <w:lang w:val="es-MX"/>
        </w:rPr>
        <w:t>En la Mesa de Renta Variable Local de AFP Integra manejamos tres fondos (F1, F2, F3) con exposición a acciones peruanas y comparables de la región. Cada vez que hay una reunión de comité, o cuando una acción se mueve, la primera p</w:t>
      </w:r>
      <w:r w:rsidRPr="00AA205B">
        <w:rPr>
          <w:lang w:val="es-MX"/>
        </w:rPr>
        <w:t xml:space="preserve">regunta es siempre la misma: </w:t>
      </w:r>
      <w:r w:rsidRPr="00AA205B">
        <w:rPr>
          <w:b/>
          <w:bCs/>
          <w:lang w:val="es-MX"/>
        </w:rPr>
        <w:t>¿está cara o barata?</w:t>
      </w:r>
      <w:r w:rsidRPr="00AA205B">
        <w:rPr>
          <w:lang w:val="es-MX"/>
        </w:rPr>
        <w:t xml:space="preserve"> Responderla bien requiere comparar el múltiplo actual contra algo — su historia, sus pares, lo que justifican sus fundamentales — y eso antes se hacía manualmente, consulta por consulta en Bloomberg.</w:t>
      </w:r>
    </w:p>
    <w:p w:rsidR="00961256" w:rsidRPr="00AA205B" w:rsidRDefault="00CB25D9">
      <w:pPr>
        <w:spacing w:after="120"/>
        <w:jc w:val="both"/>
        <w:rPr>
          <w:lang w:val="es-MX"/>
        </w:rPr>
      </w:pPr>
      <w:r w:rsidRPr="00AA205B">
        <w:rPr>
          <w:lang w:val="es-MX"/>
        </w:rPr>
        <w:t>Este t</w:t>
      </w:r>
      <w:r w:rsidRPr="00AA205B">
        <w:rPr>
          <w:lang w:val="es-MX"/>
        </w:rPr>
        <w:t>ablero automatiza exactamente esa rutina. Lee los campos BEST_* de Bloomberg (los múltiplos forward que ya tienen adentro el pronóstico de utilidades del consenso) junto con variables macro de los sectores que más nos importan (minería, bancos, cemento), y</w:t>
      </w:r>
      <w:r w:rsidRPr="00AA205B">
        <w:rPr>
          <w:lang w:val="es-MX"/>
        </w:rPr>
        <w:t xml:space="preserve"> los despliega</w:t>
      </w:r>
      <w:bookmarkStart w:id="0" w:name="_GoBack"/>
      <w:bookmarkEnd w:id="0"/>
      <w:r w:rsidRPr="00AA205B">
        <w:rPr>
          <w:lang w:val="es-MX"/>
        </w:rPr>
        <w:t xml:space="preserve"> en seis vistas complementarias. El resultado es un único archivo HTML que se abre en cualquier navegador, sin instalar nada adicional, y que cualquier analista puede actualizar corriendo un script en Spyder.</w:t>
      </w:r>
    </w:p>
    <w:p w:rsidR="00961256" w:rsidRPr="00AA205B" w:rsidRDefault="00CB25D9">
      <w:pPr>
        <w:spacing w:after="120"/>
        <w:jc w:val="both"/>
        <w:rPr>
          <w:lang w:val="es-MX"/>
        </w:rPr>
      </w:pPr>
      <w:r w:rsidRPr="00AA205B">
        <w:rPr>
          <w:b/>
          <w:bCs/>
          <w:lang w:val="es-MX"/>
        </w:rPr>
        <w:t xml:space="preserve">Por qué forward y no trailing. </w:t>
      </w:r>
      <w:r w:rsidRPr="00AA205B">
        <w:rPr>
          <w:lang w:val="es-MX"/>
        </w:rPr>
        <w:t>El</w:t>
      </w:r>
      <w:r w:rsidRPr="00AA205B">
        <w:rPr>
          <w:lang w:val="es-MX"/>
        </w:rPr>
        <w:t xml:space="preserve"> sistema previo (ZODA) trabajaba con múltiplos trailing — precio de hoy dividido entre fundamentales históricos. Eso tiene sentido para monitorear la historia larga de un nombre, pero el mercado compra futuro, no pasado. Kenton Yee (2004) demostró que los </w:t>
      </w:r>
      <w:r w:rsidRPr="00AA205B">
        <w:rPr>
          <w:lang w:val="es-MX"/>
        </w:rPr>
        <w:t>múltiplos forward contienen más información sobre el valor que los trailing, porque ya incorporan lo que los analistas esperan de la empresa. El problema es que el forward también hereda el sesgo de esos analistas, por eso no basta con mirar el número solo</w:t>
      </w:r>
      <w:r w:rsidRPr="00AA205B">
        <w:rPr>
          <w:lang w:val="es-MX"/>
        </w:rPr>
        <w:t xml:space="preserve"> — hay que contextualizarlo.</w:t>
      </w:r>
    </w:p>
    <w:p w:rsidR="00961256" w:rsidRPr="00AA205B" w:rsidRDefault="00CB25D9">
      <w:pPr>
        <w:spacing w:after="120"/>
        <w:jc w:val="both"/>
        <w:rPr>
          <w:lang w:val="es-MX"/>
        </w:rPr>
      </w:pPr>
      <w:r w:rsidRPr="00AA205B">
        <w:rPr>
          <w:b/>
          <w:bCs/>
          <w:lang w:val="es-MX"/>
        </w:rPr>
        <w:t xml:space="preserve">La diferencia clave con ZODA. </w:t>
      </w:r>
      <w:r w:rsidRPr="00AA205B">
        <w:rPr>
          <w:lang w:val="es-MX"/>
        </w:rPr>
        <w:t xml:space="preserve">En ZODA el sistema </w:t>
      </w:r>
      <w:r w:rsidRPr="00AA205B">
        <w:rPr>
          <w:i/>
          <w:iCs/>
          <w:color w:val="7E8083"/>
          <w:lang w:val="es-MX"/>
        </w:rPr>
        <w:t>calcula</w:t>
      </w:r>
      <w:r w:rsidRPr="00AA205B">
        <w:rPr>
          <w:lang w:val="es-MX"/>
        </w:rPr>
        <w:t xml:space="preserve"> los múltiplos (divide market cap entre utilidad o EBITDA). Aquí Bloomberg ya entrega el múltiplo calculado (BEST_PE_RATIO, BEST_PX_SALES_RATIO, etc.), así que el código </w:t>
      </w:r>
      <w:r w:rsidRPr="00AA205B">
        <w:rPr>
          <w:i/>
          <w:iCs/>
          <w:color w:val="7E8083"/>
          <w:lang w:val="es-MX"/>
        </w:rPr>
        <w:t>lee y limpia</w:t>
      </w:r>
      <w:r w:rsidRPr="00AA205B">
        <w:rPr>
          <w:lang w:val="es-MX"/>
        </w:rPr>
        <w:t>, no computa ratios. Y como los datos históricos disponibles son de 2024 en adelante (~2.4 años), no intentamos hacer z-scores rolling de 5 o 10 años como en ZODA. En cambio, explotamos que tenemos 171 empresas en sección transversal — esa ampl</w:t>
      </w:r>
      <w:r w:rsidRPr="00AA205B">
        <w:rPr>
          <w:lang w:val="es-MX"/>
        </w:rPr>
        <w:t>itud es nuestra ventaja estadística.</w:t>
      </w:r>
    </w:p>
    <w:p w:rsidR="00961256" w:rsidRPr="00AA205B" w:rsidRDefault="00961256">
      <w:pPr>
        <w:spacing w:before="80"/>
        <w:rPr>
          <w:lang w:val="es-MX"/>
        </w:rPr>
      </w:pPr>
    </w:p>
    <w:p w:rsidR="00961256" w:rsidRPr="00AA205B" w:rsidRDefault="00CB25D9">
      <w:pPr>
        <w:pStyle w:val="Ttulo1"/>
        <w:pBdr>
          <w:bottom w:val="single" w:sz="8" w:space="4" w:color="00AECB"/>
        </w:pBdr>
        <w:rPr>
          <w:lang w:val="es-MX"/>
        </w:rPr>
      </w:pPr>
      <w:r w:rsidRPr="00AA205B">
        <w:rPr>
          <w:lang w:val="es-MX"/>
        </w:rPr>
        <w:t>2.  Qué necesitas para ejecutar el script</w:t>
      </w:r>
    </w:p>
    <w:p w:rsidR="00961256" w:rsidRPr="00AA205B" w:rsidRDefault="00CB25D9">
      <w:pPr>
        <w:pStyle w:val="Ttulo2"/>
        <w:rPr>
          <w:lang w:val="es-MX"/>
        </w:rPr>
      </w:pPr>
      <w:r w:rsidRPr="00AA205B">
        <w:rPr>
          <w:lang w:val="es-MX"/>
        </w:rPr>
        <w:t>2.1  Archivos de entrada</w:t>
      </w:r>
    </w:p>
    <w:p w:rsidR="00961256" w:rsidRPr="00AA205B" w:rsidRDefault="00CB25D9">
      <w:pPr>
        <w:spacing w:after="120"/>
        <w:jc w:val="both"/>
        <w:rPr>
          <w:lang w:val="es-MX"/>
        </w:rPr>
      </w:pPr>
      <w:r w:rsidRPr="00AA205B">
        <w:rPr>
          <w:lang w:val="es-MX"/>
        </w:rPr>
        <w:t>El script v2 necesita cuatro archivos de Excel. Todos deben estar en sus rutas habituales de OneDrive; si los mueves, solo editas la variable de ruta a</w:t>
      </w:r>
      <w:r w:rsidRPr="00AA205B">
        <w:rPr>
          <w:lang w:val="es-MX"/>
        </w:rPr>
        <w:t>l inicio del script:</w:t>
      </w:r>
    </w:p>
    <w:p w:rsidR="00961256" w:rsidRPr="00AA205B" w:rsidRDefault="00961256">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2083"/>
        <w:gridCol w:w="4976"/>
      </w:tblGrid>
      <w:tr w:rsidR="00961256">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1E2E6E"/>
            <w:tcMar>
              <w:top w:w="80" w:type="dxa"/>
              <w:left w:w="140" w:type="dxa"/>
              <w:bottom w:w="80" w:type="dxa"/>
              <w:right w:w="140" w:type="dxa"/>
            </w:tcMar>
            <w:vAlign w:val="center"/>
          </w:tcPr>
          <w:p w:rsidR="00961256" w:rsidRDefault="00CB25D9">
            <w:r>
              <w:rPr>
                <w:b/>
                <w:bCs/>
                <w:color w:val="FFFFFF"/>
                <w:sz w:val="20"/>
                <w:szCs w:val="20"/>
              </w:rPr>
              <w:t>Archivo</w:t>
            </w:r>
          </w:p>
        </w:tc>
        <w:tc>
          <w:tcPr>
            <w:tcW w:w="0" w:type="auto"/>
            <w:tcBorders>
              <w:top w:val="single" w:sz="1" w:space="0" w:color="DCDDDE"/>
              <w:left w:val="single" w:sz="1" w:space="0" w:color="DCDDDE"/>
              <w:bottom w:val="single" w:sz="1" w:space="0" w:color="DCDDDE"/>
              <w:right w:val="single" w:sz="1" w:space="0" w:color="DCDDDE"/>
            </w:tcBorders>
            <w:shd w:val="clear" w:color="auto" w:fill="1E2E6E"/>
            <w:tcMar>
              <w:top w:w="80" w:type="dxa"/>
              <w:left w:w="140" w:type="dxa"/>
              <w:bottom w:w="80" w:type="dxa"/>
              <w:right w:w="140" w:type="dxa"/>
            </w:tcMar>
            <w:vAlign w:val="center"/>
          </w:tcPr>
          <w:p w:rsidR="00961256" w:rsidRDefault="00CB25D9">
            <w:r>
              <w:rPr>
                <w:b/>
                <w:bCs/>
                <w:color w:val="FFFFFF"/>
                <w:sz w:val="20"/>
                <w:szCs w:val="20"/>
              </w:rPr>
              <w:t>Ruta esperada</w:t>
            </w:r>
          </w:p>
        </w:tc>
        <w:tc>
          <w:tcPr>
            <w:tcW w:w="0" w:type="auto"/>
            <w:tcBorders>
              <w:top w:val="single" w:sz="1" w:space="0" w:color="DCDDDE"/>
              <w:left w:val="single" w:sz="1" w:space="0" w:color="DCDDDE"/>
              <w:bottom w:val="single" w:sz="1" w:space="0" w:color="DCDDDE"/>
              <w:right w:val="single" w:sz="1" w:space="0" w:color="DCDDDE"/>
            </w:tcBorders>
            <w:shd w:val="clear" w:color="auto" w:fill="1E2E6E"/>
            <w:tcMar>
              <w:top w:w="80" w:type="dxa"/>
              <w:left w:w="140" w:type="dxa"/>
              <w:bottom w:w="80" w:type="dxa"/>
              <w:right w:w="140" w:type="dxa"/>
            </w:tcMar>
            <w:vAlign w:val="center"/>
          </w:tcPr>
          <w:p w:rsidR="00961256" w:rsidRDefault="00CB25D9">
            <w:r>
              <w:rPr>
                <w:b/>
                <w:bCs/>
                <w:color w:val="FFFFFF"/>
                <w:sz w:val="20"/>
                <w:szCs w:val="20"/>
              </w:rPr>
              <w:t>Qué contiene</w:t>
            </w:r>
          </w:p>
        </w:tc>
      </w:tr>
      <w:tr w:rsidR="00961256">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EDF1F8"/>
            <w:tcMar>
              <w:top w:w="80" w:type="dxa"/>
              <w:left w:w="140" w:type="dxa"/>
              <w:bottom w:w="80" w:type="dxa"/>
              <w:right w:w="140" w:type="dxa"/>
            </w:tcMar>
            <w:vAlign w:val="center"/>
          </w:tcPr>
          <w:p w:rsidR="00961256" w:rsidRDefault="00CB25D9">
            <w:r>
              <w:rPr>
                <w:b/>
                <w:bCs/>
                <w:sz w:val="20"/>
                <w:szCs w:val="20"/>
              </w:rPr>
              <w:t>Copy of forward multiples 2.xlsx</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...\ZODA\Forward\</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Múltiplos forward diarios de 171 equities (BEST_PE, BEST_PS, BEST_EV_EBITDA, BEST_PB, BEST_EPS) + índices</w:t>
            </w:r>
          </w:p>
        </w:tc>
      </w:tr>
      <w:tr w:rsidR="00961256" w:rsidRPr="00AA205B">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EDF1F8"/>
            <w:tcMar>
              <w:top w:w="80" w:type="dxa"/>
              <w:left w:w="140" w:type="dxa"/>
              <w:bottom w:w="80" w:type="dxa"/>
              <w:right w:w="140" w:type="dxa"/>
            </w:tcMar>
            <w:vAlign w:val="center"/>
          </w:tcPr>
          <w:p w:rsidR="00961256" w:rsidRDefault="00CB25D9">
            <w:r>
              <w:rPr>
                <w:b/>
                <w:bCs/>
                <w:sz w:val="20"/>
                <w:szCs w:val="20"/>
              </w:rPr>
              <w:t>BD Mineria.xlsm</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...\Proyecto Inputs Macro\</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Pr="00AA205B" w:rsidRDefault="00CB25D9">
            <w:pPr>
              <w:rPr>
                <w:lang w:val="es-MX"/>
              </w:rPr>
            </w:pPr>
            <w:r w:rsidRPr="00AA205B">
              <w:rPr>
                <w:sz w:val="20"/>
                <w:szCs w:val="20"/>
                <w:lang w:val="es-MX"/>
              </w:rPr>
              <w:t>Producción mensual de minerales por empresa + inversión minera</w:t>
            </w:r>
          </w:p>
        </w:tc>
      </w:tr>
      <w:tr w:rsidR="00961256" w:rsidRPr="00AA205B">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EDF1F8"/>
            <w:tcMar>
              <w:top w:w="80" w:type="dxa"/>
              <w:left w:w="140" w:type="dxa"/>
              <w:bottom w:w="80" w:type="dxa"/>
              <w:right w:w="140" w:type="dxa"/>
            </w:tcMar>
            <w:vAlign w:val="center"/>
          </w:tcPr>
          <w:p w:rsidR="00961256" w:rsidRDefault="00CB25D9">
            <w:r>
              <w:rPr>
                <w:b/>
                <w:bCs/>
                <w:sz w:val="20"/>
                <w:szCs w:val="20"/>
              </w:rPr>
              <w:t>BD Financieras.xlsm</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...\Proyecto Inputs Macro\</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Pr="00AA205B" w:rsidRDefault="00CB25D9">
            <w:pPr>
              <w:rPr>
                <w:lang w:val="es-MX"/>
              </w:rPr>
            </w:pPr>
            <w:r w:rsidRPr="00AA205B">
              <w:rPr>
                <w:sz w:val="20"/>
                <w:szCs w:val="20"/>
                <w:lang w:val="es-MX"/>
              </w:rPr>
              <w:t>NIM y ROE mensual por banco (BCP, Interbank, BBVA, 2018→2026)</w:t>
            </w:r>
          </w:p>
        </w:tc>
      </w:tr>
      <w:tr w:rsidR="00961256" w:rsidRPr="00AA205B">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EDF1F8"/>
            <w:tcMar>
              <w:top w:w="80" w:type="dxa"/>
              <w:left w:w="140" w:type="dxa"/>
              <w:bottom w:w="80" w:type="dxa"/>
              <w:right w:w="140" w:type="dxa"/>
            </w:tcMar>
            <w:vAlign w:val="center"/>
          </w:tcPr>
          <w:p w:rsidR="00961256" w:rsidRDefault="00CB25D9">
            <w:r>
              <w:rPr>
                <w:b/>
                <w:bCs/>
                <w:sz w:val="20"/>
                <w:szCs w:val="20"/>
              </w:rPr>
              <w:t>BD Construcción.xlsm</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...\Proyecto Inputs Macro\</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Pr="00AA205B" w:rsidRDefault="00CB25D9">
            <w:pPr>
              <w:rPr>
                <w:lang w:val="es-MX"/>
              </w:rPr>
            </w:pPr>
            <w:r w:rsidRPr="00AA205B">
              <w:rPr>
                <w:sz w:val="20"/>
                <w:szCs w:val="20"/>
                <w:lang w:val="es-MX"/>
              </w:rPr>
              <w:t>Despachos trimestrales de cemento (Unacem, Pacasmayo, desde 1Q15)</w:t>
            </w:r>
          </w:p>
        </w:tc>
      </w:tr>
    </w:tbl>
    <w:p w:rsidR="00961256" w:rsidRPr="00AA205B" w:rsidRDefault="00961256">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
        <w:gridCol w:w="9048"/>
      </w:tblGrid>
      <w:tr w:rsidR="00961256" w:rsidRPr="00AA205B">
        <w:tblPrEx>
          <w:tblCellMar>
            <w:top w:w="0" w:type="dxa"/>
            <w:bottom w:w="0" w:type="dxa"/>
          </w:tblCellMar>
        </w:tblPrEx>
        <w:tc>
          <w:tcPr>
            <w:tcW w:w="0" w:type="auto"/>
            <w:tcBorders>
              <w:top w:val="single" w:sz="1" w:space="0" w:color="00AECB"/>
              <w:left w:val="single" w:sz="12" w:space="0" w:color="00AECB"/>
              <w:bottom w:val="single" w:sz="1" w:space="0" w:color="00AECB"/>
            </w:tcBorders>
            <w:shd w:val="clear" w:color="auto" w:fill="EBF8FB"/>
            <w:tcMar>
              <w:top w:w="80" w:type="dxa"/>
              <w:left w:w="140" w:type="dxa"/>
              <w:bottom w:w="80" w:type="dxa"/>
              <w:right w:w="60" w:type="dxa"/>
            </w:tcMar>
            <w:vAlign w:val="center"/>
          </w:tcPr>
          <w:p w:rsidR="00961256" w:rsidRDefault="00CB25D9">
            <w:pPr>
              <w:spacing w:after="120"/>
              <w:jc w:val="center"/>
            </w:pPr>
            <w:r>
              <w:t>💡</w:t>
            </w:r>
          </w:p>
        </w:tc>
        <w:tc>
          <w:tcPr>
            <w:tcW w:w="0" w:type="auto"/>
            <w:tcBorders>
              <w:top w:val="single" w:sz="1" w:space="0" w:color="00AECB"/>
              <w:bottom w:val="single" w:sz="1" w:space="0" w:color="00AECB"/>
              <w:right w:val="single" w:sz="1" w:space="0" w:color="00AECB"/>
            </w:tcBorders>
            <w:shd w:val="clear" w:color="auto" w:fill="EBF8FB"/>
            <w:tcMar>
              <w:top w:w="80" w:type="dxa"/>
              <w:left w:w="80" w:type="dxa"/>
              <w:bottom w:w="80" w:type="dxa"/>
              <w:right w:w="140" w:type="dxa"/>
            </w:tcMar>
          </w:tcPr>
          <w:p w:rsidR="00961256" w:rsidRPr="00AA205B" w:rsidRDefault="00CB25D9">
            <w:pPr>
              <w:spacing w:after="120"/>
              <w:jc w:val="both"/>
              <w:rPr>
                <w:lang w:val="es-MX"/>
              </w:rPr>
            </w:pPr>
            <w:r w:rsidRPr="00AA205B">
              <w:rPr>
                <w:lang w:val="es-MX"/>
              </w:rPr>
              <w:t>Todos los valores de los archivos macro son salida de fórmulas de Excel. El script los lee usando openpyxl con data_only=True, que recupera el último valor calculado y guardado por Excel — no la fórmula. Si un archivo no fue guardado recientemente, los val</w:t>
            </w:r>
            <w:r w:rsidRPr="00AA205B">
              <w:rPr>
                <w:lang w:val="es-MX"/>
              </w:rPr>
              <w:t>ores pueden estar desactualizados.</w:t>
            </w:r>
          </w:p>
        </w:tc>
      </w:tr>
    </w:tbl>
    <w:p w:rsidR="00961256" w:rsidRPr="00AA205B" w:rsidRDefault="00961256">
      <w:pPr>
        <w:spacing w:before="120"/>
        <w:rPr>
          <w:lang w:val="es-MX"/>
        </w:rPr>
      </w:pPr>
    </w:p>
    <w:p w:rsidR="00961256" w:rsidRPr="00AA205B" w:rsidRDefault="00CB25D9">
      <w:pPr>
        <w:pStyle w:val="Ttulo2"/>
        <w:rPr>
          <w:lang w:val="es-MX"/>
        </w:rPr>
      </w:pPr>
      <w:r w:rsidRPr="00AA205B">
        <w:rPr>
          <w:lang w:val="es-MX"/>
        </w:rPr>
        <w:t>2.2  Librerías de Python necesarias</w:t>
      </w:r>
    </w:p>
    <w:p w:rsidR="00961256" w:rsidRPr="00AA205B" w:rsidRDefault="00CB25D9">
      <w:pPr>
        <w:spacing w:after="120"/>
        <w:jc w:val="both"/>
        <w:rPr>
          <w:lang w:val="es-MX"/>
        </w:rPr>
      </w:pPr>
      <w:r w:rsidRPr="00AA205B">
        <w:rPr>
          <w:lang w:val="es-MX"/>
        </w:rPr>
        <w:t>El entorno fran36 de Anaconda ya tiene todo instalado. Si lo corres en un entorno nuevo, instala:</w:t>
      </w:r>
    </w:p>
    <w:p w:rsidR="00961256" w:rsidRPr="00AA205B" w:rsidRDefault="00961256">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1256">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F4F6FB"/>
            <w:tcMar>
              <w:top w:w="120" w:type="dxa"/>
              <w:left w:w="200" w:type="dxa"/>
              <w:bottom w:w="120" w:type="dxa"/>
              <w:right w:w="200" w:type="dxa"/>
            </w:tcMar>
          </w:tcPr>
          <w:p w:rsidR="00961256" w:rsidRDefault="00CB25D9">
            <w:r>
              <w:rPr>
                <w:rFonts w:ascii="Courier New" w:eastAsia="Courier New" w:hAnsi="Courier New" w:cs="Courier New"/>
                <w:sz w:val="18"/>
                <w:szCs w:val="18"/>
              </w:rPr>
              <w:t>pip install openpyxl pandas numpy plotly</w:t>
            </w:r>
          </w:p>
        </w:tc>
      </w:tr>
    </w:tbl>
    <w:p w:rsidR="00961256" w:rsidRDefault="00961256">
      <w:pPr>
        <w:spacing w:before="80"/>
      </w:pPr>
    </w:p>
    <w:p w:rsidR="00961256" w:rsidRPr="00AA205B" w:rsidRDefault="00CB25D9">
      <w:pPr>
        <w:spacing w:after="120"/>
        <w:jc w:val="both"/>
        <w:rPr>
          <w:lang w:val="es-MX"/>
        </w:rPr>
      </w:pPr>
      <w:r w:rsidRPr="00AA205B">
        <w:rPr>
          <w:lang w:val="es-MX"/>
        </w:rPr>
        <w:t xml:space="preserve">No se usa </w:t>
      </w:r>
      <w:r w:rsidRPr="00AA205B">
        <w:rPr>
          <w:b/>
          <w:bCs/>
          <w:lang w:val="es-MX"/>
        </w:rPr>
        <w:t>xlwings</w:t>
      </w:r>
      <w:r w:rsidRPr="00AA205B">
        <w:rPr>
          <w:lang w:val="es-MX"/>
        </w:rPr>
        <w:t xml:space="preserve">, </w:t>
      </w:r>
      <w:r w:rsidRPr="00AA205B">
        <w:rPr>
          <w:b/>
          <w:bCs/>
          <w:lang w:val="es-MX"/>
        </w:rPr>
        <w:t>win32com</w:t>
      </w:r>
      <w:r w:rsidRPr="00AA205B">
        <w:rPr>
          <w:lang w:val="es-MX"/>
        </w:rPr>
        <w:t>, ni ninguna otra librería que interactúe con una instancia abierta de Excel. Esto evita los cuelgues de kernel que a veces ocurren con esas librerías. El script solo lee archivos guardados en disco.</w:t>
      </w:r>
    </w:p>
    <w:p w:rsidR="00961256" w:rsidRPr="00AA205B" w:rsidRDefault="00961256">
      <w:pPr>
        <w:spacing w:before="80"/>
        <w:rPr>
          <w:lang w:val="es-MX"/>
        </w:rPr>
      </w:pPr>
    </w:p>
    <w:p w:rsidR="00961256" w:rsidRPr="00AA205B" w:rsidRDefault="00CB25D9">
      <w:pPr>
        <w:pStyle w:val="Ttulo2"/>
        <w:rPr>
          <w:lang w:val="es-MX"/>
        </w:rPr>
      </w:pPr>
      <w:r w:rsidRPr="00AA205B">
        <w:rPr>
          <w:lang w:val="es-MX"/>
        </w:rPr>
        <w:t>2.3  Cómo ejecutar — paso a paso</w:t>
      </w:r>
    </w:p>
    <w:p w:rsidR="00961256" w:rsidRPr="00AA205B" w:rsidRDefault="00CB25D9">
      <w:pPr>
        <w:spacing w:after="120"/>
        <w:jc w:val="both"/>
        <w:rPr>
          <w:lang w:val="es-MX"/>
        </w:rPr>
      </w:pPr>
      <w:r w:rsidRPr="00AA205B">
        <w:rPr>
          <w:lang w:val="es-MX"/>
        </w:rPr>
        <w:t>El proceso completo ta</w:t>
      </w:r>
      <w:r w:rsidRPr="00AA205B">
        <w:rPr>
          <w:lang w:val="es-MX"/>
        </w:rPr>
        <w:t>rda menos de un minuto:</w:t>
      </w:r>
    </w:p>
    <w:p w:rsidR="00961256" w:rsidRPr="00AA205B" w:rsidRDefault="00961256">
      <w:pPr>
        <w:spacing w:before="60"/>
        <w:rPr>
          <w:lang w:val="es-MX"/>
        </w:rPr>
      </w:pPr>
    </w:p>
    <w:p w:rsidR="00961256" w:rsidRPr="00AA205B" w:rsidRDefault="00CB25D9">
      <w:pPr>
        <w:pStyle w:val="Prrafodelista"/>
        <w:numPr>
          <w:ilvl w:val="0"/>
          <w:numId w:val="2"/>
        </w:numPr>
        <w:spacing w:after="100"/>
        <w:rPr>
          <w:lang w:val="es-MX"/>
        </w:rPr>
      </w:pPr>
      <w:r w:rsidRPr="00AA205B">
        <w:rPr>
          <w:lang w:val="es-MX"/>
        </w:rPr>
        <w:t>Abre Spyder con el entorno fran36 activo (Anaconda Navigator → fran36 → Spyder).</w:t>
      </w:r>
    </w:p>
    <w:p w:rsidR="00961256" w:rsidRDefault="00CB25D9">
      <w:pPr>
        <w:pStyle w:val="Prrafodelista"/>
        <w:numPr>
          <w:ilvl w:val="0"/>
          <w:numId w:val="2"/>
        </w:numPr>
        <w:spacing w:after="100"/>
      </w:pPr>
      <w:r>
        <w:t>Abre el archivo forward_multiplos_03_dashboard_v2.py.</w:t>
      </w:r>
    </w:p>
    <w:p w:rsidR="00961256" w:rsidRPr="00AA205B" w:rsidRDefault="00CB25D9">
      <w:pPr>
        <w:pStyle w:val="Prrafodelista"/>
        <w:numPr>
          <w:ilvl w:val="0"/>
          <w:numId w:val="2"/>
        </w:numPr>
        <w:spacing w:after="100"/>
        <w:rPr>
          <w:lang w:val="es-MX"/>
        </w:rPr>
      </w:pPr>
      <w:r w:rsidRPr="00AA205B">
        <w:rPr>
          <w:lang w:val="es-MX"/>
        </w:rPr>
        <w:t>Verifica que RUTA_FWD y RUTA_MACRO en la Sección 1 apuntan a las rutas correctas de tu OneDrive.</w:t>
      </w:r>
      <w:r w:rsidRPr="00AA205B">
        <w:rPr>
          <w:lang w:val="es-MX"/>
        </w:rPr>
        <w:t xml:space="preserve"> Si las carpetas se movieron, edita solo esas dos variables.</w:t>
      </w:r>
    </w:p>
    <w:p w:rsidR="00961256" w:rsidRPr="00AA205B" w:rsidRDefault="00CB25D9">
      <w:pPr>
        <w:pStyle w:val="Prrafodelista"/>
        <w:numPr>
          <w:ilvl w:val="0"/>
          <w:numId w:val="2"/>
        </w:numPr>
        <w:spacing w:after="100"/>
        <w:rPr>
          <w:lang w:val="es-MX"/>
        </w:rPr>
      </w:pPr>
      <w:r w:rsidRPr="00AA205B">
        <w:rPr>
          <w:lang w:val="es-MX"/>
        </w:rPr>
        <w:t>Corre el script completo (F5 o Run → Run file). En la consola verás los pasos [1/6] a [6/6] con confirmaciones.</w:t>
      </w:r>
    </w:p>
    <w:p w:rsidR="00961256" w:rsidRDefault="00CB25D9">
      <w:pPr>
        <w:pStyle w:val="Prrafodelista"/>
        <w:numPr>
          <w:ilvl w:val="0"/>
          <w:numId w:val="2"/>
        </w:numPr>
        <w:spacing w:after="100"/>
      </w:pPr>
      <w:r w:rsidRPr="00AA205B">
        <w:rPr>
          <w:lang w:val="es-MX"/>
        </w:rPr>
        <w:t xml:space="preserve">Al finalizar, el script imprime la ruta del archivo HTML generado. </w:t>
      </w:r>
      <w:r>
        <w:t>Ábrelo en Chrome</w:t>
      </w:r>
      <w:r>
        <w:t xml:space="preserve"> o Edge. Eso es todo.</w:t>
      </w:r>
    </w:p>
    <w:p w:rsidR="00961256" w:rsidRDefault="0096125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
        <w:gridCol w:w="9048"/>
      </w:tblGrid>
      <w:tr w:rsidR="00961256" w:rsidRPr="00AA205B">
        <w:tblPrEx>
          <w:tblCellMar>
            <w:top w:w="0" w:type="dxa"/>
            <w:bottom w:w="0" w:type="dxa"/>
          </w:tblCellMar>
        </w:tblPrEx>
        <w:tc>
          <w:tcPr>
            <w:tcW w:w="0" w:type="auto"/>
            <w:tcBorders>
              <w:top w:val="single" w:sz="1" w:space="0" w:color="00AECB"/>
              <w:left w:val="single" w:sz="12" w:space="0" w:color="00AECB"/>
              <w:bottom w:val="single" w:sz="1" w:space="0" w:color="00AECB"/>
            </w:tcBorders>
            <w:shd w:val="clear" w:color="auto" w:fill="EBF8FB"/>
            <w:tcMar>
              <w:top w:w="80" w:type="dxa"/>
              <w:left w:w="140" w:type="dxa"/>
              <w:bottom w:w="80" w:type="dxa"/>
              <w:right w:w="60" w:type="dxa"/>
            </w:tcMar>
            <w:vAlign w:val="center"/>
          </w:tcPr>
          <w:p w:rsidR="00961256" w:rsidRDefault="00CB25D9">
            <w:pPr>
              <w:spacing w:after="120"/>
              <w:jc w:val="center"/>
            </w:pPr>
            <w:r>
              <w:t>⚠</w:t>
            </w:r>
            <w:r>
              <w:t>️</w:t>
            </w:r>
          </w:p>
        </w:tc>
        <w:tc>
          <w:tcPr>
            <w:tcW w:w="0" w:type="auto"/>
            <w:tcBorders>
              <w:top w:val="single" w:sz="1" w:space="0" w:color="00AECB"/>
              <w:bottom w:val="single" w:sz="1" w:space="0" w:color="00AECB"/>
              <w:right w:val="single" w:sz="1" w:space="0" w:color="00AECB"/>
            </w:tcBorders>
            <w:shd w:val="clear" w:color="auto" w:fill="EBF8FB"/>
            <w:tcMar>
              <w:top w:w="80" w:type="dxa"/>
              <w:left w:w="80" w:type="dxa"/>
              <w:bottom w:w="80" w:type="dxa"/>
              <w:right w:w="140" w:type="dxa"/>
            </w:tcMar>
          </w:tcPr>
          <w:p w:rsidR="00961256" w:rsidRPr="00AA205B" w:rsidRDefault="00CB25D9">
            <w:pPr>
              <w:spacing w:after="120"/>
              <w:jc w:val="both"/>
              <w:rPr>
                <w:lang w:val="es-MX"/>
              </w:rPr>
            </w:pPr>
            <w:r w:rsidRPr="00AA205B">
              <w:rPr>
                <w:lang w:val="es-MX"/>
              </w:rPr>
              <w:t>Si algún workbook macro no se encuentra en la ruta indicada, el script imprime una advertencia y omite esa fuente de fundamentales — no se cuelga ni da error fatal. El dashboard se genera igual, simplemente sin los paneles que dependen de esa fuente.</w:t>
            </w:r>
          </w:p>
        </w:tc>
      </w:tr>
    </w:tbl>
    <w:p w:rsidR="00961256" w:rsidRPr="00AA205B" w:rsidRDefault="00961256">
      <w:pPr>
        <w:spacing w:before="120"/>
        <w:rPr>
          <w:lang w:val="es-MX"/>
        </w:rPr>
      </w:pPr>
    </w:p>
    <w:p w:rsidR="00961256" w:rsidRPr="00AA205B" w:rsidRDefault="00CB25D9">
      <w:pPr>
        <w:rPr>
          <w:lang w:val="es-MX"/>
        </w:rPr>
      </w:pPr>
      <w:r w:rsidRPr="00AA205B">
        <w:rPr>
          <w:lang w:val="es-MX"/>
        </w:rPr>
        <w:br w:type="page"/>
      </w:r>
    </w:p>
    <w:p w:rsidR="00961256" w:rsidRPr="00AA205B" w:rsidRDefault="00CB25D9">
      <w:pPr>
        <w:pStyle w:val="Ttulo1"/>
        <w:pBdr>
          <w:bottom w:val="single" w:sz="8" w:space="4" w:color="00AECB"/>
        </w:pBdr>
        <w:rPr>
          <w:lang w:val="es-MX"/>
        </w:rPr>
      </w:pPr>
      <w:r w:rsidRPr="00AA205B">
        <w:rPr>
          <w:lang w:val="es-MX"/>
        </w:rPr>
        <w:lastRenderedPageBreak/>
        <w:t>3.  El código por dentro — sección a sección</w:t>
      </w:r>
    </w:p>
    <w:p w:rsidR="00961256" w:rsidRPr="00AA205B" w:rsidRDefault="00CB25D9">
      <w:pPr>
        <w:spacing w:after="120"/>
        <w:jc w:val="both"/>
        <w:rPr>
          <w:lang w:val="es-MX"/>
        </w:rPr>
      </w:pPr>
      <w:r w:rsidRPr="00AA205B">
        <w:rPr>
          <w:lang w:val="es-MX"/>
        </w:rPr>
        <w:t>El script está dividido en ocho secciones marcadas con # %%, que en Spyder funcionan como celdas: puedes correr cada una por separado con Ctrl+Enter. Aquí explicamos qué hace cada una y por qué está diseñada así</w:t>
      </w:r>
      <w:r w:rsidRPr="00AA205B">
        <w:rPr>
          <w:lang w:val="es-MX"/>
        </w:rPr>
        <w:t>.</w:t>
      </w:r>
    </w:p>
    <w:p w:rsidR="00961256" w:rsidRPr="00AA205B" w:rsidRDefault="00961256">
      <w:pPr>
        <w:spacing w:before="80"/>
        <w:rPr>
          <w:lang w:val="es-MX"/>
        </w:rPr>
      </w:pPr>
    </w:p>
    <w:p w:rsidR="00961256" w:rsidRPr="00AA205B" w:rsidRDefault="00CB25D9">
      <w:pPr>
        <w:pStyle w:val="Ttulo2"/>
        <w:rPr>
          <w:lang w:val="es-MX"/>
        </w:rPr>
      </w:pPr>
      <w:r w:rsidRPr="00AA205B">
        <w:rPr>
          <w:lang w:val="es-MX"/>
        </w:rPr>
        <w:t>Sección 0 — Imports</w:t>
      </w:r>
    </w:p>
    <w:p w:rsidR="00961256" w:rsidRPr="00AA205B" w:rsidRDefault="00CB25D9">
      <w:pPr>
        <w:spacing w:after="120"/>
        <w:jc w:val="both"/>
        <w:rPr>
          <w:lang w:val="es-MX"/>
        </w:rPr>
      </w:pPr>
      <w:r w:rsidRPr="00AA205B">
        <w:rPr>
          <w:lang w:val="es-MX"/>
        </w:rPr>
        <w:t>Solo librerías estándar: openpyxl para leer Excel, pandas y numpy para datos numéricos, plotly para los gráficos, json para embeber datos en el HTML, y datetime/re para manejar fechas y texto. No hay nada exótico.</w:t>
      </w:r>
    </w:p>
    <w:p w:rsidR="00961256" w:rsidRPr="00AA205B" w:rsidRDefault="00961256">
      <w:pPr>
        <w:spacing w:before="80"/>
        <w:rPr>
          <w:lang w:val="es-MX"/>
        </w:rPr>
      </w:pPr>
    </w:p>
    <w:p w:rsidR="00961256" w:rsidRPr="00AA205B" w:rsidRDefault="00CB25D9">
      <w:pPr>
        <w:pStyle w:val="Ttulo2"/>
        <w:rPr>
          <w:lang w:val="es-MX"/>
        </w:rPr>
      </w:pPr>
      <w:r w:rsidRPr="00AA205B">
        <w:rPr>
          <w:lang w:val="es-MX"/>
        </w:rPr>
        <w:t>Sección 1 — Rutas, paleta y parámetros</w:t>
      </w:r>
    </w:p>
    <w:p w:rsidR="00961256" w:rsidRPr="00AA205B" w:rsidRDefault="00CB25D9">
      <w:pPr>
        <w:spacing w:after="120"/>
        <w:jc w:val="both"/>
        <w:rPr>
          <w:lang w:val="es-MX"/>
        </w:rPr>
      </w:pPr>
      <w:r w:rsidRPr="00AA205B">
        <w:rPr>
          <w:lang w:val="es-MX"/>
        </w:rPr>
        <w:t>Todo lo que un analista podría necesitar cambiar está en esta sección. Las rutas de los cuatro archivos. La paleta de colores AFP Integra (</w:t>
      </w:r>
      <w:r w:rsidRPr="00AA205B">
        <w:rPr>
          <w:b/>
          <w:bCs/>
          <w:lang w:val="es-MX"/>
        </w:rPr>
        <w:t>navy #1E2E6E</w:t>
      </w:r>
      <w:r w:rsidRPr="00AA205B">
        <w:rPr>
          <w:lang w:val="es-MX"/>
        </w:rPr>
        <w:t xml:space="preserve">, </w:t>
      </w:r>
      <w:r w:rsidRPr="00AA205B">
        <w:rPr>
          <w:b/>
          <w:bCs/>
          <w:lang w:val="es-MX"/>
        </w:rPr>
        <w:t>teal #00AECB</w:t>
      </w:r>
      <w:r w:rsidRPr="00AA205B">
        <w:rPr>
          <w:lang w:val="es-MX"/>
        </w:rPr>
        <w:t xml:space="preserve">, </w:t>
      </w:r>
      <w:r w:rsidRPr="00AA205B">
        <w:rPr>
          <w:b/>
          <w:bCs/>
          <w:lang w:val="es-MX"/>
        </w:rPr>
        <w:t>yellow #E3E829</w:t>
      </w:r>
      <w:r w:rsidRPr="00AA205B">
        <w:rPr>
          <w:lang w:val="es-MX"/>
        </w:rPr>
        <w:t>). Los nombres de los múltiplos y su</w:t>
      </w:r>
      <w:r w:rsidRPr="00AA205B">
        <w:rPr>
          <w:lang w:val="es-MX"/>
        </w:rPr>
        <w:t>s etiquetas amigables. La lista de strings que Bloomberg devuelve cuando no hay dato (</w:t>
      </w:r>
      <w:r w:rsidRPr="00AA205B">
        <w:rPr>
          <w:i/>
          <w:iCs/>
          <w:color w:val="7E8083"/>
          <w:lang w:val="es-MX"/>
        </w:rPr>
        <w:t>#N/A N/A, NM, #VALUE!</w:t>
      </w:r>
      <w:r w:rsidRPr="00AA205B">
        <w:rPr>
          <w:lang w:val="es-MX"/>
        </w:rPr>
        <w:t>, etc.) — tratamos todos como NaN.</w:t>
      </w:r>
    </w:p>
    <w:p w:rsidR="00961256" w:rsidRPr="00AA205B" w:rsidRDefault="00CB25D9">
      <w:pPr>
        <w:spacing w:after="120"/>
        <w:jc w:val="both"/>
        <w:rPr>
          <w:lang w:val="es-MX"/>
        </w:rPr>
      </w:pPr>
      <w:r w:rsidRPr="00AA205B">
        <w:rPr>
          <w:b/>
          <w:bCs/>
          <w:lang w:val="es-MX"/>
        </w:rPr>
        <w:t>El diccionario EQUIV</w:t>
      </w:r>
      <w:r w:rsidRPr="00AA205B">
        <w:rPr>
          <w:lang w:val="es-MX"/>
        </w:rPr>
        <w:t xml:space="preserve"> es la pieza más importante de esta sección. Contiene el mapa blindado de equivalencias entre </w:t>
      </w:r>
      <w:r w:rsidRPr="00AA205B">
        <w:rPr>
          <w:lang w:val="es-MX"/>
        </w:rPr>
        <w:t>el nombre tal como aparece en los workbooks macro y la empresa tal como aparece en el archivo forward de Bloomberg. Por ejemplo, 'CERRO VERDE' del Monitor de minería corresponde a 'Sociedad Minera Cerro Verde' en GICS, que a su vez corresponde al ticker CV</w:t>
      </w:r>
      <w:r w:rsidRPr="00AA205B">
        <w:rPr>
          <w:lang w:val="es-MX"/>
        </w:rPr>
        <w:t>ERDEC1 PE Equity. Sin este mapa, los dos mundos (múltiplos y fundamentales) nunca se conectan. Si en algún momento agregamos una nueva empresa a los macros, solo hay que añadir una línea a este diccionario.</w:t>
      </w:r>
    </w:p>
    <w:p w:rsidR="00961256" w:rsidRPr="00AA205B" w:rsidRDefault="00CB25D9">
      <w:pPr>
        <w:spacing w:after="120"/>
        <w:jc w:val="both"/>
        <w:rPr>
          <w:lang w:val="es-MX"/>
        </w:rPr>
      </w:pPr>
      <w:r w:rsidRPr="00AA205B">
        <w:rPr>
          <w:b/>
          <w:bCs/>
          <w:lang w:val="es-MX"/>
        </w:rPr>
        <w:t>La lista EVENTOS</w:t>
      </w:r>
      <w:r w:rsidRPr="00AA205B">
        <w:rPr>
          <w:lang w:val="es-MX"/>
        </w:rPr>
        <w:t xml:space="preserve"> contiene los hitos que aparecen </w:t>
      </w:r>
      <w:r w:rsidRPr="00AA205B">
        <w:rPr>
          <w:lang w:val="es-MX"/>
        </w:rPr>
        <w:t>como líneas verticales en el Panel 1. Cada evento tiene una fecha, una etiqueta corta, y un scope (</w:t>
      </w:r>
      <w:r w:rsidRPr="00AA205B">
        <w:rPr>
          <w:i/>
          <w:iCs/>
          <w:color w:val="7E8083"/>
          <w:lang w:val="es-MX"/>
        </w:rPr>
        <w:t>intl</w:t>
      </w:r>
      <w:r w:rsidRPr="00AA205B">
        <w:rPr>
          <w:lang w:val="es-MX"/>
        </w:rPr>
        <w:t xml:space="preserve"> para internacional o </w:t>
      </w:r>
      <w:r w:rsidRPr="00AA205B">
        <w:rPr>
          <w:i/>
          <w:iCs/>
          <w:color w:val="7E8083"/>
          <w:lang w:val="es-MX"/>
        </w:rPr>
        <w:t>local</w:t>
      </w:r>
      <w:r w:rsidRPr="00AA205B">
        <w:rPr>
          <w:lang w:val="es-MX"/>
        </w:rPr>
        <w:t xml:space="preserve"> para Peru). Las fechas están verificadas: vacancia de Boluarte 10-oct-2025, aranceles Trump 2-abr-2025, primera vuelta 12-abr</w:t>
      </w:r>
      <w:r w:rsidRPr="00AA205B">
        <w:rPr>
          <w:lang w:val="es-MX"/>
        </w:rPr>
        <w:t>-2026, segunda vuelta 7-jun-2026. Están marcados como comentario '# verificar fecha exacta' los que tienen algo de incertidumbre. Cualquier analista puede editar esta lista directamente.</w:t>
      </w:r>
    </w:p>
    <w:p w:rsidR="00961256" w:rsidRPr="00AA205B" w:rsidRDefault="00961256">
      <w:pPr>
        <w:spacing w:before="80"/>
        <w:rPr>
          <w:lang w:val="es-MX"/>
        </w:rPr>
      </w:pPr>
    </w:p>
    <w:p w:rsidR="00961256" w:rsidRPr="00AA205B" w:rsidRDefault="00CB25D9">
      <w:pPr>
        <w:pStyle w:val="Ttulo2"/>
        <w:rPr>
          <w:lang w:val="es-MX"/>
        </w:rPr>
      </w:pPr>
      <w:r w:rsidRPr="00AA205B">
        <w:rPr>
          <w:lang w:val="es-MX"/>
        </w:rPr>
        <w:t>Sección 2 — Lectura del Excel forward</w:t>
      </w:r>
    </w:p>
    <w:p w:rsidR="00961256" w:rsidRPr="00AA205B" w:rsidRDefault="00CB25D9">
      <w:pPr>
        <w:spacing w:after="120"/>
        <w:jc w:val="both"/>
        <w:rPr>
          <w:lang w:val="es-MX"/>
        </w:rPr>
      </w:pPr>
      <w:r w:rsidRPr="00AA205B">
        <w:rPr>
          <w:lang w:val="es-MX"/>
        </w:rPr>
        <w:t>La función más importante aquí</w:t>
      </w:r>
      <w:r w:rsidRPr="00AA205B">
        <w:rPr>
          <w:lang w:val="es-MX"/>
        </w:rPr>
        <w:t xml:space="preserve"> es leer_equities(). Para entender por qué es necesaria, hay que saber cómo está armado el archivo forward: tiene tres hojas (Financials, Cons y Const, Min y Uti), y dentro de cada hoja hay dos grandes bloques horizontales. El bloque izquierdo tiene fundam</w:t>
      </w:r>
      <w:r w:rsidRPr="00AA205B">
        <w:rPr>
          <w:lang w:val="es-MX"/>
        </w:rPr>
        <w:t>entales trailing de Capital IQ (IQ_NI, IQ_TOTAL_REV…) que en este archivo están vacíos — son una herencia de la plantilla de ZODA. El bloque derecho, que es el que nos interesa, tiene los múltiplos forward de Bloomberg (BEST_*).</w:t>
      </w:r>
    </w:p>
    <w:p w:rsidR="00961256" w:rsidRPr="00AA205B" w:rsidRDefault="00CB25D9">
      <w:pPr>
        <w:spacing w:after="120"/>
        <w:jc w:val="both"/>
        <w:rPr>
          <w:lang w:val="es-MX"/>
        </w:rPr>
      </w:pPr>
      <w:r w:rsidRPr="00AA205B">
        <w:rPr>
          <w:lang w:val="es-MX"/>
        </w:rPr>
        <w:t>Dentro del bloque de Bloomb</w:t>
      </w:r>
      <w:r w:rsidRPr="00AA205B">
        <w:rPr>
          <w:lang w:val="es-MX"/>
        </w:rPr>
        <w:t>erg, cada métrica ocupa un 'mini-bloque': una columna de fechas seguida de una columna por cada empresa. La identificación de cuál columna es fecha y cuál es dato se hace con una regla simple: en la fila de encabezado de tickers (fila índice 4), la columna</w:t>
      </w:r>
      <w:r w:rsidRPr="00AA205B">
        <w:rPr>
          <w:lang w:val="es-MX"/>
        </w:rPr>
        <w:t xml:space="preserve"> de fecha tiene el mismo valor que la fila de métricas (fila índice 2) — es decir, dice 'Px_last' sobre la columna de fecha del bloque de precios, y 'BEST_PE_RATIO' sobre la columna de fecha del bloque de P/E. Todas las demás columnas </w:t>
      </w:r>
      <w:r w:rsidRPr="00AA205B">
        <w:rPr>
          <w:lang w:val="es-MX"/>
        </w:rPr>
        <w:lastRenderedPageBreak/>
        <w:t>de dato tienen el tic</w:t>
      </w:r>
      <w:r w:rsidRPr="00AA205B">
        <w:rPr>
          <w:lang w:val="es-MX"/>
        </w:rPr>
        <w:t>ker BBG (terminan en 'Equity'). Esta regla la validamos celda por celda antes de codificarla.</w:t>
      </w:r>
    </w:p>
    <w:p w:rsidR="00961256" w:rsidRPr="00AA205B" w:rsidRDefault="00CB25D9">
      <w:pPr>
        <w:spacing w:after="120"/>
        <w:jc w:val="both"/>
        <w:rPr>
          <w:lang w:val="es-MX"/>
        </w:rPr>
      </w:pPr>
      <w:r w:rsidRPr="00AA205B">
        <w:rPr>
          <w:lang w:val="es-MX"/>
        </w:rPr>
        <w:t>Para no reventar la memoria, el parámetro MAX_FILAS limita la lectura a 2000 filas (los datos reales tienen ~641). Las hojas declaran más de un millón de filas, p</w:t>
      </w:r>
      <w:r w:rsidRPr="00AA205B">
        <w:rPr>
          <w:lang w:val="es-MX"/>
        </w:rPr>
        <w:t>ero la gran mayoría está vacía.</w:t>
      </w:r>
    </w:p>
    <w:p w:rsidR="00961256" w:rsidRPr="00AA205B" w:rsidRDefault="00961256">
      <w:pPr>
        <w:spacing w:before="80"/>
        <w:rPr>
          <w:lang w:val="es-MX"/>
        </w:rPr>
      </w:pPr>
    </w:p>
    <w:p w:rsidR="00961256" w:rsidRPr="00AA205B" w:rsidRDefault="00CB25D9">
      <w:pPr>
        <w:pStyle w:val="Ttulo2"/>
        <w:rPr>
          <w:lang w:val="es-MX"/>
        </w:rPr>
      </w:pPr>
      <w:r w:rsidRPr="00AA205B">
        <w:rPr>
          <w:lang w:val="es-MX"/>
        </w:rPr>
        <w:t>Sección 3 — Workbooks macro</w:t>
      </w:r>
    </w:p>
    <w:p w:rsidR="00961256" w:rsidRPr="00AA205B" w:rsidRDefault="00CB25D9">
      <w:pPr>
        <w:spacing w:after="120"/>
        <w:jc w:val="both"/>
        <w:rPr>
          <w:lang w:val="es-MX"/>
        </w:rPr>
      </w:pPr>
      <w:r w:rsidRPr="00AA205B">
        <w:rPr>
          <w:lang w:val="es-MX"/>
        </w:rPr>
        <w:t>Son tres lectores independientes: leer_mineria(), leer_financieras(), leer_construccion(). Cada uno tiene su propia lógica porque cada archivo está armado de manera distinta:</w:t>
      </w:r>
    </w:p>
    <w:p w:rsidR="00961256" w:rsidRPr="00AA205B" w:rsidRDefault="00CB25D9">
      <w:pPr>
        <w:pStyle w:val="Prrafodelista"/>
        <w:numPr>
          <w:ilvl w:val="0"/>
          <w:numId w:val="3"/>
        </w:numPr>
        <w:spacing w:after="80"/>
        <w:rPr>
          <w:lang w:val="es-MX"/>
        </w:rPr>
      </w:pPr>
      <w:r w:rsidRPr="00AA205B">
        <w:rPr>
          <w:lang w:val="es-MX"/>
        </w:rPr>
        <w:t>Monitor de BD_Mineri</w:t>
      </w:r>
      <w:r w:rsidRPr="00AA205B">
        <w:rPr>
          <w:lang w:val="es-MX"/>
        </w:rPr>
        <w:t>a: tiene bloques de producción nacional (por mineral) y producción por compañía×metal, seguidos de un bloque de inversión. La clave es el forward-fill de la columna de empresa (las celdas combinadas en Excel dejan vacío todo menos la primera fila del grupo</w:t>
      </w:r>
      <w:r w:rsidRPr="00AA205B">
        <w:rPr>
          <w:lang w:val="es-MX"/>
        </w:rPr>
        <w:t>). El código detecta la fila de encabezado de fechas buscando celdas datetime y empareja las columnas con sus valores.</w:t>
      </w:r>
    </w:p>
    <w:p w:rsidR="00961256" w:rsidRPr="00AA205B" w:rsidRDefault="00CB25D9">
      <w:pPr>
        <w:pStyle w:val="Prrafodelista"/>
        <w:numPr>
          <w:ilvl w:val="0"/>
          <w:numId w:val="3"/>
        </w:numPr>
        <w:spacing w:after="80"/>
        <w:rPr>
          <w:lang w:val="es-MX"/>
        </w:rPr>
      </w:pPr>
      <w:r w:rsidRPr="00AA205B">
        <w:rPr>
          <w:lang w:val="es-MX"/>
        </w:rPr>
        <w:t>PERBAN de BD_Financieras: misma lógica de forward-fill para la columna del banco. La fila de fechas está en el índice 1 (segunda fila). E</w:t>
      </w:r>
      <w:r w:rsidRPr="00AA205B">
        <w:rPr>
          <w:lang w:val="es-MX"/>
        </w:rPr>
        <w:t>l código busca específicamente los indicadores 'NIM' y 'Utilidad Neta Anualizada / Patrimonio Promedio' (ROE) dentro de las filas de BCP, Interbank y BBVA.</w:t>
      </w:r>
    </w:p>
    <w:p w:rsidR="00961256" w:rsidRPr="00AA205B" w:rsidRDefault="00CB25D9">
      <w:pPr>
        <w:pStyle w:val="Prrafodelista"/>
        <w:numPr>
          <w:ilvl w:val="0"/>
          <w:numId w:val="3"/>
        </w:numPr>
        <w:spacing w:after="80"/>
        <w:rPr>
          <w:lang w:val="es-MX"/>
        </w:rPr>
      </w:pPr>
      <w:r w:rsidRPr="00AA205B">
        <w:rPr>
          <w:lang w:val="es-MX"/>
        </w:rPr>
        <w:t xml:space="preserve">Data Graf de BD_Construcción: usa etiquetas trimestrales (1Q15, 2Q15…) en lugar de fechas datetime. </w:t>
      </w:r>
      <w:r w:rsidRPr="00AA205B">
        <w:rPr>
          <w:lang w:val="es-MX"/>
        </w:rPr>
        <w:t>La función q_a_fecha() las convierte a timestamps usando el primer día del mes de cierre de cada trimestre.</w:t>
      </w:r>
    </w:p>
    <w:p w:rsidR="00961256" w:rsidRPr="00AA205B" w:rsidRDefault="00961256">
      <w:pPr>
        <w:spacing w:before="60"/>
        <w:rPr>
          <w:lang w:val="es-MX"/>
        </w:rPr>
      </w:pPr>
    </w:p>
    <w:p w:rsidR="00961256" w:rsidRPr="00AA205B" w:rsidRDefault="00CB25D9">
      <w:pPr>
        <w:spacing w:after="120"/>
        <w:jc w:val="both"/>
        <w:rPr>
          <w:lang w:val="es-MX"/>
        </w:rPr>
      </w:pPr>
      <w:r w:rsidRPr="00AA205B">
        <w:rPr>
          <w:lang w:val="es-MX"/>
        </w:rPr>
        <w:t>Todos los lectores tienen manejo de errores: si el archivo no existe, imprimen una advertencia y devuelven un diccionario vacío. El resto del scrip</w:t>
      </w:r>
      <w:r w:rsidRPr="00AA205B">
        <w:rPr>
          <w:lang w:val="es-MX"/>
        </w:rPr>
        <w:t>t continúa normalmente.</w:t>
      </w:r>
    </w:p>
    <w:p w:rsidR="00961256" w:rsidRPr="00AA205B" w:rsidRDefault="00961256">
      <w:pPr>
        <w:spacing w:before="80"/>
        <w:rPr>
          <w:lang w:val="es-MX"/>
        </w:rPr>
      </w:pPr>
    </w:p>
    <w:p w:rsidR="00961256" w:rsidRPr="00AA205B" w:rsidRDefault="00CB25D9">
      <w:pPr>
        <w:pStyle w:val="Ttulo2"/>
        <w:rPr>
          <w:lang w:val="es-MX"/>
        </w:rPr>
      </w:pPr>
      <w:r w:rsidRPr="00AA205B">
        <w:rPr>
          <w:lang w:val="es-MX"/>
        </w:rPr>
        <w:t>Sección 4 — Métricas analíticas</w:t>
      </w:r>
    </w:p>
    <w:p w:rsidR="00961256" w:rsidRPr="00AA205B" w:rsidRDefault="00CB25D9">
      <w:pPr>
        <w:spacing w:after="120"/>
        <w:jc w:val="both"/>
        <w:rPr>
          <w:lang w:val="es-MX"/>
        </w:rPr>
      </w:pPr>
      <w:r w:rsidRPr="00AA205B">
        <w:rPr>
          <w:lang w:val="es-MX"/>
        </w:rPr>
        <w:t>Aquí se calculan las variables que alimentan los paneles 2, 3 y 4. Para cada empresa y múltiplo, se clasifica la historia disponible (OK_2A / OK_2025 / INSUFICIENTE / HUECOS / VACÍA). Se calculan el ROE implícito (Fwd_PB / Fwd_PE, que algebraicamente equiv</w:t>
      </w:r>
      <w:r w:rsidRPr="00AA205B">
        <w:rPr>
          <w:lang w:val="es-MX"/>
        </w:rPr>
        <w:t>ale a utilidad/patrimonio), el crecimiento de EPS forward a 12 meses (variación del estimado NTM en ese período, usado como proxy de crecimiento esperado), y las revisiones de EPS a 1, 3 y 6 meses.</w:t>
      </w:r>
    </w:p>
    <w:p w:rsidR="00961256" w:rsidRPr="00AA205B" w:rsidRDefault="00CB25D9">
      <w:pPr>
        <w:spacing w:after="120"/>
        <w:jc w:val="both"/>
        <w:rPr>
          <w:lang w:val="es-MX"/>
        </w:rPr>
      </w:pPr>
      <w:r w:rsidRPr="00AA205B">
        <w:rPr>
          <w:b/>
          <w:bCs/>
          <w:lang w:val="es-MX"/>
        </w:rPr>
        <w:t xml:space="preserve">Una nota honesta sobre el proxy de crecimiento: </w:t>
      </w:r>
      <w:r w:rsidRPr="00AA205B">
        <w:rPr>
          <w:lang w:val="es-MX"/>
        </w:rPr>
        <w:t>la variaci</w:t>
      </w:r>
      <w:r w:rsidRPr="00AA205B">
        <w:rPr>
          <w:lang w:val="es-MX"/>
        </w:rPr>
        <w:t>ón a 12m del EPS forward NTM en empresas mineras mezcla rebote cíclico con crecimiento real. Esto hace que el R² del scatter P/E vs crecimiento sea bajo (~0.01). El panel sigue siendo útil para explorar la nube y ver en qué cuadrante queda cada empresa, pe</w:t>
      </w:r>
      <w:r w:rsidRPr="00AA205B">
        <w:rPr>
          <w:lang w:val="es-MX"/>
        </w:rPr>
        <w:t>ro hay que leerlo con esa reserva. El upgrade natural es jalar dos horizontes de EPS (FY1 y FY2) para calcular un crecimiento explícito — eso requiere dos campos adicionales de Bloomberg.</w:t>
      </w:r>
    </w:p>
    <w:p w:rsidR="00961256" w:rsidRPr="00AA205B" w:rsidRDefault="00961256">
      <w:pPr>
        <w:spacing w:before="80"/>
        <w:rPr>
          <w:lang w:val="es-MX"/>
        </w:rPr>
      </w:pPr>
    </w:p>
    <w:p w:rsidR="00961256" w:rsidRPr="00AA205B" w:rsidRDefault="00CB25D9">
      <w:pPr>
        <w:pStyle w:val="Ttulo2"/>
        <w:rPr>
          <w:lang w:val="es-MX"/>
        </w:rPr>
      </w:pPr>
      <w:r w:rsidRPr="00AA205B">
        <w:rPr>
          <w:lang w:val="es-MX"/>
        </w:rPr>
        <w:t>Sección 5 — Series semanales para el panel 1</w:t>
      </w:r>
    </w:p>
    <w:p w:rsidR="00961256" w:rsidRPr="00AA205B" w:rsidRDefault="00CB25D9">
      <w:pPr>
        <w:spacing w:after="120"/>
        <w:jc w:val="both"/>
        <w:rPr>
          <w:lang w:val="es-MX"/>
        </w:rPr>
      </w:pPr>
      <w:r w:rsidRPr="00AA205B">
        <w:rPr>
          <w:lang w:val="es-MX"/>
        </w:rPr>
        <w:t>El panel de evolución temporal necesita los datos de todos los equities (para que el usuario pueda elegir cualquier empresa) pero en un formato que no haga el HTML demasiado pesado. La solución es remuestrear de diario a semanal (último valor de cada viern</w:t>
      </w:r>
      <w:r w:rsidRPr="00AA205B">
        <w:rPr>
          <w:lang w:val="es-MX"/>
        </w:rPr>
        <w:t xml:space="preserve">es) usando el método resample de pandas. </w:t>
      </w:r>
      <w:r w:rsidRPr="00AA205B">
        <w:rPr>
          <w:lang w:val="es-MX"/>
        </w:rPr>
        <w:lastRenderedPageBreak/>
        <w:t>Esto reduce los puntos de ~636 a ~130 por serie, sin perder la tendencia. Las fechas se guardan como strings YYYY-MM-DD y los valores redondeados a 3 decimales para minimizar el tamaño del JSON embebido.</w:t>
      </w:r>
    </w:p>
    <w:p w:rsidR="00961256" w:rsidRPr="00AA205B" w:rsidRDefault="00961256">
      <w:pPr>
        <w:spacing w:before="80"/>
        <w:rPr>
          <w:lang w:val="es-MX"/>
        </w:rPr>
      </w:pPr>
    </w:p>
    <w:p w:rsidR="00961256" w:rsidRPr="00AA205B" w:rsidRDefault="00CB25D9">
      <w:pPr>
        <w:pStyle w:val="Ttulo2"/>
        <w:rPr>
          <w:lang w:val="es-MX"/>
        </w:rPr>
      </w:pPr>
      <w:r w:rsidRPr="00AA205B">
        <w:rPr>
          <w:lang w:val="es-MX"/>
        </w:rPr>
        <w:t xml:space="preserve">Sección 6 </w:t>
      </w:r>
      <w:r w:rsidRPr="00AA205B">
        <w:rPr>
          <w:lang w:val="es-MX"/>
        </w:rPr>
        <w:t>— Figuras estáticas</w:t>
      </w:r>
    </w:p>
    <w:p w:rsidR="00961256" w:rsidRPr="00AA205B" w:rsidRDefault="00CB25D9">
      <w:pPr>
        <w:spacing w:after="120"/>
        <w:jc w:val="both"/>
        <w:rPr>
          <w:lang w:val="es-MX"/>
        </w:rPr>
      </w:pPr>
      <w:r w:rsidRPr="00AA205B">
        <w:rPr>
          <w:lang w:val="es-MX"/>
        </w:rPr>
        <w:t>Los paneles 2, 3, 4 y 6 son figuras de Plotly generadas en Python y embebidas en el HTML como bloques estáticos. 'Estáticas' no significa que no tengan hover — Plotly siempre tiene interactividad básica de tooltips y zoom — sino que sus</w:t>
      </w:r>
      <w:r w:rsidRPr="00AA205B">
        <w:rPr>
          <w:lang w:val="es-MX"/>
        </w:rPr>
        <w:t xml:space="preserve"> datos no cambian con los controles del usuario. Esto simplifica el código: las figuras se generan una vez con to_html(full_html=False) y se inyectan en la plantilla.</w:t>
      </w:r>
    </w:p>
    <w:p w:rsidR="00961256" w:rsidRPr="00AA205B" w:rsidRDefault="00CB25D9">
      <w:pPr>
        <w:spacing w:after="120"/>
        <w:jc w:val="both"/>
        <w:rPr>
          <w:lang w:val="es-MX"/>
        </w:rPr>
      </w:pPr>
      <w:r w:rsidRPr="00AA205B">
        <w:rPr>
          <w:lang w:val="es-MX"/>
        </w:rPr>
        <w:t xml:space="preserve">La función fig_scatter es compartida por los paneles 2 y 3. Toma el DataFrame analítico, </w:t>
      </w:r>
      <w:r w:rsidRPr="00AA205B">
        <w:rPr>
          <w:lang w:val="es-MX"/>
        </w:rPr>
        <w:t xml:space="preserve">filtra a rangos sensatos (para que outliers extremos no rompan la escala), ajusta una recta por mínimos cuadrados ordinarios, y destaca las empresas de cartera con marcadores más grandes y etiquetas. Los puntos sobre la recta ajustada son los 'caros' para </w:t>
      </w:r>
      <w:r w:rsidRPr="00AA205B">
        <w:rPr>
          <w:lang w:val="es-MX"/>
        </w:rPr>
        <w:t>lo que justifican sus fundamentales.</w:t>
      </w:r>
    </w:p>
    <w:p w:rsidR="00961256" w:rsidRPr="00AA205B" w:rsidRDefault="00961256">
      <w:pPr>
        <w:spacing w:before="80"/>
        <w:rPr>
          <w:lang w:val="es-MX"/>
        </w:rPr>
      </w:pPr>
    </w:p>
    <w:p w:rsidR="00961256" w:rsidRPr="00AA205B" w:rsidRDefault="00CB25D9">
      <w:pPr>
        <w:pStyle w:val="Ttulo2"/>
        <w:rPr>
          <w:lang w:val="es-MX"/>
        </w:rPr>
      </w:pPr>
      <w:r w:rsidRPr="00AA205B">
        <w:rPr>
          <w:lang w:val="es-MX"/>
        </w:rPr>
        <w:t>Sección 7 — Ensamblado del HTML</w:t>
      </w:r>
    </w:p>
    <w:p w:rsidR="00961256" w:rsidRPr="00AA205B" w:rsidRDefault="00CB25D9">
      <w:pPr>
        <w:spacing w:after="120"/>
        <w:jc w:val="both"/>
        <w:rPr>
          <w:lang w:val="es-MX"/>
        </w:rPr>
      </w:pPr>
      <w:r w:rsidRPr="00AA205B">
        <w:rPr>
          <w:lang w:val="es-MX"/>
        </w:rPr>
        <w:t>Aquí es donde todo se junta. La función construir_html() toma los divs de las figuras estáticas y los datos JSON (series, fundamentales, eventos, metadatos) y los inserta en una plantill</w:t>
      </w:r>
      <w:r w:rsidRPr="00AA205B">
        <w:rPr>
          <w:lang w:val="es-MX"/>
        </w:rPr>
        <w:t>a HTML/CSS/JS. Los dos paneles interactivos (evolución y múltiplo vs fundamental) no son figuras de Python — son JavaScript puro que usa la librería Plotly disponible vía CDN. Esto significa que si el usuario cambia el múltiplo o la empresa en el selector,</w:t>
      </w:r>
      <w:r w:rsidRPr="00AA205B">
        <w:rPr>
          <w:lang w:val="es-MX"/>
        </w:rPr>
        <w:t xml:space="preserve"> el gráfico se redibuja en el navegador sin hacer ninguna llamada al servidor.</w:t>
      </w:r>
    </w:p>
    <w:p w:rsidR="00961256" w:rsidRPr="00AA205B" w:rsidRDefault="00CB25D9">
      <w:pPr>
        <w:spacing w:after="120"/>
        <w:jc w:val="both"/>
        <w:rPr>
          <w:lang w:val="es-MX"/>
        </w:rPr>
      </w:pPr>
      <w:r w:rsidRPr="00AA205B">
        <w:rPr>
          <w:lang w:val="es-MX"/>
        </w:rPr>
        <w:t>Para evitar conflictos entre las llaves de Python (en las f-strings) y las llaves de JavaScript, los datos se inyectan usando marcadores de texto plano que se reemplazan con .re</w:t>
      </w:r>
      <w:r w:rsidRPr="00AA205B">
        <w:rPr>
          <w:lang w:val="es-MX"/>
        </w:rPr>
        <w:t>place() — una técnica más segura que format() para código que mezcla ambos lenguajes.</w:t>
      </w:r>
    </w:p>
    <w:p w:rsidR="00961256" w:rsidRPr="00AA205B" w:rsidRDefault="00961256">
      <w:pPr>
        <w:spacing w:before="80"/>
        <w:rPr>
          <w:lang w:val="es-MX"/>
        </w:rPr>
      </w:pPr>
    </w:p>
    <w:p w:rsidR="00961256" w:rsidRPr="00AA205B" w:rsidRDefault="00CB25D9">
      <w:pPr>
        <w:pStyle w:val="Ttulo2"/>
        <w:rPr>
          <w:lang w:val="es-MX"/>
        </w:rPr>
      </w:pPr>
      <w:r w:rsidRPr="00AA205B">
        <w:rPr>
          <w:lang w:val="es-MX"/>
        </w:rPr>
        <w:t>Sección 8 — Main</w:t>
      </w:r>
    </w:p>
    <w:p w:rsidR="00961256" w:rsidRPr="00AA205B" w:rsidRDefault="00CB25D9">
      <w:pPr>
        <w:spacing w:after="120"/>
        <w:jc w:val="both"/>
        <w:rPr>
          <w:lang w:val="es-MX"/>
        </w:rPr>
      </w:pPr>
      <w:r w:rsidRPr="00AA205B">
        <w:rPr>
          <w:lang w:val="es-MX"/>
        </w:rPr>
        <w:t>La función main() coordina todo en orden: abre el Excel forward, lee los macros, construye las tablas analíticas, genera las series semanales, construye</w:t>
      </w:r>
      <w:r w:rsidRPr="00AA205B">
        <w:rPr>
          <w:lang w:val="es-MX"/>
        </w:rPr>
        <w:t xml:space="preserve"> las figuras, ensambla el HTML y lo escribe. Imprime el estado en cada paso para que el analista pueda seguir el progreso y detectar si algún archivo no se encuentra. Al final devuelve los objetos principales (DataFrame y diccionario de fundamentales) al w</w:t>
      </w:r>
      <w:r w:rsidRPr="00AA205B">
        <w:rPr>
          <w:lang w:val="es-MX"/>
        </w:rPr>
        <w:t>orkspace de Spyder para que se puedan explorar interactivamente.</w:t>
      </w:r>
    </w:p>
    <w:p w:rsidR="00961256" w:rsidRPr="00AA205B" w:rsidRDefault="00961256">
      <w:pPr>
        <w:spacing w:before="120"/>
        <w:rPr>
          <w:lang w:val="es-MX"/>
        </w:rPr>
      </w:pPr>
    </w:p>
    <w:p w:rsidR="00961256" w:rsidRPr="00AA205B" w:rsidRDefault="00CB25D9">
      <w:pPr>
        <w:rPr>
          <w:lang w:val="es-MX"/>
        </w:rPr>
      </w:pPr>
      <w:r w:rsidRPr="00AA205B">
        <w:rPr>
          <w:lang w:val="es-MX"/>
        </w:rPr>
        <w:br w:type="page"/>
      </w:r>
    </w:p>
    <w:p w:rsidR="00961256" w:rsidRPr="00AA205B" w:rsidRDefault="00CB25D9">
      <w:pPr>
        <w:pStyle w:val="Ttulo1"/>
        <w:pBdr>
          <w:bottom w:val="single" w:sz="8" w:space="4" w:color="00AECB"/>
        </w:pBdr>
        <w:rPr>
          <w:lang w:val="es-MX"/>
        </w:rPr>
      </w:pPr>
      <w:r w:rsidRPr="00AA205B">
        <w:rPr>
          <w:lang w:val="es-MX"/>
        </w:rPr>
        <w:lastRenderedPageBreak/>
        <w:t>4.  Los paneles del dashboard — qué muestran y por qué</w:t>
      </w:r>
    </w:p>
    <w:p w:rsidR="00961256" w:rsidRPr="00AA205B" w:rsidRDefault="00CB25D9">
      <w:pPr>
        <w:spacing w:after="120"/>
        <w:jc w:val="both"/>
        <w:rPr>
          <w:lang w:val="es-MX"/>
        </w:rPr>
      </w:pPr>
      <w:r w:rsidRPr="00AA205B">
        <w:rPr>
          <w:b/>
          <w:bCs/>
          <w:lang w:val="es-MX"/>
        </w:rPr>
        <w:t xml:space="preserve">Antes de entrar al detalle: </w:t>
      </w:r>
      <w:r w:rsidRPr="00AA205B">
        <w:rPr>
          <w:lang w:val="es-MX"/>
        </w:rPr>
        <w:t>el dashboard no responde '¿compramos o vendemos?' — eso es un juicio que hacen los gestores y el comité c</w:t>
      </w:r>
      <w:r w:rsidRPr="00AA205B">
        <w:rPr>
          <w:lang w:val="es-MX"/>
        </w:rPr>
        <w:t>on toda la información disponible. Lo que sí hace es estructurar la evidencia cuantitativa de valoración de una forma que haría que esa conversación sea más rápida y mejor fundamentada.</w:t>
      </w:r>
    </w:p>
    <w:p w:rsidR="00961256" w:rsidRPr="00AA205B" w:rsidRDefault="00961256">
      <w:pPr>
        <w:spacing w:before="80"/>
        <w:rPr>
          <w:lang w:val="es-MX"/>
        </w:rPr>
      </w:pPr>
    </w:p>
    <w:p w:rsidR="00961256" w:rsidRPr="00AA205B" w:rsidRDefault="00CB25D9">
      <w:pPr>
        <w:pStyle w:val="Ttulo2"/>
        <w:rPr>
          <w:lang w:val="es-MX"/>
        </w:rPr>
      </w:pPr>
      <w:r w:rsidRPr="00AA205B">
        <w:rPr>
          <w:lang w:val="es-MX"/>
        </w:rPr>
        <w:t>Panel 01  ·  Evolución del múltiplo forward</w:t>
      </w:r>
    </w:p>
    <w:p w:rsidR="00961256" w:rsidRPr="00AA205B" w:rsidRDefault="00CB25D9">
      <w:pPr>
        <w:spacing w:after="120"/>
        <w:jc w:val="both"/>
        <w:rPr>
          <w:lang w:val="es-MX"/>
        </w:rPr>
      </w:pPr>
      <w:r w:rsidRPr="00AA205B">
        <w:rPr>
          <w:lang w:val="es-MX"/>
        </w:rPr>
        <w:t>¿Qué muestra? La trayecto</w:t>
      </w:r>
      <w:r w:rsidRPr="00AA205B">
        <w:rPr>
          <w:lang w:val="es-MX"/>
        </w:rPr>
        <w:t xml:space="preserve">ria histórica del múltiplo forward elegido para hasta tres empresas al mismo tiempo. El eje X es el tiempo (2024 en adelante), el eje Y es el múltiplo. Se pueden superponer líneas verticales sutiles que marcan hitos de mercado — internacionales (aranceles </w:t>
      </w:r>
      <w:r w:rsidRPr="00AA205B">
        <w:rPr>
          <w:lang w:val="es-MX"/>
        </w:rPr>
        <w:t>Trump, ataques entre Israel e Irán) y locales (vacancia de Boluarte, rondas electorales).</w:t>
      </w:r>
    </w:p>
    <w:p w:rsidR="00961256" w:rsidRPr="00AA205B" w:rsidRDefault="00CB25D9">
      <w:pPr>
        <w:spacing w:after="120"/>
        <w:jc w:val="both"/>
        <w:rPr>
          <w:lang w:val="es-MX"/>
        </w:rPr>
      </w:pPr>
      <w:r w:rsidRPr="00AA205B">
        <w:rPr>
          <w:b/>
          <w:bCs/>
          <w:lang w:val="es-MX"/>
        </w:rPr>
        <w:t xml:space="preserve">Valor para el comité: </w:t>
      </w:r>
      <w:r w:rsidRPr="00AA205B">
        <w:rPr>
          <w:lang w:val="es-MX"/>
        </w:rPr>
        <w:t xml:space="preserve">antes de comparar empresas entre sí, hay que entender el contexto en que se movió la valoración. Si el P/E de Credicorp subió durante el primer </w:t>
      </w:r>
      <w:r w:rsidRPr="00AA205B">
        <w:rPr>
          <w:lang w:val="es-MX"/>
        </w:rPr>
        <w:t>semestre de 2025, ¿fue porque mejoró la expectativa de utilidades, o porque todo el sector financiero se re-valoró? Al superponer dos o tres empresas del mismo sector, se distingue lo idiosincrático de lo sistémico. Y las líneas de eventos ayudan a recorda</w:t>
      </w:r>
      <w:r w:rsidRPr="00AA205B">
        <w:rPr>
          <w:lang w:val="es-MX"/>
        </w:rPr>
        <w:t>r por qué el mercado hizo lo que hizo en cierto momento — algo que se olvida fácilmente cuando pasan los meses.</w:t>
      </w:r>
    </w:p>
    <w:p w:rsidR="00961256" w:rsidRPr="00AA205B" w:rsidRDefault="00CB25D9">
      <w:pPr>
        <w:spacing w:after="120"/>
        <w:jc w:val="both"/>
        <w:rPr>
          <w:lang w:val="es-MX"/>
        </w:rPr>
      </w:pPr>
      <w:r w:rsidRPr="00AA205B">
        <w:rPr>
          <w:b/>
          <w:bCs/>
          <w:lang w:val="es-MX"/>
        </w:rPr>
        <w:t xml:space="preserve">Cómo interactuar: </w:t>
      </w:r>
      <w:r w:rsidRPr="00AA205B">
        <w:rPr>
          <w:lang w:val="es-MX"/>
        </w:rPr>
        <w:t xml:space="preserve">elige el múltiplo en el primer desplegable (por defecto P/E forward). Para comparar empresas, haz Ctrl+clic (o ⌘+clic en Mac) </w:t>
      </w:r>
      <w:r w:rsidRPr="00AA205B">
        <w:rPr>
          <w:lang w:val="es-MX"/>
        </w:rPr>
        <w:t>en la lista para seleccionar hasta tres. El checkbox de eventos activa o desactiva las líneas de hitos. Los tooltips al pasar el cursor muestran el valor exacto de cada punto.</w:t>
      </w:r>
    </w:p>
    <w:p w:rsidR="00961256" w:rsidRPr="00AA205B" w:rsidRDefault="00961256">
      <w:pPr>
        <w:spacing w:before="80"/>
        <w:rPr>
          <w:lang w:val="es-MX"/>
        </w:rPr>
      </w:pPr>
    </w:p>
    <w:p w:rsidR="00961256" w:rsidRPr="00AA205B" w:rsidRDefault="00CB25D9">
      <w:pPr>
        <w:pStyle w:val="Ttulo2"/>
        <w:rPr>
          <w:lang w:val="es-MX"/>
        </w:rPr>
      </w:pPr>
      <w:r w:rsidRPr="00AA205B">
        <w:rPr>
          <w:lang w:val="es-MX"/>
        </w:rPr>
        <w:t>Panel 02  ·  P/E forward vs crecimiento del EPS</w:t>
      </w:r>
    </w:p>
    <w:p w:rsidR="00961256" w:rsidRPr="00AA205B" w:rsidRDefault="00CB25D9">
      <w:pPr>
        <w:spacing w:after="120"/>
        <w:jc w:val="both"/>
        <w:rPr>
          <w:lang w:val="es-MX"/>
        </w:rPr>
      </w:pPr>
      <w:r w:rsidRPr="00AA205B">
        <w:rPr>
          <w:b/>
          <w:bCs/>
          <w:lang w:val="es-MX"/>
        </w:rPr>
        <w:t xml:space="preserve">La idea detrás del gráfico: </w:t>
      </w:r>
      <w:r w:rsidRPr="00AA205B">
        <w:rPr>
          <w:lang w:val="es-MX"/>
        </w:rPr>
        <w:t xml:space="preserve">un </w:t>
      </w:r>
      <w:r w:rsidRPr="00AA205B">
        <w:rPr>
          <w:lang w:val="es-MX"/>
        </w:rPr>
        <w:t>P/E alto no es necesariamente malo — depende de si la empresa está creciendo más rápido que el mercado. Si pagas 25x por una empresa que crece 40% y 20x por una que crece 5%, el precio relativo es razonable en el primer caso y caro en el segundo. Esto es l</w:t>
      </w:r>
      <w:r w:rsidRPr="00AA205B">
        <w:rPr>
          <w:lang w:val="es-MX"/>
        </w:rPr>
        <w:t>o que visualiza el scatter: el mercado 'dibuja' implícitamente cuánto paga por cada punto de crecimiento, y la recta ajustada captura esa relación de equilibrio.</w:t>
      </w:r>
    </w:p>
    <w:p w:rsidR="00961256" w:rsidRPr="00AA205B" w:rsidRDefault="00CB25D9">
      <w:pPr>
        <w:spacing w:after="120"/>
        <w:jc w:val="both"/>
        <w:rPr>
          <w:lang w:val="es-MX"/>
        </w:rPr>
      </w:pPr>
      <w:r w:rsidRPr="00AA205B">
        <w:rPr>
          <w:lang w:val="es-MX"/>
        </w:rPr>
        <w:t xml:space="preserve">Los puntos </w:t>
      </w:r>
      <w:r w:rsidRPr="00AA205B">
        <w:rPr>
          <w:b/>
          <w:bCs/>
          <w:lang w:val="es-MX"/>
        </w:rPr>
        <w:t>sobre la recta</w:t>
      </w:r>
      <w:r w:rsidRPr="00AA205B">
        <w:rPr>
          <w:lang w:val="es-MX"/>
        </w:rPr>
        <w:t xml:space="preserve"> son las empresas para las que el mercado paga un P/E mayor de lo que</w:t>
      </w:r>
      <w:r w:rsidRPr="00AA205B">
        <w:rPr>
          <w:lang w:val="es-MX"/>
        </w:rPr>
        <w:t xml:space="preserve"> su crecimiento justificaría según el patrón del universo — es decir, están </w:t>
      </w:r>
      <w:r w:rsidRPr="00AA205B">
        <w:rPr>
          <w:b/>
          <w:bCs/>
          <w:lang w:val="es-MX"/>
        </w:rPr>
        <w:t>relativamente caras</w:t>
      </w:r>
      <w:r w:rsidRPr="00AA205B">
        <w:rPr>
          <w:lang w:val="es-MX"/>
        </w:rPr>
        <w:t xml:space="preserve">. Los puntos </w:t>
      </w:r>
      <w:r w:rsidRPr="00AA205B">
        <w:rPr>
          <w:b/>
          <w:bCs/>
          <w:lang w:val="es-MX"/>
        </w:rPr>
        <w:t>bajo la recta</w:t>
      </w:r>
      <w:r w:rsidRPr="00AA205B">
        <w:rPr>
          <w:lang w:val="es-MX"/>
        </w:rPr>
        <w:t xml:space="preserve"> son candidatos a estar </w:t>
      </w:r>
      <w:r w:rsidRPr="00AA205B">
        <w:rPr>
          <w:b/>
          <w:bCs/>
          <w:lang w:val="es-MX"/>
        </w:rPr>
        <w:t>relativamente baratas</w:t>
      </w:r>
      <w:r w:rsidRPr="00AA205B">
        <w:rPr>
          <w:lang w:val="es-MX"/>
        </w:rPr>
        <w:t>. Las empresas de tu cartera aparecen en teal con borde navy y etiqueta para que sea fácil ubicarlas de un vistazo.</w:t>
      </w:r>
    </w:p>
    <w:p w:rsidR="00961256" w:rsidRPr="00AA205B" w:rsidRDefault="00CB25D9">
      <w:pPr>
        <w:spacing w:after="120"/>
        <w:jc w:val="both"/>
        <w:rPr>
          <w:lang w:val="es-MX"/>
        </w:rPr>
      </w:pPr>
      <w:r w:rsidRPr="00AA205B">
        <w:rPr>
          <w:b/>
          <w:bCs/>
          <w:lang w:val="es-MX"/>
        </w:rPr>
        <w:t xml:space="preserve">Advertencia honesta: </w:t>
      </w:r>
      <w:r w:rsidRPr="00AA205B">
        <w:rPr>
          <w:lang w:val="es-MX"/>
        </w:rPr>
        <w:t xml:space="preserve">el proxy de crecimiento que usamos es la variación a 12 meses del EPS forward NTM (el campo BEST_EPS de Bloomberg). En empresas mineras con utilidades cíclicas, este número puede reflejar más un rebote desde un piso bajo que un crecimiento estructural. El </w:t>
      </w:r>
      <w:r w:rsidRPr="00AA205B">
        <w:rPr>
          <w:lang w:val="es-MX"/>
        </w:rPr>
        <w:t>R² del ajuste es bajo (~0.01), lo que significa que en este universo y con estos datos, la relación no es muy lineal. El panel es más útil para identificar outliers claros que para hacer un ranking preciso.</w:t>
      </w:r>
    </w:p>
    <w:p w:rsidR="00961256" w:rsidRPr="00AA205B" w:rsidRDefault="00961256">
      <w:pPr>
        <w:spacing w:before="80"/>
        <w:rPr>
          <w:lang w:val="es-MX"/>
        </w:rPr>
      </w:pPr>
    </w:p>
    <w:p w:rsidR="00961256" w:rsidRDefault="00CB25D9">
      <w:pPr>
        <w:pStyle w:val="Ttulo2"/>
      </w:pPr>
      <w:r>
        <w:t>Panel 03  ·  P/B forward vs ROE</w:t>
      </w:r>
    </w:p>
    <w:p w:rsidR="00961256" w:rsidRPr="00AA205B" w:rsidRDefault="00CB25D9">
      <w:pPr>
        <w:spacing w:after="120"/>
        <w:jc w:val="both"/>
        <w:rPr>
          <w:lang w:val="es-MX"/>
        </w:rPr>
      </w:pPr>
      <w:r w:rsidRPr="00AA205B">
        <w:rPr>
          <w:b/>
          <w:bCs/>
          <w:lang w:val="es-MX"/>
        </w:rPr>
        <w:lastRenderedPageBreak/>
        <w:t>La idea detrás d</w:t>
      </w:r>
      <w:r w:rsidRPr="00AA205B">
        <w:rPr>
          <w:b/>
          <w:bCs/>
          <w:lang w:val="es-MX"/>
        </w:rPr>
        <w:t xml:space="preserve">el gráfico: </w:t>
      </w:r>
      <w:r w:rsidRPr="00AA205B">
        <w:rPr>
          <w:lang w:val="es-MX"/>
        </w:rPr>
        <w:t>el P/B (precio sobre valor libro) mide cuánto paga el mercado por cada sol de patrimonio contable de la empresa. La teoría — demostrada empíricamente por Aswath Damodaran y recogida en el paper de Hu-Sy-Wu — dice que ese precio debe ser proporc</w:t>
      </w:r>
      <w:r w:rsidRPr="00AA205B">
        <w:rPr>
          <w:lang w:val="es-MX"/>
        </w:rPr>
        <w:t>ional al ROE (retorno sobre patrimonio): si una empresa genera un 25% de rentabilidad sobre su capital, merece que el mercado pague más de 1x su libro que una que solo genera 8%.</w:t>
      </w:r>
    </w:p>
    <w:p w:rsidR="00961256" w:rsidRPr="00AA205B" w:rsidRDefault="00CB25D9">
      <w:pPr>
        <w:spacing w:after="120"/>
        <w:jc w:val="both"/>
        <w:rPr>
          <w:lang w:val="es-MX"/>
        </w:rPr>
      </w:pPr>
      <w:r w:rsidRPr="00AA205B">
        <w:rPr>
          <w:lang w:val="es-MX"/>
        </w:rPr>
        <w:t xml:space="preserve">El truco elegante de este panel es que el </w:t>
      </w:r>
      <w:r w:rsidRPr="00AA205B">
        <w:rPr>
          <w:b/>
          <w:bCs/>
          <w:lang w:val="es-MX"/>
        </w:rPr>
        <w:t>ROE no se necesita de una fuente se</w:t>
      </w:r>
      <w:r w:rsidRPr="00AA205B">
        <w:rPr>
          <w:b/>
          <w:bCs/>
          <w:lang w:val="es-MX"/>
        </w:rPr>
        <w:t>parada</w:t>
      </w:r>
      <w:r w:rsidRPr="00AA205B">
        <w:rPr>
          <w:lang w:val="es-MX"/>
        </w:rPr>
        <w:t xml:space="preserve">: se calcula directo de los mismos múltiplos forward, porque </w:t>
      </w:r>
      <w:r w:rsidRPr="00AA205B">
        <w:rPr>
          <w:b/>
          <w:bCs/>
          <w:lang w:val="es-MX"/>
        </w:rPr>
        <w:t>ROE = Fwd_PB / Fwd_PE</w:t>
      </w:r>
      <w:r w:rsidRPr="00AA205B">
        <w:rPr>
          <w:lang w:val="es-MX"/>
        </w:rPr>
        <w:t xml:space="preserve"> (precio/libro dividido entre precio/utilidad = utilidad/libro, que es exactamente el ROE). Esto significa que el panel es 100% autocontenido con los datos de Bloomberg</w:t>
      </w:r>
      <w:r w:rsidRPr="00AA205B">
        <w:rPr>
          <w:lang w:val="es-MX"/>
        </w:rPr>
        <w:t>, sin necesidad del bloque de fundamentales de Capital IQ (que en el archivo forward está vacío).</w:t>
      </w:r>
    </w:p>
    <w:p w:rsidR="00961256" w:rsidRPr="00AA205B" w:rsidRDefault="00CB25D9">
      <w:pPr>
        <w:spacing w:after="120"/>
        <w:jc w:val="both"/>
        <w:rPr>
          <w:lang w:val="es-MX"/>
        </w:rPr>
      </w:pPr>
      <w:r w:rsidRPr="00AA205B">
        <w:rPr>
          <w:lang w:val="es-MX"/>
        </w:rPr>
        <w:t xml:space="preserve">El R² de este ajuste es </w:t>
      </w:r>
      <w:r w:rsidRPr="00AA205B">
        <w:rPr>
          <w:b/>
          <w:bCs/>
          <w:lang w:val="es-MX"/>
        </w:rPr>
        <w:t>0.41</w:t>
      </w:r>
      <w:r w:rsidRPr="00AA205B">
        <w:rPr>
          <w:lang w:val="es-MX"/>
        </w:rPr>
        <w:t xml:space="preserve"> — sensiblemente más alto que el del panel anterior — lo que valida la relación. Credicorp aparece </w:t>
      </w:r>
      <w:r w:rsidRPr="00AA205B">
        <w:rPr>
          <w:b/>
          <w:bCs/>
          <w:lang w:val="es-MX"/>
        </w:rPr>
        <w:t>bajo la recta</w:t>
      </w:r>
      <w:r w:rsidRPr="00AA205B">
        <w:rPr>
          <w:lang w:val="es-MX"/>
        </w:rPr>
        <w:t xml:space="preserve"> (barato para su R</w:t>
      </w:r>
      <w:r w:rsidRPr="00AA205B">
        <w:rPr>
          <w:lang w:val="es-MX"/>
        </w:rPr>
        <w:t xml:space="preserve">OE), Pacasmayo </w:t>
      </w:r>
      <w:r w:rsidRPr="00AA205B">
        <w:rPr>
          <w:b/>
          <w:bCs/>
          <w:lang w:val="es-MX"/>
        </w:rPr>
        <w:t>sobre la recta</w:t>
      </w:r>
      <w:r w:rsidRPr="00AA205B">
        <w:rPr>
          <w:lang w:val="es-MX"/>
        </w:rPr>
        <w:t xml:space="preserve"> (caro para su ROE) — resultados que tienen sentido dado el contexto sectorial. El panel es especialmente informativo para financieras, donde P/B y ROE son las métricas de valoración canónicas.</w:t>
      </w:r>
    </w:p>
    <w:p w:rsidR="00961256" w:rsidRPr="00AA205B" w:rsidRDefault="00961256">
      <w:pPr>
        <w:spacing w:before="80"/>
        <w:rPr>
          <w:lang w:val="es-MX"/>
        </w:rPr>
      </w:pPr>
    </w:p>
    <w:p w:rsidR="00961256" w:rsidRPr="00AA205B" w:rsidRDefault="00CB25D9">
      <w:pPr>
        <w:pStyle w:val="Ttulo2"/>
        <w:rPr>
          <w:lang w:val="es-MX"/>
        </w:rPr>
      </w:pPr>
      <w:r w:rsidRPr="00AA205B">
        <w:rPr>
          <w:lang w:val="es-MX"/>
        </w:rPr>
        <w:t xml:space="preserve">Panel 04  ·  Revisiones del EPS </w:t>
      </w:r>
      <w:r w:rsidRPr="00AA205B">
        <w:rPr>
          <w:lang w:val="es-MX"/>
        </w:rPr>
        <w:t>forward</w:t>
      </w:r>
    </w:p>
    <w:p w:rsidR="00961256" w:rsidRPr="00AA205B" w:rsidRDefault="00CB25D9">
      <w:pPr>
        <w:spacing w:after="120"/>
        <w:jc w:val="both"/>
        <w:rPr>
          <w:lang w:val="es-MX"/>
        </w:rPr>
      </w:pPr>
      <w:r w:rsidRPr="00AA205B">
        <w:rPr>
          <w:b/>
          <w:bCs/>
          <w:lang w:val="es-MX"/>
        </w:rPr>
        <w:t xml:space="preserve">La idea detrás del gráfico: </w:t>
      </w:r>
      <w:r w:rsidRPr="00AA205B">
        <w:rPr>
          <w:lang w:val="es-MX"/>
        </w:rPr>
        <w:t xml:space="preserve">que una acción tenga un P/E bajo no significa que sea barata — puede ser un </w:t>
      </w:r>
      <w:r w:rsidRPr="00AA205B">
        <w:rPr>
          <w:i/>
          <w:iCs/>
          <w:color w:val="7E8083"/>
          <w:lang w:val="es-MX"/>
        </w:rPr>
        <w:t>value trap</w:t>
      </w:r>
      <w:r w:rsidRPr="00AA205B">
        <w:rPr>
          <w:lang w:val="es-MX"/>
        </w:rPr>
        <w:t>, una empresa que parece barata pero lo es porque sus utilidades esperadas están cayendo. Las revisiones de EPS miden exactamente eso:</w:t>
      </w:r>
      <w:r w:rsidRPr="00AA205B">
        <w:rPr>
          <w:lang w:val="es-MX"/>
        </w:rPr>
        <w:t xml:space="preserve"> si el consenso de analistas está subiendo o bajando sus estimados de utilidades para los próximos doce meses.</w:t>
      </w:r>
    </w:p>
    <w:p w:rsidR="00961256" w:rsidRPr="00AA205B" w:rsidRDefault="00CB25D9">
      <w:pPr>
        <w:spacing w:after="120"/>
        <w:jc w:val="both"/>
        <w:rPr>
          <w:lang w:val="es-MX"/>
        </w:rPr>
      </w:pPr>
      <w:r w:rsidRPr="00AA205B">
        <w:rPr>
          <w:lang w:val="es-MX"/>
        </w:rPr>
        <w:t>Las barras verdes (hacia la derecha) significan que los analistas están revisando al alza — el motor del múltiplo está mejorando. Las barras roja</w:t>
      </w:r>
      <w:r w:rsidRPr="00AA205B">
        <w:rPr>
          <w:lang w:val="es-MX"/>
        </w:rPr>
        <w:t>s (hacia la izquierda) significan que están recortando estimados — antes de concluir que algo 'está barato', hay que preguntarse si es porque el mercado ya anticipó que las utilidades caerán.</w:t>
      </w:r>
    </w:p>
    <w:p w:rsidR="00961256" w:rsidRPr="00AA205B" w:rsidRDefault="00CB25D9">
      <w:pPr>
        <w:spacing w:after="120"/>
        <w:jc w:val="both"/>
        <w:rPr>
          <w:lang w:val="es-MX"/>
        </w:rPr>
      </w:pPr>
      <w:r w:rsidRPr="00AA205B">
        <w:rPr>
          <w:lang w:val="es-MX"/>
        </w:rPr>
        <w:t>Las barras se muestran a 3 meses por defecto (la señal más balan</w:t>
      </w:r>
      <w:r w:rsidRPr="00AA205B">
        <w:rPr>
          <w:lang w:val="es-MX"/>
        </w:rPr>
        <w:t xml:space="preserve">ceada entre ruido de corto plazo y rezago de largo plazo). Al pasar el cursor sobre cada barra se ven también las revisiones a 1 y 6 meses. Las barras están </w:t>
      </w:r>
      <w:r w:rsidRPr="00AA205B">
        <w:rPr>
          <w:b/>
          <w:bCs/>
          <w:lang w:val="es-MX"/>
        </w:rPr>
        <w:t>recortadas a ±50%</w:t>
      </w:r>
      <w:r w:rsidRPr="00AA205B">
        <w:rPr>
          <w:lang w:val="es-MX"/>
        </w:rPr>
        <w:t xml:space="preserve"> en pantalla — si una empresa tiene una revisión mayor (como Pacasmayo con +158%, </w:t>
      </w:r>
      <w:r w:rsidRPr="00AA205B">
        <w:rPr>
          <w:lang w:val="es-MX"/>
        </w:rPr>
        <w:t>producto de utilidades que rebotaron desde una base casi cero), el valor real aparece en el tooltip aunque la barra no llegue al extremo.</w:t>
      </w:r>
    </w:p>
    <w:p w:rsidR="00961256" w:rsidRPr="00AA205B" w:rsidRDefault="00961256">
      <w:pPr>
        <w:spacing w:before="80"/>
        <w:rPr>
          <w:lang w:val="es-MX"/>
        </w:rPr>
      </w:pPr>
    </w:p>
    <w:p w:rsidR="00961256" w:rsidRPr="00AA205B" w:rsidRDefault="00CB25D9">
      <w:pPr>
        <w:pStyle w:val="Ttulo2"/>
        <w:rPr>
          <w:lang w:val="es-MX"/>
        </w:rPr>
      </w:pPr>
      <w:r w:rsidRPr="00AA205B">
        <w:rPr>
          <w:lang w:val="es-MX"/>
        </w:rPr>
        <w:t>Panel 05  ·  Múltiplo forward vs variable fundamental</w:t>
      </w:r>
    </w:p>
    <w:p w:rsidR="00961256" w:rsidRPr="00AA205B" w:rsidRDefault="00CB25D9">
      <w:pPr>
        <w:spacing w:after="120"/>
        <w:jc w:val="both"/>
        <w:rPr>
          <w:lang w:val="es-MX"/>
        </w:rPr>
      </w:pPr>
      <w:r w:rsidRPr="00AA205B">
        <w:rPr>
          <w:lang w:val="es-MX"/>
        </w:rPr>
        <w:t xml:space="preserve">Este es el panel más analítico del dashboard, y el que conecta </w:t>
      </w:r>
      <w:r w:rsidRPr="00AA205B">
        <w:rPr>
          <w:lang w:val="es-MX"/>
        </w:rPr>
        <w:t>el mundo de la valoración de mercado con el mundo real de la operación de cada empresa. Permite superponer en el mismo gráfico (con dos ejes Y) un múltiplo forward de la empresa elegida contra una variable fundamental del mismo sector:</w:t>
      </w:r>
    </w:p>
    <w:p w:rsidR="00961256" w:rsidRPr="00AA205B" w:rsidRDefault="00CB25D9">
      <w:pPr>
        <w:pStyle w:val="Prrafodelista"/>
        <w:numPr>
          <w:ilvl w:val="0"/>
          <w:numId w:val="3"/>
        </w:numPr>
        <w:spacing w:after="80"/>
        <w:rPr>
          <w:lang w:val="es-MX"/>
        </w:rPr>
      </w:pPr>
      <w:r w:rsidRPr="00AA205B">
        <w:rPr>
          <w:lang w:val="es-MX"/>
        </w:rPr>
        <w:t>Para empresas minera</w:t>
      </w:r>
      <w:r w:rsidRPr="00AA205B">
        <w:rPr>
          <w:lang w:val="es-MX"/>
        </w:rPr>
        <w:t>s: producción de su metal principal (cobre para Cerro Verde, oro para Buenaventura, zinc para Volcan o Nexa Perú, estaño para Minsur), inversión minera nacional, o producción nacional de cobre.</w:t>
      </w:r>
    </w:p>
    <w:p w:rsidR="00961256" w:rsidRPr="00AA205B" w:rsidRDefault="00CB25D9">
      <w:pPr>
        <w:pStyle w:val="Prrafodelista"/>
        <w:numPr>
          <w:ilvl w:val="0"/>
          <w:numId w:val="3"/>
        </w:numPr>
        <w:spacing w:after="80"/>
        <w:rPr>
          <w:lang w:val="es-MX"/>
        </w:rPr>
      </w:pPr>
      <w:r w:rsidRPr="00AA205B">
        <w:rPr>
          <w:lang w:val="es-MX"/>
        </w:rPr>
        <w:t>Para bancos: NIM (margen de interés neto) y ROE del banco.</w:t>
      </w:r>
    </w:p>
    <w:p w:rsidR="00961256" w:rsidRPr="00AA205B" w:rsidRDefault="00CB25D9">
      <w:pPr>
        <w:pStyle w:val="Prrafodelista"/>
        <w:numPr>
          <w:ilvl w:val="0"/>
          <w:numId w:val="3"/>
        </w:numPr>
        <w:spacing w:after="80"/>
        <w:rPr>
          <w:lang w:val="es-MX"/>
        </w:rPr>
      </w:pPr>
      <w:r w:rsidRPr="00AA205B">
        <w:rPr>
          <w:lang w:val="es-MX"/>
        </w:rPr>
        <w:t>Par</w:t>
      </w:r>
      <w:r w:rsidRPr="00AA205B">
        <w:rPr>
          <w:lang w:val="es-MX"/>
        </w:rPr>
        <w:t>a cementeras: volumen de despachos de cemento (miles de toneladas), que es el indicador de demanda más directo para estas empresas.</w:t>
      </w:r>
    </w:p>
    <w:p w:rsidR="00961256" w:rsidRPr="00AA205B" w:rsidRDefault="00961256">
      <w:pPr>
        <w:spacing w:before="60"/>
        <w:rPr>
          <w:lang w:val="es-MX"/>
        </w:rPr>
      </w:pPr>
    </w:p>
    <w:p w:rsidR="00961256" w:rsidRPr="00AA205B" w:rsidRDefault="00CB25D9">
      <w:pPr>
        <w:spacing w:after="120"/>
        <w:jc w:val="both"/>
        <w:rPr>
          <w:lang w:val="es-MX"/>
        </w:rPr>
      </w:pPr>
      <w:r w:rsidRPr="00AA205B">
        <w:rPr>
          <w:b/>
          <w:bCs/>
          <w:lang w:val="es-MX"/>
        </w:rPr>
        <w:lastRenderedPageBreak/>
        <w:t xml:space="preserve">Valor para el comité: </w:t>
      </w:r>
      <w:r w:rsidRPr="00AA205B">
        <w:rPr>
          <w:lang w:val="es-MX"/>
        </w:rPr>
        <w:t>este gráfico permite detectar divergencias. Si el EV/EBITDA de Cerro Verde sube mientras la producció</w:t>
      </w:r>
      <w:r w:rsidRPr="00AA205B">
        <w:rPr>
          <w:lang w:val="es-MX"/>
        </w:rPr>
        <w:t>n de cobre cae, o si el P/E de Credicorp sube mientras el NIM se comprime, el mercado está pagando más por resultados que se están deteriorando. Esa divergencia es una señal de alerta. A la inversa, si el múltiplo está deprimido pero la variable fundamenta</w:t>
      </w:r>
      <w:r w:rsidRPr="00AA205B">
        <w:rPr>
          <w:lang w:val="es-MX"/>
        </w:rPr>
        <w:t>l está mejorando, puede ser una oportunidad.</w:t>
      </w:r>
    </w:p>
    <w:p w:rsidR="00961256" w:rsidRPr="00AA205B" w:rsidRDefault="00CB25D9">
      <w:pPr>
        <w:spacing w:after="120"/>
        <w:jc w:val="both"/>
        <w:rPr>
          <w:lang w:val="es-MX"/>
        </w:rPr>
      </w:pPr>
      <w:r w:rsidRPr="00AA205B">
        <w:rPr>
          <w:lang w:val="es-MX"/>
        </w:rPr>
        <w:t>El eje izquierdo es siempre el múltiplo forward (línea navy). El eje derecho es siempre la variable fundamental (línea teal con marcadores para resaltar que la frecuencia es mensual o trimestral, no diaria). Amb</w:t>
      </w:r>
      <w:r w:rsidRPr="00AA205B">
        <w:rPr>
          <w:lang w:val="es-MX"/>
        </w:rPr>
        <w:t>os ejes se escalan de forma independiente para que las tendencias sean comparables visualmente.</w:t>
      </w:r>
    </w:p>
    <w:p w:rsidR="00961256" w:rsidRPr="00AA205B" w:rsidRDefault="00961256">
      <w:pPr>
        <w:spacing w:before="80"/>
        <w:rPr>
          <w:lang w:val="es-MX"/>
        </w:rPr>
      </w:pPr>
    </w:p>
    <w:p w:rsidR="00961256" w:rsidRPr="00AA205B" w:rsidRDefault="00CB25D9">
      <w:pPr>
        <w:pStyle w:val="Ttulo2"/>
        <w:rPr>
          <w:lang w:val="es-MX"/>
        </w:rPr>
      </w:pPr>
      <w:r w:rsidRPr="00AA205B">
        <w:rPr>
          <w:lang w:val="es-MX"/>
        </w:rPr>
        <w:t>Panel 06  ·  Salud del dato</w:t>
      </w:r>
    </w:p>
    <w:p w:rsidR="00961256" w:rsidRPr="00AA205B" w:rsidRDefault="00CB25D9">
      <w:pPr>
        <w:spacing w:after="120"/>
        <w:jc w:val="both"/>
        <w:rPr>
          <w:lang w:val="es-MX"/>
        </w:rPr>
      </w:pPr>
      <w:r w:rsidRPr="00AA205B">
        <w:rPr>
          <w:b/>
          <w:bCs/>
          <w:lang w:val="es-MX"/>
        </w:rPr>
        <w:t xml:space="preserve">¿Por qué está al final? </w:t>
      </w:r>
      <w:r w:rsidRPr="00AA205B">
        <w:rPr>
          <w:lang w:val="es-MX"/>
        </w:rPr>
        <w:t>Porque es el panel de 'fine print': importante de saber, pero no el punto de partida de la conversación. En</w:t>
      </w:r>
      <w:r w:rsidRPr="00AA205B">
        <w:rPr>
          <w:lang w:val="es-MX"/>
        </w:rPr>
        <w:t xml:space="preserve"> el comité lo que importa es la conclusión de valoración; la calidad del dato es el disclaimer de rigor.</w:t>
      </w:r>
    </w:p>
    <w:p w:rsidR="00961256" w:rsidRPr="00AA205B" w:rsidRDefault="00CB25D9">
      <w:pPr>
        <w:spacing w:after="120"/>
        <w:jc w:val="both"/>
        <w:rPr>
          <w:lang w:val="es-MX"/>
        </w:rPr>
      </w:pPr>
      <w:r w:rsidRPr="00AA205B">
        <w:rPr>
          <w:lang w:val="es-MX"/>
        </w:rPr>
        <w:t xml:space="preserve">El panel tiene dos vistas. La izquierda es un gráfico de barras apiladas que muestra, para cada uno de los cinco múltiplos forward, cuántas de las 171 series del universo tienen historia suficiente (&gt;=2 años, verde oscuro), historia aceptable (desde 2025, </w:t>
      </w:r>
      <w:r w:rsidRPr="00AA205B">
        <w:rPr>
          <w:lang w:val="es-MX"/>
        </w:rPr>
        <w:t>teal), historia con huecos, historia insuficiente, o simplemente no tienen dato.</w:t>
      </w:r>
    </w:p>
    <w:p w:rsidR="00961256" w:rsidRPr="00AA205B" w:rsidRDefault="00CB25D9">
      <w:pPr>
        <w:spacing w:after="120"/>
        <w:jc w:val="both"/>
        <w:rPr>
          <w:lang w:val="es-MX"/>
        </w:rPr>
      </w:pPr>
      <w:r w:rsidRPr="00AA205B">
        <w:rPr>
          <w:lang w:val="es-MX"/>
        </w:rPr>
        <w:t>El resultado más relevante que muestra este panel: el forward P/B (Fwd_PB) solo tiene dato útil para aproximadamente el 29% del universo. Los analistas sell-side casi no estim</w:t>
      </w:r>
      <w:r w:rsidRPr="00AA205B">
        <w:rPr>
          <w:lang w:val="es-MX"/>
        </w:rPr>
        <w:t>an el valor libro por acción futuro, excepto para bancos. Esto justifica la decisión de diseño de no usar P/B como el múltiplo primario del dashboard fuera de financieras.</w:t>
      </w:r>
    </w:p>
    <w:p w:rsidR="00961256" w:rsidRPr="00AA205B" w:rsidRDefault="00CB25D9">
      <w:pPr>
        <w:spacing w:after="120"/>
        <w:jc w:val="both"/>
        <w:rPr>
          <w:lang w:val="es-MX"/>
        </w:rPr>
      </w:pPr>
      <w:r w:rsidRPr="00AA205B">
        <w:rPr>
          <w:lang w:val="es-MX"/>
        </w:rPr>
        <w:t>La vista derecha es un heatmap que muestra solo los nombres de tu cartera: cuál de t</w:t>
      </w:r>
      <w:r w:rsidRPr="00AA205B">
        <w:rPr>
          <w:lang w:val="es-MX"/>
        </w:rPr>
        <w:t>us holdings tiene dato confiable en cada métrica, y cuál no. Si una celda está gris, esa métrica para ese nombre no es de fiar, y el analista debe tenerlo en cuenta al leer los otros paneles.</w:t>
      </w:r>
    </w:p>
    <w:p w:rsidR="00961256" w:rsidRPr="00AA205B" w:rsidRDefault="00961256">
      <w:pPr>
        <w:spacing w:before="120"/>
        <w:rPr>
          <w:lang w:val="es-MX"/>
        </w:rPr>
      </w:pPr>
    </w:p>
    <w:p w:rsidR="00961256" w:rsidRPr="00AA205B" w:rsidRDefault="00CB25D9">
      <w:pPr>
        <w:rPr>
          <w:lang w:val="es-MX"/>
        </w:rPr>
      </w:pPr>
      <w:r w:rsidRPr="00AA205B">
        <w:rPr>
          <w:lang w:val="es-MX"/>
        </w:rPr>
        <w:br w:type="page"/>
      </w:r>
    </w:p>
    <w:p w:rsidR="00961256" w:rsidRPr="00AA205B" w:rsidRDefault="00CB25D9">
      <w:pPr>
        <w:pStyle w:val="Ttulo1"/>
        <w:pBdr>
          <w:bottom w:val="single" w:sz="8" w:space="4" w:color="00AECB"/>
        </w:pBdr>
        <w:rPr>
          <w:lang w:val="es-MX"/>
        </w:rPr>
      </w:pPr>
      <w:r w:rsidRPr="00AA205B">
        <w:rPr>
          <w:lang w:val="es-MX"/>
        </w:rPr>
        <w:lastRenderedPageBreak/>
        <w:t>5.  Por qué estas métricas — el respaldo académico</w:t>
      </w:r>
    </w:p>
    <w:p w:rsidR="00961256" w:rsidRPr="00AA205B" w:rsidRDefault="00CB25D9">
      <w:pPr>
        <w:spacing w:after="120"/>
        <w:jc w:val="both"/>
        <w:rPr>
          <w:lang w:val="es-MX"/>
        </w:rPr>
      </w:pPr>
      <w:r w:rsidRPr="00AA205B">
        <w:rPr>
          <w:lang w:val="es-MX"/>
        </w:rPr>
        <w:t>El dashboard no está diseñado por intuición sino por evidencia. Estos son los pilares teóricos de cada decisión:</w:t>
      </w:r>
    </w:p>
    <w:p w:rsidR="00961256" w:rsidRPr="00AA205B" w:rsidRDefault="00961256">
      <w:pPr>
        <w:spacing w:before="80"/>
        <w:rPr>
          <w:lang w:val="es-MX"/>
        </w:rPr>
      </w:pPr>
    </w:p>
    <w:p w:rsidR="00961256" w:rsidRPr="00AA205B" w:rsidRDefault="00CB25D9">
      <w:pPr>
        <w:pStyle w:val="Ttulo3"/>
        <w:rPr>
          <w:lang w:val="es-MX"/>
        </w:rPr>
      </w:pPr>
      <w:r w:rsidRPr="00AA205B">
        <w:rPr>
          <w:lang w:val="es-MX"/>
        </w:rPr>
        <w:t>¿Por qué forward y no trailing?</w:t>
      </w:r>
    </w:p>
    <w:p w:rsidR="00961256" w:rsidRPr="00AA205B" w:rsidRDefault="00CB25D9">
      <w:pPr>
        <w:spacing w:after="120"/>
        <w:jc w:val="both"/>
        <w:rPr>
          <w:lang w:val="es-MX"/>
        </w:rPr>
      </w:pPr>
      <w:r w:rsidRPr="00AA205B">
        <w:rPr>
          <w:lang w:val="es-MX"/>
        </w:rPr>
        <w:t>Kenton Yee (2004, The Accounting Review) demostró que el P/E forward contiene más información sobre el valor f</w:t>
      </w:r>
      <w:r w:rsidRPr="00AA205B">
        <w:rPr>
          <w:lang w:val="es-MX"/>
        </w:rPr>
        <w:t>undamental de una empresa que el P/E trailing, porque los analistas incorporan expectativas que el mercado aún está procesando. El paper de 'Forward vs Trailing P/E' (Predicting Future Growth, subido como referencia) refuerza este punto: los earnings forwa</w:t>
      </w:r>
      <w:r w:rsidRPr="00AA205B">
        <w:rPr>
          <w:lang w:val="es-MX"/>
        </w:rPr>
        <w:t>rd son un mejor predictor del valor futuro que los históricos, aunque vienen con el sesgo sistemático de que los analistas tienden a ser optimistas.</w:t>
      </w:r>
    </w:p>
    <w:p w:rsidR="00961256" w:rsidRPr="00AA205B" w:rsidRDefault="00961256">
      <w:pPr>
        <w:spacing w:before="60"/>
        <w:rPr>
          <w:lang w:val="es-MX"/>
        </w:rPr>
      </w:pPr>
    </w:p>
    <w:p w:rsidR="00961256" w:rsidRPr="00AA205B" w:rsidRDefault="00CB25D9">
      <w:pPr>
        <w:pStyle w:val="Ttulo3"/>
        <w:rPr>
          <w:lang w:val="es-MX"/>
        </w:rPr>
      </w:pPr>
      <w:r w:rsidRPr="00AA205B">
        <w:rPr>
          <w:lang w:val="es-MX"/>
        </w:rPr>
        <w:t>¿Por qué el corte transversal y no la serie de tiempo?</w:t>
      </w:r>
    </w:p>
    <w:p w:rsidR="00961256" w:rsidRPr="00AA205B" w:rsidRDefault="00CB25D9">
      <w:pPr>
        <w:spacing w:after="120"/>
        <w:jc w:val="both"/>
        <w:rPr>
          <w:lang w:val="es-MX"/>
        </w:rPr>
      </w:pPr>
      <w:r w:rsidRPr="00AA205B">
        <w:rPr>
          <w:lang w:val="es-MX"/>
        </w:rPr>
        <w:t>Con solo ~2.4 años de datos de Bloomberg disponible</w:t>
      </w:r>
      <w:r w:rsidRPr="00AA205B">
        <w:rPr>
          <w:lang w:val="es-MX"/>
        </w:rPr>
        <w:t>s, los z-scores rolling de largo plazo (1, 3, 5, 10 años como en ZODA) son estadísticamente inviables. En cambio, tenemos 171 empresas al mismo tiempo — eso es un panel rico para análisis de sección transversal. Hu, Sy y Wu ('A Factor Model of Company Rela</w:t>
      </w:r>
      <w:r w:rsidRPr="00AA205B">
        <w:rPr>
          <w:lang w:val="es-MX"/>
        </w:rPr>
        <w:t>tive Valuation') muestran que el universo amplio es el laboratorio estadístico; la cartera es donde se aplican las conclusiones. Los paneles 2 y 3 explotan exactamente esto.</w:t>
      </w:r>
    </w:p>
    <w:p w:rsidR="00961256" w:rsidRPr="00AA205B" w:rsidRDefault="00961256">
      <w:pPr>
        <w:spacing w:before="60"/>
        <w:rPr>
          <w:lang w:val="es-MX"/>
        </w:rPr>
      </w:pPr>
    </w:p>
    <w:p w:rsidR="00961256" w:rsidRPr="00AA205B" w:rsidRDefault="00CB25D9">
      <w:pPr>
        <w:pStyle w:val="Ttulo3"/>
        <w:rPr>
          <w:lang w:val="es-MX"/>
        </w:rPr>
      </w:pPr>
      <w:r w:rsidRPr="00AA205B">
        <w:rPr>
          <w:lang w:val="es-MX"/>
        </w:rPr>
        <w:t>¿Por qué P/B vs ROE y no solo el P/B?</w:t>
      </w:r>
    </w:p>
    <w:p w:rsidR="00961256" w:rsidRPr="00AA205B" w:rsidRDefault="00CB25D9">
      <w:pPr>
        <w:spacing w:after="120"/>
        <w:jc w:val="both"/>
        <w:rPr>
          <w:lang w:val="es-MX"/>
        </w:rPr>
      </w:pPr>
      <w:r w:rsidRPr="00AA205B">
        <w:rPr>
          <w:lang w:val="es-MX"/>
        </w:rPr>
        <w:t>Damodaran establece (Damodaran on Valuation</w:t>
      </w:r>
      <w:r w:rsidRPr="00AA205B">
        <w:rPr>
          <w:lang w:val="es-MX"/>
        </w:rPr>
        <w:t>, capítulo de comparables) que el P/B solo tiene sentido comparado contra la rentabilidad que genera ese libro: si no controlas por ROE, comparar el P/B de un banco eficiente con uno ineficiente es comparar cosas distintas. La recta de ajuste del panel 3 e</w:t>
      </w:r>
      <w:r w:rsidRPr="00AA205B">
        <w:rPr>
          <w:lang w:val="es-MX"/>
        </w:rPr>
        <w:t>s exactamente la 'PBV line' de Damodaran: la pendiente dice cuántos múltiplos de libro el mercado paga por cada punto de ROE en este universo en este momento.</w:t>
      </w:r>
    </w:p>
    <w:p w:rsidR="00961256" w:rsidRPr="00AA205B" w:rsidRDefault="00961256">
      <w:pPr>
        <w:spacing w:before="60"/>
        <w:rPr>
          <w:lang w:val="es-MX"/>
        </w:rPr>
      </w:pPr>
    </w:p>
    <w:p w:rsidR="00961256" w:rsidRPr="00AA205B" w:rsidRDefault="00CB25D9">
      <w:pPr>
        <w:pStyle w:val="Ttulo3"/>
        <w:rPr>
          <w:lang w:val="es-MX"/>
        </w:rPr>
      </w:pPr>
      <w:r w:rsidRPr="00AA205B">
        <w:rPr>
          <w:lang w:val="es-MX"/>
        </w:rPr>
        <w:t>¿Por qué revisiones de EPS?</w:t>
      </w:r>
    </w:p>
    <w:p w:rsidR="00961256" w:rsidRPr="00AA205B" w:rsidRDefault="00CB25D9">
      <w:pPr>
        <w:spacing w:after="120"/>
        <w:jc w:val="both"/>
        <w:rPr>
          <w:lang w:val="es-MX"/>
        </w:rPr>
      </w:pPr>
      <w:r w:rsidRPr="00AA205B">
        <w:rPr>
          <w:lang w:val="es-MX"/>
        </w:rPr>
        <w:t>El paper 'Momentum' de Jegadeesh y Titman (1993) y el trabajo poster</w:t>
      </w:r>
      <w:r w:rsidRPr="00AA205B">
        <w:rPr>
          <w:lang w:val="es-MX"/>
        </w:rPr>
        <w:t>ior de Chan, Jegadeesh y Lakonishok (1996) sobre earnings momentum establecen que las revisiones al alza del consenso de analistas predicen retornos positivos en los meses siguientes. Esto no es magia: refleja que los analistas tienden a actualizar sus mod</w:t>
      </w:r>
      <w:r w:rsidRPr="00AA205B">
        <w:rPr>
          <w:lang w:val="es-MX"/>
        </w:rPr>
        <w:t>elos gradualmente, por lo que una revisión al alza hoy suele ser seguida de más revisiones al alza. El panel 4 captura la dirección de ese viento antes de que se refleje completamente en el precio.</w:t>
      </w:r>
    </w:p>
    <w:p w:rsidR="00961256" w:rsidRPr="00AA205B" w:rsidRDefault="00961256">
      <w:pPr>
        <w:spacing w:before="60"/>
        <w:rPr>
          <w:lang w:val="es-MX"/>
        </w:rPr>
      </w:pPr>
    </w:p>
    <w:p w:rsidR="00961256" w:rsidRPr="00AA205B" w:rsidRDefault="00CB25D9">
      <w:pPr>
        <w:pStyle w:val="Ttulo3"/>
        <w:rPr>
          <w:lang w:val="es-MX"/>
        </w:rPr>
      </w:pPr>
      <w:r w:rsidRPr="00AA205B">
        <w:rPr>
          <w:lang w:val="es-MX"/>
        </w:rPr>
        <w:t>¿Por qué el múltiplo vs el fundamental del sector?</w:t>
      </w:r>
    </w:p>
    <w:p w:rsidR="00961256" w:rsidRPr="00AA205B" w:rsidRDefault="00CB25D9">
      <w:pPr>
        <w:spacing w:after="120"/>
        <w:jc w:val="both"/>
        <w:rPr>
          <w:lang w:val="es-MX"/>
        </w:rPr>
      </w:pPr>
      <w:r w:rsidRPr="00AA205B">
        <w:rPr>
          <w:lang w:val="es-MX"/>
        </w:rPr>
        <w:t>Liu, N</w:t>
      </w:r>
      <w:r w:rsidRPr="00AA205B">
        <w:rPr>
          <w:lang w:val="es-MX"/>
        </w:rPr>
        <w:t xml:space="preserve">issim y Thomas (Journal of Accounting Research, 2002) muestran que los mejores comparables no son los de la misma industria en general, sino los que comparten los mismos drivers de valor. Para una minera, el driver es la producción de su metal principal y </w:t>
      </w:r>
      <w:r w:rsidRPr="00AA205B">
        <w:rPr>
          <w:lang w:val="es-MX"/>
        </w:rPr>
        <w:t xml:space="preserve">el precio de ese metal. Para un banco, el driver es el margen de intermediación (NIM) y la eficiencia. El panel 5 conecta directamente esos drivers con el </w:t>
      </w:r>
      <w:r w:rsidRPr="00AA205B">
        <w:rPr>
          <w:lang w:val="es-MX"/>
        </w:rPr>
        <w:lastRenderedPageBreak/>
        <w:t>múltiplo que el mercado asigna, permitiendo detectar cuando el mercado está 'ahead' o 'behind' de los</w:t>
      </w:r>
      <w:r w:rsidRPr="00AA205B">
        <w:rPr>
          <w:lang w:val="es-MX"/>
        </w:rPr>
        <w:t xml:space="preserve"> fundamentales operativos.</w:t>
      </w:r>
    </w:p>
    <w:p w:rsidR="00961256" w:rsidRPr="00AA205B" w:rsidRDefault="00961256">
      <w:pPr>
        <w:spacing w:before="120"/>
        <w:rPr>
          <w:lang w:val="es-MX"/>
        </w:rPr>
      </w:pPr>
    </w:p>
    <w:p w:rsidR="00961256" w:rsidRPr="00AA205B" w:rsidRDefault="00CB25D9">
      <w:pPr>
        <w:rPr>
          <w:lang w:val="es-MX"/>
        </w:rPr>
      </w:pPr>
      <w:r w:rsidRPr="00AA205B">
        <w:rPr>
          <w:lang w:val="es-MX"/>
        </w:rPr>
        <w:br w:type="page"/>
      </w:r>
    </w:p>
    <w:p w:rsidR="00961256" w:rsidRPr="00AA205B" w:rsidRDefault="00CB25D9">
      <w:pPr>
        <w:pStyle w:val="Ttulo1"/>
        <w:pBdr>
          <w:bottom w:val="single" w:sz="8" w:space="4" w:color="00AECB"/>
        </w:pBdr>
        <w:rPr>
          <w:lang w:val="es-MX"/>
        </w:rPr>
      </w:pPr>
      <w:r w:rsidRPr="00AA205B">
        <w:rPr>
          <w:lang w:val="es-MX"/>
        </w:rPr>
        <w:lastRenderedPageBreak/>
        <w:t>6.  Preguntas frecuentes del comité — con respuestas</w:t>
      </w:r>
    </w:p>
    <w:p w:rsidR="00961256" w:rsidRPr="00AA205B" w:rsidRDefault="00961256">
      <w:pPr>
        <w:spacing w:before="60"/>
        <w:rPr>
          <w:lang w:val="es-MX"/>
        </w:rPr>
      </w:pPr>
    </w:p>
    <w:p w:rsidR="00961256" w:rsidRPr="00AA205B" w:rsidRDefault="00CB25D9">
      <w:pPr>
        <w:pStyle w:val="Ttulo3"/>
        <w:rPr>
          <w:lang w:val="es-MX"/>
        </w:rPr>
      </w:pPr>
      <w:r w:rsidRPr="00AA205B">
        <w:rPr>
          <w:lang w:val="es-MX"/>
        </w:rPr>
        <w:t>¿Qué diferencia hay entre este dashboard y ZODA?</w:t>
      </w:r>
    </w:p>
    <w:p w:rsidR="00961256" w:rsidRPr="00AA205B" w:rsidRDefault="00CB25D9">
      <w:pPr>
        <w:spacing w:after="120"/>
        <w:jc w:val="both"/>
        <w:rPr>
          <w:lang w:val="es-MX"/>
        </w:rPr>
      </w:pPr>
      <w:r w:rsidRPr="00AA205B">
        <w:rPr>
          <w:lang w:val="es-MX"/>
        </w:rPr>
        <w:t>ZODA trabaja con múltiplos trailing calculados por el propio sistema (divide Market Cap / utilidad histórica). Este dashboa</w:t>
      </w:r>
      <w:r w:rsidRPr="00AA205B">
        <w:rPr>
          <w:lang w:val="es-MX"/>
        </w:rPr>
        <w:t>rd trabaja con múltiplos forward que Bloomberg ya entrega calculados (usando sus estimados de consenso), y añade variables fundamentales de los sectores que cubre la mesa. Son complementarios: ZODA sirve para el análisis histórico y el seguimiento de la hi</w:t>
      </w:r>
      <w:r w:rsidRPr="00AA205B">
        <w:rPr>
          <w:lang w:val="es-MX"/>
        </w:rPr>
        <w:t>storia larga; este dashboard sirve para la pregunta de valoración de corto y mediano plazo basada en expectativas de mercado.</w:t>
      </w:r>
    </w:p>
    <w:p w:rsidR="00961256" w:rsidRPr="00AA205B" w:rsidRDefault="00961256">
      <w:pPr>
        <w:spacing w:before="60"/>
        <w:rPr>
          <w:lang w:val="es-MX"/>
        </w:rPr>
      </w:pPr>
    </w:p>
    <w:p w:rsidR="00961256" w:rsidRPr="00AA205B" w:rsidRDefault="00CB25D9">
      <w:pPr>
        <w:pStyle w:val="Ttulo3"/>
        <w:rPr>
          <w:lang w:val="es-MX"/>
        </w:rPr>
      </w:pPr>
      <w:r w:rsidRPr="00AA205B">
        <w:rPr>
          <w:lang w:val="es-MX"/>
        </w:rPr>
        <w:t>Si el P/E de X está bajo la recta (barato), ¿lo compramos?</w:t>
      </w:r>
    </w:p>
    <w:p w:rsidR="00961256" w:rsidRPr="00AA205B" w:rsidRDefault="00CB25D9">
      <w:pPr>
        <w:spacing w:after="120"/>
        <w:jc w:val="both"/>
        <w:rPr>
          <w:lang w:val="es-MX"/>
        </w:rPr>
      </w:pPr>
      <w:r w:rsidRPr="00AA205B">
        <w:rPr>
          <w:lang w:val="es-MX"/>
        </w:rPr>
        <w:t>El dashboard ayuda a formular la pregunta, no a responderla. Que una acción esté bajo la recta de ajuste del universo significa que el mercado le asigna un P/E menor de lo que su crecimiento esperado justificaría en promedio — eso puede ser porque el merca</w:t>
      </w:r>
      <w:r w:rsidRPr="00AA205B">
        <w:rPr>
          <w:lang w:val="es-MX"/>
        </w:rPr>
        <w:t>do ve riesgos que el modelo no captura, porque los fundamentales del sector están deteriorándose (revisa el panel 4), o porque efectivamente está descontada. El siguiente paso es contrastar con el panel de revisiones y con el análisis cualitativo de la tes</w:t>
      </w:r>
      <w:r w:rsidRPr="00AA205B">
        <w:rPr>
          <w:lang w:val="es-MX"/>
        </w:rPr>
        <w:t>is.</w:t>
      </w:r>
    </w:p>
    <w:p w:rsidR="00961256" w:rsidRPr="00AA205B" w:rsidRDefault="00961256">
      <w:pPr>
        <w:spacing w:before="60"/>
        <w:rPr>
          <w:lang w:val="es-MX"/>
        </w:rPr>
      </w:pPr>
    </w:p>
    <w:p w:rsidR="00961256" w:rsidRPr="00AA205B" w:rsidRDefault="00CB25D9">
      <w:pPr>
        <w:pStyle w:val="Ttulo3"/>
        <w:rPr>
          <w:lang w:val="es-MX"/>
        </w:rPr>
      </w:pPr>
      <w:r w:rsidRPr="00AA205B">
        <w:rPr>
          <w:lang w:val="es-MX"/>
        </w:rPr>
        <w:t>¿Por qué los eventos en el panel 1 no afectan los otros paneles?</w:t>
      </w:r>
    </w:p>
    <w:p w:rsidR="00961256" w:rsidRPr="00AA205B" w:rsidRDefault="00CB25D9">
      <w:pPr>
        <w:spacing w:after="120"/>
        <w:jc w:val="both"/>
        <w:rPr>
          <w:lang w:val="es-MX"/>
        </w:rPr>
      </w:pPr>
      <w:r w:rsidRPr="00AA205B">
        <w:rPr>
          <w:lang w:val="es-MX"/>
        </w:rPr>
        <w:t>Los eventos se usan como referencia contextual en el panel de evolución temporal, donde se ven en el eje de tiempo. Los otros paneles son de corte transversal (comparan empresas entre sí</w:t>
      </w:r>
      <w:r w:rsidRPr="00AA205B">
        <w:rPr>
          <w:lang w:val="es-MX"/>
        </w:rPr>
        <w:t xml:space="preserve"> en una fecha fija, que es el último punto disponible), por eso no tienen un eje temporal al que agregarle las líneas de eventos. Si quisiéramos un análisis histórico de cómo cambió el posicionamiento relativo después de un evento, habría que hacer una com</w:t>
      </w:r>
      <w:r w:rsidRPr="00AA205B">
        <w:rPr>
          <w:lang w:val="es-MX"/>
        </w:rPr>
        <w:t>paración de dos fechas específicas — eso es un análisis adicional que no está en v1.</w:t>
      </w:r>
    </w:p>
    <w:p w:rsidR="00961256" w:rsidRPr="00AA205B" w:rsidRDefault="00961256">
      <w:pPr>
        <w:spacing w:before="60"/>
        <w:rPr>
          <w:lang w:val="es-MX"/>
        </w:rPr>
      </w:pPr>
    </w:p>
    <w:p w:rsidR="00961256" w:rsidRPr="00AA205B" w:rsidRDefault="00CB25D9">
      <w:pPr>
        <w:pStyle w:val="Ttulo3"/>
        <w:rPr>
          <w:lang w:val="es-MX"/>
        </w:rPr>
      </w:pPr>
      <w:r w:rsidRPr="00AA205B">
        <w:rPr>
          <w:lang w:val="es-MX"/>
        </w:rPr>
        <w:t>¿Con qué frecuencia se actualiza el dashboard?</w:t>
      </w:r>
    </w:p>
    <w:p w:rsidR="00961256" w:rsidRPr="00AA205B" w:rsidRDefault="00CB25D9">
      <w:pPr>
        <w:spacing w:after="120"/>
        <w:jc w:val="both"/>
        <w:rPr>
          <w:lang w:val="es-MX"/>
        </w:rPr>
      </w:pPr>
      <w:r w:rsidRPr="00AA205B">
        <w:rPr>
          <w:lang w:val="es-MX"/>
        </w:rPr>
        <w:t>El dashboard se regenera corriendo el script. Dado que los múltiplos forward se actualizan diariamente en el Excel, y los m</w:t>
      </w:r>
      <w:r w:rsidRPr="00AA205B">
        <w:rPr>
          <w:lang w:val="es-MX"/>
        </w:rPr>
        <w:t>acros de minería/financieras/construcción se actualizan con distinta frecuencia (mensual, trimestral), el ritmo natural es correr el script antes de cada reunión de comité — o cada vez que haya un movimiento de mercado relevante que merezca análisis.</w:t>
      </w:r>
    </w:p>
    <w:p w:rsidR="00961256" w:rsidRPr="00AA205B" w:rsidRDefault="00961256">
      <w:pPr>
        <w:spacing w:before="60"/>
        <w:rPr>
          <w:lang w:val="es-MX"/>
        </w:rPr>
      </w:pPr>
    </w:p>
    <w:p w:rsidR="00961256" w:rsidRPr="00AA205B" w:rsidRDefault="00CB25D9">
      <w:pPr>
        <w:pStyle w:val="Ttulo3"/>
        <w:rPr>
          <w:lang w:val="es-MX"/>
        </w:rPr>
      </w:pPr>
      <w:r w:rsidRPr="00AA205B">
        <w:rPr>
          <w:lang w:val="es-MX"/>
        </w:rPr>
        <w:t xml:space="preserve">¿Se </w:t>
      </w:r>
      <w:r w:rsidRPr="00AA205B">
        <w:rPr>
          <w:lang w:val="es-MX"/>
        </w:rPr>
        <w:t>puede agregar una nueva empresa al panel 5?</w:t>
      </w:r>
    </w:p>
    <w:p w:rsidR="00961256" w:rsidRPr="00AA205B" w:rsidRDefault="00CB25D9">
      <w:pPr>
        <w:spacing w:after="120"/>
        <w:jc w:val="both"/>
        <w:rPr>
          <w:lang w:val="es-MX"/>
        </w:rPr>
      </w:pPr>
      <w:r w:rsidRPr="00AA205B">
        <w:rPr>
          <w:lang w:val="es-MX"/>
        </w:rPr>
        <w:t>Sí. Requiere dos pasos: primero, asegurarse de que esa empresa tenga una serie fundamental disponible en alguno de los tres workbooks macro. Segundo, agregar la equivalencia correspondiente al diccionario EQUIV e</w:t>
      </w:r>
      <w:r w:rsidRPr="00AA205B">
        <w:rPr>
          <w:lang w:val="es-MX"/>
        </w:rPr>
        <w:t>n la Sección 1 del script. El formato es el mismo para todos: nombre macro → nombre corto para HTML → nombre GICS completo → ticker BBG → grupo.</w:t>
      </w:r>
    </w:p>
    <w:p w:rsidR="00961256" w:rsidRPr="00AA205B" w:rsidRDefault="00961256">
      <w:pPr>
        <w:spacing w:before="120"/>
        <w:rPr>
          <w:lang w:val="es-MX"/>
        </w:rPr>
      </w:pPr>
    </w:p>
    <w:p w:rsidR="00961256" w:rsidRPr="00AA205B" w:rsidRDefault="00CB25D9">
      <w:pPr>
        <w:rPr>
          <w:lang w:val="es-MX"/>
        </w:rPr>
      </w:pPr>
      <w:r w:rsidRPr="00AA205B">
        <w:rPr>
          <w:lang w:val="es-MX"/>
        </w:rPr>
        <w:br w:type="page"/>
      </w:r>
    </w:p>
    <w:p w:rsidR="00961256" w:rsidRPr="00AA205B" w:rsidRDefault="00CB25D9">
      <w:pPr>
        <w:pStyle w:val="Ttulo1"/>
        <w:pBdr>
          <w:bottom w:val="single" w:sz="8" w:space="4" w:color="00AECB"/>
        </w:pBdr>
        <w:rPr>
          <w:lang w:val="es-MX"/>
        </w:rPr>
      </w:pPr>
      <w:r w:rsidRPr="00AA205B">
        <w:rPr>
          <w:lang w:val="es-MX"/>
        </w:rPr>
        <w:lastRenderedPageBreak/>
        <w:t>7.  Mapa de equivalencias de nombres</w:t>
      </w:r>
    </w:p>
    <w:p w:rsidR="00961256" w:rsidRPr="00AA205B" w:rsidRDefault="00CB25D9">
      <w:pPr>
        <w:spacing w:after="120"/>
        <w:jc w:val="both"/>
        <w:rPr>
          <w:lang w:val="es-MX"/>
        </w:rPr>
      </w:pPr>
      <w:r w:rsidRPr="00AA205B">
        <w:rPr>
          <w:lang w:val="es-MX"/>
        </w:rPr>
        <w:t>Esta tabla es el puente entre los tres mundos de datos: los workbooks m</w:t>
      </w:r>
      <w:r w:rsidRPr="00AA205B">
        <w:rPr>
          <w:lang w:val="es-MX"/>
        </w:rPr>
        <w:t>acro, el Excel forward de Bloomberg y el HTML. Si en algún momento hay duda sobre qué empresa es cuál, esta es la referencia.</w:t>
      </w:r>
    </w:p>
    <w:p w:rsidR="00961256" w:rsidRPr="00AA205B" w:rsidRDefault="00961256">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1"/>
        <w:gridCol w:w="1938"/>
        <w:gridCol w:w="2685"/>
        <w:gridCol w:w="1847"/>
        <w:gridCol w:w="1129"/>
      </w:tblGrid>
      <w:tr w:rsidR="00961256">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1E2E6E"/>
            <w:tcMar>
              <w:top w:w="80" w:type="dxa"/>
              <w:left w:w="140" w:type="dxa"/>
              <w:bottom w:w="80" w:type="dxa"/>
              <w:right w:w="140" w:type="dxa"/>
            </w:tcMar>
            <w:vAlign w:val="center"/>
          </w:tcPr>
          <w:p w:rsidR="00961256" w:rsidRDefault="00CB25D9">
            <w:r>
              <w:rPr>
                <w:b/>
                <w:bCs/>
                <w:color w:val="FFFFFF"/>
                <w:sz w:val="20"/>
                <w:szCs w:val="20"/>
              </w:rPr>
              <w:t>Nombre en macro</w:t>
            </w:r>
          </w:p>
        </w:tc>
        <w:tc>
          <w:tcPr>
            <w:tcW w:w="0" w:type="auto"/>
            <w:tcBorders>
              <w:top w:val="single" w:sz="1" w:space="0" w:color="DCDDDE"/>
              <w:left w:val="single" w:sz="1" w:space="0" w:color="DCDDDE"/>
              <w:bottom w:val="single" w:sz="1" w:space="0" w:color="DCDDDE"/>
              <w:right w:val="single" w:sz="1" w:space="0" w:color="DCDDDE"/>
            </w:tcBorders>
            <w:shd w:val="clear" w:color="auto" w:fill="1E2E6E"/>
            <w:tcMar>
              <w:top w:w="80" w:type="dxa"/>
              <w:left w:w="140" w:type="dxa"/>
              <w:bottom w:w="80" w:type="dxa"/>
              <w:right w:w="140" w:type="dxa"/>
            </w:tcMar>
            <w:vAlign w:val="center"/>
          </w:tcPr>
          <w:p w:rsidR="00961256" w:rsidRDefault="00CB25D9">
            <w:r>
              <w:rPr>
                <w:b/>
                <w:bCs/>
                <w:color w:val="FFFFFF"/>
                <w:sz w:val="20"/>
                <w:szCs w:val="20"/>
              </w:rPr>
              <w:t>Nombre corto (HTML)</w:t>
            </w:r>
          </w:p>
        </w:tc>
        <w:tc>
          <w:tcPr>
            <w:tcW w:w="0" w:type="auto"/>
            <w:tcBorders>
              <w:top w:val="single" w:sz="1" w:space="0" w:color="DCDDDE"/>
              <w:left w:val="single" w:sz="1" w:space="0" w:color="DCDDDE"/>
              <w:bottom w:val="single" w:sz="1" w:space="0" w:color="DCDDDE"/>
              <w:right w:val="single" w:sz="1" w:space="0" w:color="DCDDDE"/>
            </w:tcBorders>
            <w:shd w:val="clear" w:color="auto" w:fill="1E2E6E"/>
            <w:tcMar>
              <w:top w:w="80" w:type="dxa"/>
              <w:left w:w="140" w:type="dxa"/>
              <w:bottom w:w="80" w:type="dxa"/>
              <w:right w:w="140" w:type="dxa"/>
            </w:tcMar>
            <w:vAlign w:val="center"/>
          </w:tcPr>
          <w:p w:rsidR="00961256" w:rsidRDefault="00CB25D9">
            <w:r>
              <w:rPr>
                <w:b/>
                <w:bCs/>
                <w:color w:val="FFFFFF"/>
                <w:sz w:val="20"/>
                <w:szCs w:val="20"/>
              </w:rPr>
              <w:t>Empresa completa (GICS)</w:t>
            </w:r>
          </w:p>
        </w:tc>
        <w:tc>
          <w:tcPr>
            <w:tcW w:w="0" w:type="auto"/>
            <w:tcBorders>
              <w:top w:val="single" w:sz="1" w:space="0" w:color="DCDDDE"/>
              <w:left w:val="single" w:sz="1" w:space="0" w:color="DCDDDE"/>
              <w:bottom w:val="single" w:sz="1" w:space="0" w:color="DCDDDE"/>
              <w:right w:val="single" w:sz="1" w:space="0" w:color="DCDDDE"/>
            </w:tcBorders>
            <w:shd w:val="clear" w:color="auto" w:fill="1E2E6E"/>
            <w:tcMar>
              <w:top w:w="80" w:type="dxa"/>
              <w:left w:w="140" w:type="dxa"/>
              <w:bottom w:w="80" w:type="dxa"/>
              <w:right w:w="140" w:type="dxa"/>
            </w:tcMar>
            <w:vAlign w:val="center"/>
          </w:tcPr>
          <w:p w:rsidR="00961256" w:rsidRDefault="00CB25D9">
            <w:r>
              <w:rPr>
                <w:b/>
                <w:bCs/>
                <w:color w:val="FFFFFF"/>
                <w:sz w:val="20"/>
                <w:szCs w:val="20"/>
              </w:rPr>
              <w:t>Ticker BBG</w:t>
            </w:r>
          </w:p>
        </w:tc>
        <w:tc>
          <w:tcPr>
            <w:tcW w:w="0" w:type="auto"/>
            <w:tcBorders>
              <w:top w:val="single" w:sz="1" w:space="0" w:color="DCDDDE"/>
              <w:left w:val="single" w:sz="1" w:space="0" w:color="DCDDDE"/>
              <w:bottom w:val="single" w:sz="1" w:space="0" w:color="DCDDDE"/>
              <w:right w:val="single" w:sz="1" w:space="0" w:color="DCDDDE"/>
            </w:tcBorders>
            <w:shd w:val="clear" w:color="auto" w:fill="1E2E6E"/>
            <w:tcMar>
              <w:top w:w="80" w:type="dxa"/>
              <w:left w:w="140" w:type="dxa"/>
              <w:bottom w:w="80" w:type="dxa"/>
              <w:right w:w="140" w:type="dxa"/>
            </w:tcMar>
            <w:vAlign w:val="center"/>
          </w:tcPr>
          <w:p w:rsidR="00961256" w:rsidRDefault="00CB25D9">
            <w:r>
              <w:rPr>
                <w:b/>
                <w:bCs/>
                <w:color w:val="FFFFFF"/>
                <w:sz w:val="20"/>
                <w:szCs w:val="20"/>
              </w:rPr>
              <w:t>Grupo</w:t>
            </w:r>
          </w:p>
        </w:tc>
      </w:tr>
      <w:tr w:rsidR="00961256">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EDF1F8"/>
            <w:tcMar>
              <w:top w:w="80" w:type="dxa"/>
              <w:left w:w="140" w:type="dxa"/>
              <w:bottom w:w="80" w:type="dxa"/>
              <w:right w:w="140" w:type="dxa"/>
            </w:tcMar>
            <w:vAlign w:val="center"/>
          </w:tcPr>
          <w:p w:rsidR="00961256" w:rsidRDefault="00CB25D9">
            <w:r>
              <w:rPr>
                <w:b/>
                <w:bCs/>
                <w:sz w:val="20"/>
                <w:szCs w:val="20"/>
              </w:rPr>
              <w:t>CERRO VERDE</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Cerro Verde</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Sociedad Minera Cerro Verde</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CVERDEC1 PE Equity</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Minería</w:t>
            </w:r>
          </w:p>
        </w:tc>
      </w:tr>
      <w:tr w:rsidR="00961256">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EDF1F8"/>
            <w:tcMar>
              <w:top w:w="80" w:type="dxa"/>
              <w:left w:w="140" w:type="dxa"/>
              <w:bottom w:w="80" w:type="dxa"/>
              <w:right w:w="140" w:type="dxa"/>
            </w:tcMar>
            <w:vAlign w:val="center"/>
          </w:tcPr>
          <w:p w:rsidR="00961256" w:rsidRDefault="00CB25D9">
            <w:r>
              <w:rPr>
                <w:b/>
                <w:bCs/>
                <w:sz w:val="20"/>
                <w:szCs w:val="20"/>
              </w:rPr>
              <w:t>BUENAVENTURA</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Buenaventura</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Compañía de Minas Buenaventura</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BVN US Equity</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Minería</w:t>
            </w:r>
          </w:p>
        </w:tc>
      </w:tr>
      <w:tr w:rsidR="00961256">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EDF1F8"/>
            <w:tcMar>
              <w:top w:w="80" w:type="dxa"/>
              <w:left w:w="140" w:type="dxa"/>
              <w:bottom w:w="80" w:type="dxa"/>
              <w:right w:w="140" w:type="dxa"/>
            </w:tcMar>
            <w:vAlign w:val="center"/>
          </w:tcPr>
          <w:p w:rsidR="00961256" w:rsidRDefault="00CB25D9">
            <w:r>
              <w:rPr>
                <w:b/>
                <w:bCs/>
                <w:sz w:val="20"/>
                <w:szCs w:val="20"/>
              </w:rPr>
              <w:t>NEXA PERÚ</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Nexa Perú</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Nexa Resources Perú</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NEXAPEC1 PE Equity</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Minería</w:t>
            </w:r>
          </w:p>
        </w:tc>
      </w:tr>
      <w:tr w:rsidR="00961256">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EDF1F8"/>
            <w:tcMar>
              <w:top w:w="80" w:type="dxa"/>
              <w:left w:w="140" w:type="dxa"/>
              <w:bottom w:w="80" w:type="dxa"/>
              <w:right w:w="140" w:type="dxa"/>
            </w:tcMar>
            <w:vAlign w:val="center"/>
          </w:tcPr>
          <w:p w:rsidR="00961256" w:rsidRDefault="00CB25D9">
            <w:r>
              <w:rPr>
                <w:b/>
                <w:bCs/>
                <w:sz w:val="20"/>
                <w:szCs w:val="20"/>
              </w:rPr>
              <w:t>VOLCAN</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Volcan</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Volcan Compañía Minera</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VOLCABC1 PE Equity</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Minería</w:t>
            </w:r>
          </w:p>
        </w:tc>
      </w:tr>
      <w:tr w:rsidR="00961256">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EDF1F8"/>
            <w:tcMar>
              <w:top w:w="80" w:type="dxa"/>
              <w:left w:w="140" w:type="dxa"/>
              <w:bottom w:w="80" w:type="dxa"/>
              <w:right w:w="140" w:type="dxa"/>
            </w:tcMar>
            <w:vAlign w:val="center"/>
          </w:tcPr>
          <w:p w:rsidR="00961256" w:rsidRDefault="00CB25D9">
            <w:r>
              <w:rPr>
                <w:b/>
                <w:bCs/>
                <w:sz w:val="20"/>
                <w:szCs w:val="20"/>
              </w:rPr>
              <w:t>MINSUR</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Minsur</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Minsur</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MINSURI1 PE Equity</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Minería</w:t>
            </w:r>
          </w:p>
        </w:tc>
      </w:tr>
      <w:tr w:rsidR="00961256">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EDF1F8"/>
            <w:tcMar>
              <w:top w:w="80" w:type="dxa"/>
              <w:left w:w="140" w:type="dxa"/>
              <w:bottom w:w="80" w:type="dxa"/>
              <w:right w:w="140" w:type="dxa"/>
            </w:tcMar>
            <w:vAlign w:val="center"/>
          </w:tcPr>
          <w:p w:rsidR="00961256" w:rsidRDefault="00CB25D9">
            <w:r>
              <w:rPr>
                <w:b/>
                <w:bCs/>
                <w:sz w:val="20"/>
                <w:szCs w:val="20"/>
              </w:rPr>
              <w:t>BCP</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Credicorp</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Credicorp Ltd.</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BAP US Equity</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Financiero</w:t>
            </w:r>
          </w:p>
        </w:tc>
      </w:tr>
      <w:tr w:rsidR="00961256">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EDF1F8"/>
            <w:tcMar>
              <w:top w:w="80" w:type="dxa"/>
              <w:left w:w="140" w:type="dxa"/>
              <w:bottom w:w="80" w:type="dxa"/>
              <w:right w:w="140" w:type="dxa"/>
            </w:tcMar>
            <w:vAlign w:val="center"/>
          </w:tcPr>
          <w:p w:rsidR="00961256" w:rsidRDefault="00CB25D9">
            <w:r>
              <w:rPr>
                <w:b/>
                <w:bCs/>
                <w:sz w:val="20"/>
                <w:szCs w:val="20"/>
              </w:rPr>
              <w:t>INTERBANK</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Intercorp</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Intercorp Financial Services Inc.</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IFS PE Equity</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Financiero</w:t>
            </w:r>
          </w:p>
        </w:tc>
      </w:tr>
      <w:tr w:rsidR="00961256">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EDF1F8"/>
            <w:tcMar>
              <w:top w:w="80" w:type="dxa"/>
              <w:left w:w="140" w:type="dxa"/>
              <w:bottom w:w="80" w:type="dxa"/>
              <w:right w:w="140" w:type="dxa"/>
            </w:tcMar>
            <w:vAlign w:val="center"/>
          </w:tcPr>
          <w:p w:rsidR="00961256" w:rsidRDefault="00CB25D9">
            <w:r>
              <w:rPr>
                <w:b/>
                <w:bCs/>
                <w:sz w:val="20"/>
                <w:szCs w:val="20"/>
              </w:rPr>
              <w:t>BBVA</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BBVA Perú</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Banco BBVA Perú</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BBVAC1 PE Equity</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Financiero</w:t>
            </w:r>
          </w:p>
        </w:tc>
      </w:tr>
      <w:tr w:rsidR="00961256">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EDF1F8"/>
            <w:tcMar>
              <w:top w:w="80" w:type="dxa"/>
              <w:left w:w="140" w:type="dxa"/>
              <w:bottom w:w="80" w:type="dxa"/>
              <w:right w:w="140" w:type="dxa"/>
            </w:tcMar>
            <w:vAlign w:val="center"/>
          </w:tcPr>
          <w:p w:rsidR="00961256" w:rsidRDefault="00CB25D9">
            <w:r>
              <w:rPr>
                <w:b/>
                <w:bCs/>
                <w:sz w:val="20"/>
                <w:szCs w:val="20"/>
              </w:rPr>
              <w:t>Unacem</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UNACEM</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UNACEM Corp</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UNACEMC1 PE Equity</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Cemento</w:t>
            </w:r>
          </w:p>
        </w:tc>
      </w:tr>
      <w:tr w:rsidR="00961256">
        <w:tblPrEx>
          <w:tblCellMar>
            <w:top w:w="0" w:type="dxa"/>
            <w:bottom w:w="0" w:type="dxa"/>
          </w:tblCellMar>
        </w:tblPrEx>
        <w:tc>
          <w:tcPr>
            <w:tcW w:w="0" w:type="auto"/>
            <w:tcBorders>
              <w:top w:val="single" w:sz="1" w:space="0" w:color="DCDDDE"/>
              <w:left w:val="single" w:sz="1" w:space="0" w:color="DCDDDE"/>
              <w:bottom w:val="single" w:sz="1" w:space="0" w:color="DCDDDE"/>
              <w:right w:val="single" w:sz="1" w:space="0" w:color="DCDDDE"/>
            </w:tcBorders>
            <w:shd w:val="clear" w:color="auto" w:fill="EDF1F8"/>
            <w:tcMar>
              <w:top w:w="80" w:type="dxa"/>
              <w:left w:w="140" w:type="dxa"/>
              <w:bottom w:w="80" w:type="dxa"/>
              <w:right w:w="140" w:type="dxa"/>
            </w:tcMar>
            <w:vAlign w:val="center"/>
          </w:tcPr>
          <w:p w:rsidR="00961256" w:rsidRDefault="00CB25D9">
            <w:r>
              <w:rPr>
                <w:b/>
                <w:bCs/>
                <w:sz w:val="20"/>
                <w:szCs w:val="20"/>
              </w:rPr>
              <w:t>Pacasmayo</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Pacasmayo</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Cementos Pacasmayo</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CPACASC1 PE Equity</w:t>
            </w:r>
          </w:p>
        </w:tc>
        <w:tc>
          <w:tcPr>
            <w:tcW w:w="0" w:type="auto"/>
            <w:tcBorders>
              <w:top w:val="single" w:sz="1" w:space="0" w:color="DCDDDE"/>
              <w:left w:val="single" w:sz="1" w:space="0" w:color="DCDDDE"/>
              <w:bottom w:val="single" w:sz="1" w:space="0" w:color="DCDDDE"/>
              <w:right w:val="single" w:sz="1" w:space="0" w:color="DCDDDE"/>
            </w:tcBorders>
            <w:shd w:val="clear" w:color="auto" w:fill="FFFFFF"/>
            <w:tcMar>
              <w:top w:w="80" w:type="dxa"/>
              <w:left w:w="140" w:type="dxa"/>
              <w:bottom w:w="80" w:type="dxa"/>
              <w:right w:w="140" w:type="dxa"/>
            </w:tcMar>
            <w:vAlign w:val="center"/>
          </w:tcPr>
          <w:p w:rsidR="00961256" w:rsidRDefault="00CB25D9">
            <w:r>
              <w:rPr>
                <w:sz w:val="20"/>
                <w:szCs w:val="20"/>
              </w:rPr>
              <w:t>Cemento</w:t>
            </w:r>
          </w:p>
        </w:tc>
      </w:tr>
    </w:tbl>
    <w:p w:rsidR="00961256" w:rsidRDefault="009612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
        <w:gridCol w:w="9048"/>
      </w:tblGrid>
      <w:tr w:rsidR="00961256" w:rsidRPr="00AA205B">
        <w:tblPrEx>
          <w:tblCellMar>
            <w:top w:w="0" w:type="dxa"/>
            <w:bottom w:w="0" w:type="dxa"/>
          </w:tblCellMar>
        </w:tblPrEx>
        <w:tc>
          <w:tcPr>
            <w:tcW w:w="0" w:type="auto"/>
            <w:tcBorders>
              <w:top w:val="single" w:sz="1" w:space="0" w:color="00AECB"/>
              <w:left w:val="single" w:sz="12" w:space="0" w:color="00AECB"/>
              <w:bottom w:val="single" w:sz="1" w:space="0" w:color="00AECB"/>
            </w:tcBorders>
            <w:shd w:val="clear" w:color="auto" w:fill="EBF8FB"/>
            <w:tcMar>
              <w:top w:w="80" w:type="dxa"/>
              <w:left w:w="140" w:type="dxa"/>
              <w:bottom w:w="80" w:type="dxa"/>
              <w:right w:w="60" w:type="dxa"/>
            </w:tcMar>
            <w:vAlign w:val="center"/>
          </w:tcPr>
          <w:p w:rsidR="00961256" w:rsidRDefault="00CB25D9">
            <w:pPr>
              <w:spacing w:after="120"/>
              <w:jc w:val="center"/>
            </w:pPr>
            <w:r>
              <w:t>📌</w:t>
            </w:r>
          </w:p>
        </w:tc>
        <w:tc>
          <w:tcPr>
            <w:tcW w:w="0" w:type="auto"/>
            <w:tcBorders>
              <w:top w:val="single" w:sz="1" w:space="0" w:color="00AECB"/>
              <w:bottom w:val="single" w:sz="1" w:space="0" w:color="00AECB"/>
              <w:right w:val="single" w:sz="1" w:space="0" w:color="00AECB"/>
            </w:tcBorders>
            <w:shd w:val="clear" w:color="auto" w:fill="EBF8FB"/>
            <w:tcMar>
              <w:top w:w="80" w:type="dxa"/>
              <w:left w:w="80" w:type="dxa"/>
              <w:bottom w:w="80" w:type="dxa"/>
              <w:right w:w="140" w:type="dxa"/>
            </w:tcMar>
          </w:tcPr>
          <w:p w:rsidR="00961256" w:rsidRPr="00AA205B" w:rsidRDefault="00CB25D9">
            <w:pPr>
              <w:spacing w:after="120"/>
              <w:jc w:val="both"/>
              <w:rPr>
                <w:lang w:val="es-MX"/>
              </w:rPr>
            </w:pPr>
            <w:r w:rsidRPr="00AA205B">
              <w:rPr>
                <w:lang w:val="es-MX"/>
              </w:rPr>
              <w:t>Estas equivalencias están codificadas en el diccionario EQUIV de la Sección 1 del script. Si en algún momento el nombre en el workbook macro cambia (por ejemplo, por una reestructuración societaria), basta con actualizar la clave de ese diccionario. No hay</w:t>
            </w:r>
            <w:r w:rsidRPr="00AA205B">
              <w:rPr>
                <w:lang w:val="es-MX"/>
              </w:rPr>
              <w:t xml:space="preserve"> que buscar el nombre en ninguna otra parte del código.</w:t>
            </w:r>
          </w:p>
        </w:tc>
      </w:tr>
    </w:tbl>
    <w:p w:rsidR="00961256" w:rsidRPr="00AA205B" w:rsidRDefault="00961256">
      <w:pPr>
        <w:spacing w:before="120"/>
        <w:rPr>
          <w:lang w:val="es-MX"/>
        </w:rPr>
      </w:pPr>
    </w:p>
    <w:p w:rsidR="00961256" w:rsidRPr="00AA205B" w:rsidRDefault="00CB25D9">
      <w:pPr>
        <w:rPr>
          <w:lang w:val="es-MX"/>
        </w:rPr>
      </w:pPr>
      <w:r w:rsidRPr="00AA205B">
        <w:rPr>
          <w:lang w:val="es-MX"/>
        </w:rPr>
        <w:br w:type="page"/>
      </w:r>
    </w:p>
    <w:p w:rsidR="00961256" w:rsidRPr="00AA205B" w:rsidRDefault="00CB25D9">
      <w:pPr>
        <w:pStyle w:val="Ttulo1"/>
        <w:pBdr>
          <w:bottom w:val="single" w:sz="8" w:space="4" w:color="00AECB"/>
        </w:pBdr>
        <w:rPr>
          <w:lang w:val="es-MX"/>
        </w:rPr>
      </w:pPr>
      <w:r w:rsidRPr="00AA205B">
        <w:rPr>
          <w:lang w:val="es-MX"/>
        </w:rPr>
        <w:lastRenderedPageBreak/>
        <w:t>8.  Nota final — limitaciones y camino adelante</w:t>
      </w:r>
    </w:p>
    <w:p w:rsidR="00961256" w:rsidRPr="00AA205B" w:rsidRDefault="00CB25D9">
      <w:pPr>
        <w:spacing w:after="120"/>
        <w:jc w:val="both"/>
        <w:rPr>
          <w:lang w:val="es-MX"/>
        </w:rPr>
      </w:pPr>
      <w:r w:rsidRPr="00AA205B">
        <w:rPr>
          <w:lang w:val="es-MX"/>
        </w:rPr>
        <w:t>El dashboard está diseñado para lo que los datos permiten hoy. Dos limitaciones importantes que conviene tener presentes al exponerlo:</w:t>
      </w:r>
    </w:p>
    <w:p w:rsidR="00961256" w:rsidRPr="00AA205B" w:rsidRDefault="00961256">
      <w:pPr>
        <w:pStyle w:val="Prrafodelista"/>
        <w:numPr>
          <w:ilvl w:val="0"/>
          <w:numId w:val="3"/>
        </w:numPr>
        <w:spacing w:after="80"/>
        <w:rPr>
          <w:lang w:val="es-MX"/>
        </w:rPr>
      </w:pPr>
    </w:p>
    <w:p w:rsidR="00961256" w:rsidRPr="00AA205B" w:rsidRDefault="00961256">
      <w:pPr>
        <w:pStyle w:val="Prrafodelista"/>
        <w:numPr>
          <w:ilvl w:val="0"/>
          <w:numId w:val="3"/>
        </w:numPr>
        <w:spacing w:after="80"/>
        <w:rPr>
          <w:lang w:val="es-MX"/>
        </w:rPr>
      </w:pPr>
    </w:p>
    <w:p w:rsidR="00961256" w:rsidRPr="00AA205B" w:rsidRDefault="00961256">
      <w:pPr>
        <w:spacing w:before="80"/>
        <w:rPr>
          <w:lang w:val="es-MX"/>
        </w:rPr>
      </w:pPr>
    </w:p>
    <w:p w:rsidR="00961256" w:rsidRPr="00AA205B" w:rsidRDefault="00CB25D9">
      <w:pPr>
        <w:spacing w:after="120"/>
        <w:jc w:val="both"/>
        <w:rPr>
          <w:lang w:val="es-MX"/>
        </w:rPr>
      </w:pPr>
      <w:r w:rsidRPr="00AA205B">
        <w:rPr>
          <w:lang w:val="es-MX"/>
        </w:rPr>
        <w:t>El siguiente paso lógico en el desarrollo del dashboard es agregar un panel de composite score — un semáforo único por empresa que combine el percentil de valoración (del panel 1), la posición relativa frente a pares (panel 2 y 3), y la dirección de las re</w:t>
      </w:r>
      <w:r w:rsidRPr="00AA205B">
        <w:rPr>
          <w:lang w:val="es-MX"/>
        </w:rPr>
        <w:t>visiones (panel 4) en un solo número. Ese composite sería la respuesta directa a '¿cara o barata?' en una sola vista, y el punto de partida ideal para ordenar las ideas antes de entrar al comité.</w:t>
      </w:r>
    </w:p>
    <w:p w:rsidR="00961256" w:rsidRPr="00AA205B" w:rsidRDefault="00961256">
      <w:pPr>
        <w:spacing w:before="80"/>
        <w:rPr>
          <w:lang w:val="es-MX"/>
        </w:rPr>
      </w:pPr>
    </w:p>
    <w:p w:rsidR="00961256" w:rsidRDefault="00CB25D9">
      <w:pPr>
        <w:spacing w:after="120"/>
        <w:jc w:val="both"/>
      </w:pPr>
      <w:r w:rsidRPr="00AA205B">
        <w:rPr>
          <w:i/>
          <w:iCs/>
          <w:color w:val="7E8083"/>
          <w:lang w:val="es-MX"/>
        </w:rPr>
        <w:t xml:space="preserve">Documento preparado por la Mesa de Renta Variable Local — AFP Integra (Grupo Sura). </w:t>
      </w:r>
      <w:r>
        <w:rPr>
          <w:i/>
          <w:iCs/>
          <w:color w:val="7E8083"/>
        </w:rPr>
        <w:t>Uso interno. Junio 2026.</w:t>
      </w:r>
    </w:p>
    <w:sectPr w:rsidR="009612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25D9" w:rsidRDefault="00CB25D9">
      <w:r>
        <w:separator/>
      </w:r>
    </w:p>
  </w:endnote>
  <w:endnote w:type="continuationSeparator" w:id="0">
    <w:p w:rsidR="00CB25D9" w:rsidRDefault="00CB2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1256" w:rsidRPr="00AA205B" w:rsidRDefault="00CB25D9">
    <w:pPr>
      <w:pBdr>
        <w:top w:val="single" w:sz="4" w:space="4" w:color="DCDDDE"/>
      </w:pBdr>
      <w:spacing w:before="120"/>
      <w:jc w:val="center"/>
      <w:rPr>
        <w:lang w:val="es-MX"/>
      </w:rPr>
    </w:pPr>
    <w:r w:rsidRPr="00AA205B">
      <w:rPr>
        <w:color w:val="7E8083"/>
        <w:sz w:val="18"/>
        <w:szCs w:val="18"/>
        <w:lang w:val="es-MX"/>
      </w:rPr>
      <w:t>Uso interno — AFP Integr</w:t>
    </w:r>
    <w:r w:rsidRPr="00AA205B">
      <w:rPr>
        <w:color w:val="7E8083"/>
        <w:sz w:val="18"/>
        <w:szCs w:val="18"/>
        <w:lang w:val="es-MX"/>
      </w:rPr>
      <w:t xml:space="preserve">a Grupo Sura    </w:t>
    </w:r>
    <w:r>
      <w:rPr>
        <w:color w:val="7E8083"/>
        <w:sz w:val="18"/>
        <w:szCs w:val="18"/>
      </w:rPr>
      <w:fldChar w:fldCharType="begin"/>
    </w:r>
    <w:r w:rsidRPr="00AA205B">
      <w:rPr>
        <w:color w:val="7E8083"/>
        <w:sz w:val="18"/>
        <w:szCs w:val="18"/>
        <w:lang w:val="es-MX"/>
      </w:rPr>
      <w:instrText>PAGE</w:instrText>
    </w:r>
    <w:r w:rsidR="00AA205B">
      <w:rPr>
        <w:color w:val="7E8083"/>
        <w:sz w:val="18"/>
        <w:szCs w:val="18"/>
      </w:rPr>
      <w:fldChar w:fldCharType="separate"/>
    </w:r>
    <w:r w:rsidR="00AA205B">
      <w:rPr>
        <w:noProof/>
        <w:color w:val="7E8083"/>
        <w:sz w:val="18"/>
        <w:szCs w:val="18"/>
        <w:lang w:val="es-MX"/>
      </w:rPr>
      <w:t>5</w:t>
    </w:r>
    <w:r>
      <w:rPr>
        <w:color w:val="7E8083"/>
        <w:sz w:val="18"/>
        <w:szCs w:val="18"/>
      </w:rPr>
      <w:fldChar w:fldCharType="end"/>
    </w:r>
    <w:r w:rsidRPr="00AA205B">
      <w:rPr>
        <w:color w:val="7E8083"/>
        <w:sz w:val="18"/>
        <w:szCs w:val="18"/>
        <w:lang w:val="es-MX"/>
      </w:rPr>
      <w:t xml:space="preserve"> / </w:t>
    </w:r>
    <w:r>
      <w:rPr>
        <w:color w:val="7E8083"/>
        <w:sz w:val="18"/>
        <w:szCs w:val="18"/>
      </w:rPr>
      <w:fldChar w:fldCharType="begin"/>
    </w:r>
    <w:r w:rsidRPr="00AA205B">
      <w:rPr>
        <w:color w:val="7E8083"/>
        <w:sz w:val="18"/>
        <w:szCs w:val="18"/>
        <w:lang w:val="es-MX"/>
      </w:rPr>
      <w:instrText>NUMPAGES</w:instrText>
    </w:r>
    <w:r w:rsidR="00AA205B">
      <w:rPr>
        <w:color w:val="7E8083"/>
        <w:sz w:val="18"/>
        <w:szCs w:val="18"/>
      </w:rPr>
      <w:fldChar w:fldCharType="separate"/>
    </w:r>
    <w:r w:rsidR="00AA205B">
      <w:rPr>
        <w:noProof/>
        <w:color w:val="7E8083"/>
        <w:sz w:val="18"/>
        <w:szCs w:val="18"/>
        <w:lang w:val="es-MX"/>
      </w:rPr>
      <w:t>14</w:t>
    </w:r>
    <w:r>
      <w:rPr>
        <w:color w:val="7E8083"/>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25D9" w:rsidRDefault="00CB25D9">
      <w:r>
        <w:separator/>
      </w:r>
    </w:p>
  </w:footnote>
  <w:footnote w:type="continuationSeparator" w:id="0">
    <w:p w:rsidR="00CB25D9" w:rsidRDefault="00CB25D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1256" w:rsidRDefault="00CB25D9">
    <w:pPr>
      <w:pBdr>
        <w:bottom w:val="single" w:sz="4" w:space="4" w:color="00AECB"/>
      </w:pBdr>
      <w:spacing w:after="120"/>
      <w:jc w:val="right"/>
    </w:pPr>
    <w:r>
      <w:rPr>
        <w:color w:val="7E8083"/>
        <w:sz w:val="18"/>
        <w:szCs w:val="18"/>
      </w:rPr>
      <w:t>Forward Mult</w:t>
    </w:r>
    <w:r w:rsidR="00AA205B">
      <w:rPr>
        <w:color w:val="7E8083"/>
        <w:sz w:val="18"/>
        <w:szCs w:val="18"/>
      </w:rPr>
      <w:t>iples Dashboard  ·  AFP Integra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223D6"/>
    <w:multiLevelType w:val="hybridMultilevel"/>
    <w:tmpl w:val="09F20680"/>
    <w:lvl w:ilvl="0" w:tplc="B1524E82">
      <w:start w:val="1"/>
      <w:numFmt w:val="bullet"/>
      <w:lvlText w:val="•"/>
      <w:lvlJc w:val="left"/>
      <w:pPr>
        <w:ind w:left="720" w:hanging="360"/>
      </w:pPr>
    </w:lvl>
    <w:lvl w:ilvl="1" w:tplc="474463C0">
      <w:start w:val="1"/>
      <w:numFmt w:val="bullet"/>
      <w:lvlText w:val="◦"/>
      <w:lvlJc w:val="left"/>
      <w:pPr>
        <w:ind w:left="1080" w:hanging="360"/>
      </w:pPr>
    </w:lvl>
    <w:lvl w:ilvl="2" w:tplc="44D4E72A">
      <w:numFmt w:val="decimal"/>
      <w:lvlText w:val=""/>
      <w:lvlJc w:val="left"/>
    </w:lvl>
    <w:lvl w:ilvl="3" w:tplc="D48C800A">
      <w:numFmt w:val="decimal"/>
      <w:lvlText w:val=""/>
      <w:lvlJc w:val="left"/>
    </w:lvl>
    <w:lvl w:ilvl="4" w:tplc="69962C64">
      <w:numFmt w:val="decimal"/>
      <w:lvlText w:val=""/>
      <w:lvlJc w:val="left"/>
    </w:lvl>
    <w:lvl w:ilvl="5" w:tplc="499E8A80">
      <w:numFmt w:val="decimal"/>
      <w:lvlText w:val=""/>
      <w:lvlJc w:val="left"/>
    </w:lvl>
    <w:lvl w:ilvl="6" w:tplc="E73431A8">
      <w:numFmt w:val="decimal"/>
      <w:lvlText w:val=""/>
      <w:lvlJc w:val="left"/>
    </w:lvl>
    <w:lvl w:ilvl="7" w:tplc="68CAADFC">
      <w:numFmt w:val="decimal"/>
      <w:lvlText w:val=""/>
      <w:lvlJc w:val="left"/>
    </w:lvl>
    <w:lvl w:ilvl="8" w:tplc="497A53B6">
      <w:numFmt w:val="decimal"/>
      <w:lvlText w:val=""/>
      <w:lvlJc w:val="left"/>
    </w:lvl>
  </w:abstractNum>
  <w:abstractNum w:abstractNumId="1" w15:restartNumberingAfterBreak="0">
    <w:nsid w:val="61A37D60"/>
    <w:multiLevelType w:val="hybridMultilevel"/>
    <w:tmpl w:val="20ACE3C6"/>
    <w:lvl w:ilvl="0" w:tplc="B7CCA02A">
      <w:start w:val="1"/>
      <w:numFmt w:val="decimal"/>
      <w:lvlText w:val="%1."/>
      <w:lvlJc w:val="left"/>
      <w:pPr>
        <w:ind w:left="720" w:hanging="360"/>
      </w:pPr>
    </w:lvl>
    <w:lvl w:ilvl="1" w:tplc="E0944DD4">
      <w:numFmt w:val="decimal"/>
      <w:lvlText w:val=""/>
      <w:lvlJc w:val="left"/>
    </w:lvl>
    <w:lvl w:ilvl="2" w:tplc="37A410D8">
      <w:numFmt w:val="decimal"/>
      <w:lvlText w:val=""/>
      <w:lvlJc w:val="left"/>
    </w:lvl>
    <w:lvl w:ilvl="3" w:tplc="A776C9DE">
      <w:numFmt w:val="decimal"/>
      <w:lvlText w:val=""/>
      <w:lvlJc w:val="left"/>
    </w:lvl>
    <w:lvl w:ilvl="4" w:tplc="C012F0B8">
      <w:numFmt w:val="decimal"/>
      <w:lvlText w:val=""/>
      <w:lvlJc w:val="left"/>
    </w:lvl>
    <w:lvl w:ilvl="5" w:tplc="4F04AA5A">
      <w:numFmt w:val="decimal"/>
      <w:lvlText w:val=""/>
      <w:lvlJc w:val="left"/>
    </w:lvl>
    <w:lvl w:ilvl="6" w:tplc="E24C215E">
      <w:numFmt w:val="decimal"/>
      <w:lvlText w:val=""/>
      <w:lvlJc w:val="left"/>
    </w:lvl>
    <w:lvl w:ilvl="7" w:tplc="808A8E5A">
      <w:numFmt w:val="decimal"/>
      <w:lvlText w:val=""/>
      <w:lvlJc w:val="left"/>
    </w:lvl>
    <w:lvl w:ilvl="8" w:tplc="BF6E8678">
      <w:numFmt w:val="decimal"/>
      <w:lvlText w:val=""/>
      <w:lvlJc w:val="left"/>
    </w:lvl>
  </w:abstractNum>
  <w:abstractNum w:abstractNumId="2" w15:restartNumberingAfterBreak="0">
    <w:nsid w:val="75AA443B"/>
    <w:multiLevelType w:val="hybridMultilevel"/>
    <w:tmpl w:val="952409C2"/>
    <w:lvl w:ilvl="0" w:tplc="AA306010">
      <w:start w:val="1"/>
      <w:numFmt w:val="bullet"/>
      <w:lvlText w:val="●"/>
      <w:lvlJc w:val="left"/>
      <w:pPr>
        <w:ind w:left="720" w:hanging="360"/>
      </w:pPr>
    </w:lvl>
    <w:lvl w:ilvl="1" w:tplc="B8A06082">
      <w:start w:val="1"/>
      <w:numFmt w:val="bullet"/>
      <w:lvlText w:val="○"/>
      <w:lvlJc w:val="left"/>
      <w:pPr>
        <w:ind w:left="1440" w:hanging="360"/>
      </w:pPr>
    </w:lvl>
    <w:lvl w:ilvl="2" w:tplc="C484859C">
      <w:start w:val="1"/>
      <w:numFmt w:val="bullet"/>
      <w:lvlText w:val="■"/>
      <w:lvlJc w:val="left"/>
      <w:pPr>
        <w:ind w:left="2160" w:hanging="360"/>
      </w:pPr>
    </w:lvl>
    <w:lvl w:ilvl="3" w:tplc="5BC28648">
      <w:start w:val="1"/>
      <w:numFmt w:val="bullet"/>
      <w:lvlText w:val="●"/>
      <w:lvlJc w:val="left"/>
      <w:pPr>
        <w:ind w:left="2880" w:hanging="360"/>
      </w:pPr>
    </w:lvl>
    <w:lvl w:ilvl="4" w:tplc="E2DCAC18">
      <w:start w:val="1"/>
      <w:numFmt w:val="bullet"/>
      <w:lvlText w:val="○"/>
      <w:lvlJc w:val="left"/>
      <w:pPr>
        <w:ind w:left="3600" w:hanging="360"/>
      </w:pPr>
    </w:lvl>
    <w:lvl w:ilvl="5" w:tplc="A99408C2">
      <w:start w:val="1"/>
      <w:numFmt w:val="bullet"/>
      <w:lvlText w:val="■"/>
      <w:lvlJc w:val="left"/>
      <w:pPr>
        <w:ind w:left="4320" w:hanging="360"/>
      </w:pPr>
    </w:lvl>
    <w:lvl w:ilvl="6" w:tplc="3698BAFC">
      <w:start w:val="1"/>
      <w:numFmt w:val="bullet"/>
      <w:lvlText w:val="●"/>
      <w:lvlJc w:val="left"/>
      <w:pPr>
        <w:ind w:left="5040" w:hanging="360"/>
      </w:pPr>
    </w:lvl>
    <w:lvl w:ilvl="7" w:tplc="E2A6829E">
      <w:start w:val="1"/>
      <w:numFmt w:val="bullet"/>
      <w:lvlText w:val="●"/>
      <w:lvlJc w:val="left"/>
      <w:pPr>
        <w:ind w:left="5760" w:hanging="360"/>
      </w:pPr>
    </w:lvl>
    <w:lvl w:ilvl="8" w:tplc="705267A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256"/>
    <w:rsid w:val="00961256"/>
    <w:rsid w:val="00AA205B"/>
    <w:rsid w:val="00CB2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8D54"/>
  <w15:docId w15:val="{91FC68D0-2B58-49EA-B9BE-D49B896A1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206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00" w:after="160"/>
      <w:outlineLvl w:val="0"/>
    </w:pPr>
    <w:rPr>
      <w:b/>
      <w:bCs/>
      <w:color w:val="1E2E6E"/>
      <w:sz w:val="36"/>
      <w:szCs w:val="36"/>
    </w:rPr>
  </w:style>
  <w:style w:type="paragraph" w:styleId="Ttulo2">
    <w:name w:val="heading 2"/>
    <w:qFormat/>
    <w:pPr>
      <w:spacing w:before="240" w:after="100"/>
      <w:outlineLvl w:val="1"/>
    </w:pPr>
    <w:rPr>
      <w:b/>
      <w:bCs/>
      <w:color w:val="1E2E6E"/>
      <w:sz w:val="28"/>
      <w:szCs w:val="28"/>
    </w:rPr>
  </w:style>
  <w:style w:type="paragraph" w:styleId="Ttulo3">
    <w:name w:val="heading 3"/>
    <w:qFormat/>
    <w:pPr>
      <w:spacing w:before="180" w:after="80"/>
      <w:outlineLvl w:val="2"/>
    </w:pPr>
    <w:rPr>
      <w:b/>
      <w:bCs/>
      <w:color w:val="00AECB"/>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A205B"/>
    <w:pPr>
      <w:tabs>
        <w:tab w:val="center" w:pos="4419"/>
        <w:tab w:val="right" w:pos="8838"/>
      </w:tabs>
    </w:pPr>
  </w:style>
  <w:style w:type="character" w:customStyle="1" w:styleId="EncabezadoCar">
    <w:name w:val="Encabezado Car"/>
    <w:basedOn w:val="Fuentedeprrafopredeter"/>
    <w:link w:val="Encabezado"/>
    <w:uiPriority w:val="99"/>
    <w:rsid w:val="00AA205B"/>
  </w:style>
  <w:style w:type="paragraph" w:styleId="Piedepgina">
    <w:name w:val="footer"/>
    <w:basedOn w:val="Normal"/>
    <w:link w:val="PiedepginaCar"/>
    <w:uiPriority w:val="99"/>
    <w:unhideWhenUsed/>
    <w:rsid w:val="00AA205B"/>
    <w:pPr>
      <w:tabs>
        <w:tab w:val="center" w:pos="4419"/>
        <w:tab w:val="right" w:pos="8838"/>
      </w:tabs>
    </w:pPr>
  </w:style>
  <w:style w:type="character" w:customStyle="1" w:styleId="PiedepginaCar">
    <w:name w:val="Pie de página Car"/>
    <w:basedOn w:val="Fuentedeprrafopredeter"/>
    <w:link w:val="Piedepgina"/>
    <w:uiPriority w:val="99"/>
    <w:rsid w:val="00AA20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4268</Words>
  <Characters>24330</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28541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2026-06-09T13:33:00Z</dcterms:created>
  <dcterms:modified xsi:type="dcterms:W3CDTF">2026-06-09T13:33:00Z</dcterms:modified>
</cp:coreProperties>
</file>