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71D1" w:rsidRDefault="000C71D1">
      <w:pPr>
        <w:spacing w:after="480"/>
      </w:pPr>
      <w:bookmarkStart w:id="0" w:name="_GoBack"/>
      <w:bookmarkEnd w:id="0"/>
    </w:p>
    <w:p w:rsidR="000C71D1" w:rsidRDefault="00EE72C3">
      <w:pPr>
        <w:spacing w:after="80"/>
        <w:jc w:val="center"/>
      </w:pPr>
      <w:r>
        <w:rPr>
          <w:b/>
          <w:bCs/>
          <w:color w:val="1E2E6E"/>
          <w:sz w:val="32"/>
          <w:szCs w:val="32"/>
        </w:rPr>
        <w:t>AFP INTEGRA</w:t>
      </w:r>
    </w:p>
    <w:p w:rsidR="000C71D1" w:rsidRDefault="00EE72C3">
      <w:pPr>
        <w:spacing w:after="480"/>
        <w:jc w:val="center"/>
      </w:pPr>
      <w:r>
        <w:rPr>
          <w:color w:val="595959"/>
          <w:sz w:val="24"/>
          <w:szCs w:val="24"/>
        </w:rPr>
        <w:t>Gerencia de Riesgos Financieros — ESG</w:t>
      </w:r>
    </w:p>
    <w:p w:rsidR="000C71D1" w:rsidRDefault="00EE72C3">
      <w:pPr>
        <w:spacing w:after="160"/>
        <w:jc w:val="center"/>
      </w:pPr>
      <w:r>
        <w:rPr>
          <w:b/>
          <w:bCs/>
          <w:color w:val="1E2E6E"/>
          <w:sz w:val="52"/>
          <w:szCs w:val="52"/>
        </w:rPr>
        <w:t>Manual de Uso</w:t>
      </w:r>
    </w:p>
    <w:p w:rsidR="000C71D1" w:rsidRDefault="00EE72C3">
      <w:pPr>
        <w:spacing w:after="100"/>
        <w:jc w:val="center"/>
      </w:pPr>
      <w:r>
        <w:rPr>
          <w:b/>
          <w:bCs/>
          <w:color w:val="333333"/>
          <w:sz w:val="36"/>
          <w:szCs w:val="36"/>
        </w:rPr>
        <w:t>Script de Análisis de Exposición de Cartera</w:t>
      </w:r>
    </w:p>
    <w:p w:rsidR="000C71D1" w:rsidRDefault="00EE72C3">
      <w:pPr>
        <w:spacing w:after="480"/>
        <w:jc w:val="center"/>
      </w:pPr>
      <w:r>
        <w:rPr>
          <w:b/>
          <w:bCs/>
          <w:color w:val="333333"/>
          <w:sz w:val="36"/>
          <w:szCs w:val="36"/>
        </w:rPr>
        <w:t>a Riesgos Físicos (CENEPRED)</w:t>
      </w:r>
    </w:p>
    <w:p w:rsidR="000C71D1" w:rsidRDefault="00EE72C3">
      <w:pPr>
        <w:spacing w:after="80"/>
        <w:jc w:val="center"/>
      </w:pPr>
      <w:r>
        <w:rPr>
          <w:color w:val="7A869A"/>
        </w:rPr>
        <w:t>Proyecto: Modelo Franco  ·  Versión 2026</w:t>
      </w:r>
    </w:p>
    <w:p w:rsidR="000C71D1" w:rsidRDefault="00EE72C3">
      <w:pPr>
        <w:spacing w:after="80"/>
        <w:jc w:val="center"/>
      </w:pPr>
      <w:r>
        <w:rPr>
          <w:color w:val="7A869A"/>
        </w:rPr>
        <w:t>Equipo: Renta Variable Local (RVL)</w:t>
      </w:r>
    </w:p>
    <w:p w:rsidR="000C71D1" w:rsidRDefault="00EE72C3">
      <w:r>
        <w:br w:type="page"/>
      </w:r>
    </w:p>
    <w:p w:rsidR="000C71D1" w:rsidRDefault="00EE72C3">
      <w:pPr>
        <w:pStyle w:val="Ttulo1"/>
      </w:pPr>
      <w:r>
        <w:lastRenderedPageBreak/>
        <w:t>1. ¿De qué se trata este script?</w:t>
      </w:r>
    </w:p>
    <w:p w:rsidR="000C71D1" w:rsidRDefault="00EE72C3">
      <w:pPr>
        <w:spacing w:after="120"/>
      </w:pPr>
      <w:r>
        <w:t xml:space="preserve">Este script responde una sola pregunta, pero importante: </w:t>
      </w:r>
      <w:r>
        <w:rPr>
          <w:b/>
          <w:bCs/>
        </w:rPr>
        <w:t>¿cuánto de la plata que AFP Integra tiene invertida está en zonas con alto riesgo de desastres naturales?</w:t>
      </w:r>
      <w:r>
        <w:t xml:space="preserve"> Y lo hace de manera automática, cruzando tres fuentes de datos distintas.</w:t>
      </w:r>
    </w:p>
    <w:p w:rsidR="000C71D1" w:rsidRDefault="000C71D1">
      <w:pPr>
        <w:spacing w:after="80"/>
      </w:pPr>
    </w:p>
    <w:p w:rsidR="000C71D1" w:rsidRDefault="00EE72C3">
      <w:pPr>
        <w:spacing w:after="120"/>
      </w:pPr>
      <w:r>
        <w:t>Piénsalo así: si u</w:t>
      </w:r>
      <w:r>
        <w:t>na empresa minera en la que el fondo tiene acciones opera en un distrito con alto riesgo de inundación, esa inversión está expuesta. El script cuantifica eso y lo pone en un mapa para que sea visual y fácil de comunicar.</w:t>
      </w:r>
    </w:p>
    <w:p w:rsidR="000C71D1" w:rsidRDefault="000C71D1">
      <w:pPr>
        <w:spacing w:after="80"/>
      </w:pPr>
    </w:p>
    <w:p w:rsidR="000C71D1" w:rsidRDefault="00EE72C3">
      <w:pPr>
        <w:spacing w:after="120"/>
      </w:pPr>
      <w:r>
        <w:t xml:space="preserve">El análisis cubre cuatro sectores </w:t>
      </w:r>
      <w:r>
        <w:t>de la cartera:</w:t>
      </w:r>
    </w:p>
    <w:p w:rsidR="000C71D1" w:rsidRDefault="00EE72C3">
      <w:pPr>
        <w:pStyle w:val="Prrafodelista"/>
        <w:numPr>
          <w:ilvl w:val="0"/>
          <w:numId w:val="2"/>
        </w:numPr>
        <w:spacing w:after="80"/>
      </w:pPr>
      <w:r>
        <w:rPr>
          <w:b/>
          <w:bCs/>
        </w:rPr>
        <w:t xml:space="preserve">Minería: </w:t>
      </w:r>
      <w:r>
        <w:t>empresas como Buenaventura, Volcan, Minsur, Cerro Verde, entre otras.</w:t>
      </w:r>
    </w:p>
    <w:p w:rsidR="000C71D1" w:rsidRDefault="00EE72C3">
      <w:pPr>
        <w:pStyle w:val="Prrafodelista"/>
        <w:numPr>
          <w:ilvl w:val="0"/>
          <w:numId w:val="2"/>
        </w:numPr>
        <w:spacing w:after="80"/>
      </w:pPr>
      <w:r>
        <w:rPr>
          <w:b/>
          <w:bCs/>
        </w:rPr>
        <w:t xml:space="preserve">Financiero (Bancos): </w:t>
      </w:r>
      <w:r>
        <w:t>Credicorp, Intercorp Perú y BBVA.</w:t>
      </w:r>
    </w:p>
    <w:p w:rsidR="000C71D1" w:rsidRDefault="00EE72C3">
      <w:pPr>
        <w:pStyle w:val="Prrafodelista"/>
        <w:numPr>
          <w:ilvl w:val="0"/>
          <w:numId w:val="2"/>
        </w:numPr>
        <w:spacing w:after="80"/>
      </w:pPr>
      <w:r>
        <w:rPr>
          <w:b/>
          <w:bCs/>
        </w:rPr>
        <w:t xml:space="preserve">Utilities (Generación eléctrica): </w:t>
      </w:r>
      <w:r>
        <w:t>Orygen, Engie, Orazen.</w:t>
      </w:r>
    </w:p>
    <w:p w:rsidR="000C71D1" w:rsidRDefault="00EE72C3">
      <w:pPr>
        <w:pStyle w:val="Prrafodelista"/>
        <w:numPr>
          <w:ilvl w:val="0"/>
          <w:numId w:val="2"/>
        </w:numPr>
        <w:spacing w:after="80"/>
      </w:pPr>
      <w:r>
        <w:rPr>
          <w:b/>
          <w:bCs/>
        </w:rPr>
        <w:t xml:space="preserve">Construcción (Cemento): </w:t>
      </w:r>
      <w:r>
        <w:t>Unacem y Pacasmayo.</w:t>
      </w:r>
    </w:p>
    <w:p w:rsidR="000C71D1" w:rsidRDefault="000C71D1">
      <w:pPr>
        <w:spacing w:after="80"/>
      </w:pPr>
    </w:p>
    <w:p w:rsidR="000C71D1" w:rsidRDefault="00EE72C3">
      <w:pPr>
        <w:spacing w:after="120"/>
      </w:pPr>
      <w:r>
        <w:t>Al ej</w:t>
      </w:r>
      <w:r>
        <w:t>ecutarlo, genera dos archivos de salida:</w:t>
      </w:r>
    </w:p>
    <w:p w:rsidR="000C71D1" w:rsidRDefault="00EE72C3">
      <w:pPr>
        <w:pStyle w:val="Prrafodelista"/>
        <w:numPr>
          <w:ilvl w:val="0"/>
          <w:numId w:val="2"/>
        </w:numPr>
        <w:spacing w:after="80"/>
      </w:pPr>
      <w:r>
        <w:rPr>
          <w:b/>
          <w:bCs/>
        </w:rPr>
        <w:t xml:space="preserve">Un Excel (.xlsx) </w:t>
      </w:r>
      <w:r>
        <w:t>con hojas por empresa, resúmenes y un listado de lo que no pudo geocodificar.</w:t>
      </w:r>
    </w:p>
    <w:p w:rsidR="000C71D1" w:rsidRDefault="00EE72C3">
      <w:pPr>
        <w:pStyle w:val="Prrafodelista"/>
        <w:numPr>
          <w:ilvl w:val="0"/>
          <w:numId w:val="2"/>
        </w:numPr>
        <w:spacing w:after="80"/>
      </w:pPr>
      <w:r>
        <w:rPr>
          <w:b/>
          <w:bCs/>
        </w:rPr>
        <w:t xml:space="preserve">Un HTML interactivo </w:t>
      </w:r>
      <w:r>
        <w:t>con un mapa coroplético del Perú donde se pueden ver los scores de peligro del CENEPRED y la plata e</w:t>
      </w:r>
      <w:r>
        <w:t>n riesgo por distrito.</w:t>
      </w:r>
    </w:p>
    <w:p w:rsidR="000C71D1" w:rsidRDefault="000C71D1">
      <w:pPr>
        <w:spacing w:after="80"/>
      </w:pPr>
    </w:p>
    <w:p w:rsidR="000C71D1" w:rsidRDefault="00EE72C3">
      <w:pPr>
        <w:pStyle w:val="Ttulo1"/>
      </w:pPr>
      <w:r>
        <w:t>2. Archivos que el script necesita para correr</w:t>
      </w:r>
    </w:p>
    <w:p w:rsidR="000C71D1" w:rsidRDefault="00EE72C3">
      <w:pPr>
        <w:spacing w:after="120"/>
      </w:pPr>
      <w:r>
        <w:t>El script busca estos archivos por nombre (no por ruta exacta), así que tolera que les cambies la fecha o el año. Lo que no puede tolerar es que no existan o que estén en la carpeta equivocada.</w:t>
      </w:r>
    </w:p>
    <w:p w:rsidR="000C71D1" w:rsidRDefault="000C71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Archivo</w:t>
            </w:r>
          </w:p>
        </w:tc>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Dónde debe estar</w:t>
            </w:r>
          </w:p>
        </w:tc>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Qué contiene</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Excel de Producción Minera</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Subcarpeta Output/ dentro de la carpeta base</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Titular, unidad minera, departamento, provincia, distrito, unidad de medida y producción acumulada del año.</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Riesgos Fisicos (Mapa Distrital) - 2026.xlsx</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Carpeta raíz del proyecto (BASE_DIR)</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Dos hojas clave: CENEPRED (scores 1-5 por distrito) y Valorización de Instrumentos (exposición en S/ por empresa).</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B-2358-resumen-*.xlsx</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Carpeta de AFP Integra (un nivel arriba de ESG/)</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Créditos bancarios por banco, departamento, provincia y distrito. Ya procesado (no es el crudo de la SBS).</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lastRenderedPageBreak/>
              <w:t>BD Utilities*.xlsx</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Carpeta Docs privados/Proyecto Inputs Macro/</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Potencia efectiva (MW) de cada central eléctrica por mes.</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BD Construcc*.xlsx</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Carpeta Docs privados/Proyecto Inputs Macro/</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Despachos de cemento (MT) de cada planta por mes.</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peru_distritos.geojson</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Subcarpeta Inputs/ (se descarga automático si no existe)</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Geometrías de los distritos del Perú. Solo se descarga una vez.</w:t>
            </w:r>
          </w:p>
        </w:tc>
      </w:tr>
    </w:tbl>
    <w:p w:rsidR="000C71D1" w:rsidRDefault="000C71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2" w:space="0" w:color="00AECB"/>
              <w:left w:val="single" w:sz="2" w:space="0" w:color="00AECB"/>
              <w:bottom w:val="single" w:sz="2" w:space="0" w:color="00AECB"/>
              <w:right w:val="single" w:sz="2" w:space="0" w:color="00AECB"/>
            </w:tcBorders>
            <w:shd w:val="clear" w:color="auto" w:fill="E8F8FB"/>
            <w:tcMar>
              <w:top w:w="120" w:type="dxa"/>
              <w:left w:w="160" w:type="dxa"/>
              <w:bottom w:w="120" w:type="dxa"/>
              <w:right w:w="160" w:type="dxa"/>
            </w:tcMar>
          </w:tcPr>
          <w:p w:rsidR="000C71D1" w:rsidRDefault="00EE72C3">
            <w:pPr>
              <w:spacing w:after="80"/>
            </w:pPr>
            <w:r>
              <w:rPr>
                <w:b/>
                <w:bCs/>
                <w:color w:val="1E2E6E"/>
              </w:rPr>
              <w:t>💡</w:t>
            </w:r>
            <w:r>
              <w:rPr>
                <w:b/>
                <w:bCs/>
                <w:color w:val="1E2E6E"/>
              </w:rPr>
              <w:t xml:space="preserve"> Si el script no encuentra un archivo</w:t>
            </w:r>
          </w:p>
          <w:p w:rsidR="000C71D1" w:rsidRDefault="00EE72C3">
            <w:pPr>
              <w:spacing w:after="60"/>
            </w:pPr>
            <w:r>
              <w:t>Imprime en consola el mensaje: No se encontró ningún archivo de [nombre] en [carpeta]. Te dice exactamente qué carpeta revisó y qué patrón de nombre buscaba. Basta con poner el archivo en esa carpeta con el nombre es</w:t>
            </w:r>
            <w:r>
              <w:t>perado.</w:t>
            </w:r>
          </w:p>
        </w:tc>
      </w:tr>
    </w:tbl>
    <w:p w:rsidR="000C71D1" w:rsidRDefault="000C71D1">
      <w:pPr>
        <w:spacing w:after="80"/>
      </w:pPr>
    </w:p>
    <w:p w:rsidR="000C71D1" w:rsidRDefault="00EE72C3">
      <w:pPr>
        <w:pStyle w:val="Ttulo1"/>
      </w:pPr>
      <w:r>
        <w:t>3. Cómo ejecutarlo</w:t>
      </w:r>
    </w:p>
    <w:p w:rsidR="000C71D1" w:rsidRDefault="00EE72C3">
      <w:pPr>
        <w:pStyle w:val="Ttulo2"/>
      </w:pPr>
      <w:r>
        <w:t>3.1 Requisitos previos</w:t>
      </w:r>
    </w:p>
    <w:p w:rsidR="000C71D1" w:rsidRDefault="00EE72C3">
      <w:pPr>
        <w:spacing w:after="120"/>
      </w:pPr>
      <w:r>
        <w:t>Necesitas tener Python 3.8 o superior con las siguientes librerías instaladas: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pip install pandas numpy openpyxl</w:t>
            </w:r>
          </w:p>
        </w:tc>
      </w:tr>
    </w:tbl>
    <w:p w:rsidR="000C71D1" w:rsidRDefault="00EE72C3">
      <w:pPr>
        <w:spacing w:after="120"/>
      </w:pPr>
      <w:r>
        <w:t>El script no necesita internet (salvo la primera vez que descarga el GeoJSON de los distritos del Perú). A partir de ahí trabaja todo localmente.</w:t>
      </w:r>
    </w:p>
    <w:p w:rsidR="000C71D1" w:rsidRDefault="000C71D1">
      <w:pPr>
        <w:spacing w:after="80"/>
      </w:pPr>
    </w:p>
    <w:p w:rsidR="000C71D1" w:rsidRDefault="00EE72C3">
      <w:pPr>
        <w:pStyle w:val="Ttulo2"/>
      </w:pPr>
      <w:r>
        <w:t>3.2 Ejecución normal</w:t>
      </w:r>
    </w:p>
    <w:p w:rsidR="000C71D1" w:rsidRDefault="00EE72C3">
      <w:pPr>
        <w:spacing w:after="120"/>
      </w:pPr>
      <w:r>
        <w:t>Desde la terminal, ve a la carpeta donde guardaste el script y ejecuta: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python riesgos_f</w:t>
            </w:r>
            <w:r>
              <w:rPr>
                <w:rFonts w:ascii="Courier New" w:eastAsia="Courier New" w:hAnsi="Courier New" w:cs="Courier New"/>
                <w:color w:val="333333"/>
                <w:sz w:val="18"/>
                <w:szCs w:val="18"/>
              </w:rPr>
              <w:t>isicos.py</w:t>
            </w:r>
          </w:p>
        </w:tc>
      </w:tr>
    </w:tbl>
    <w:p w:rsidR="000C71D1" w:rsidRDefault="00EE72C3">
      <w:pPr>
        <w:spacing w:after="120"/>
      </w:pPr>
      <w:r>
        <w:t>Verás en consola mensajes como estos, que te indican que todo va bien: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[INFO] ANÁLISIS DE RIESGOS FÍSICOS DE CARTERA — INICIO</w:t>
            </w:r>
          </w:p>
          <w:p w:rsidR="000C71D1" w:rsidRDefault="00EE72C3">
            <w:pPr>
              <w:spacing w:after="40"/>
            </w:pPr>
            <w:r>
              <w:rPr>
                <w:rFonts w:ascii="Courier New" w:eastAsia="Courier New" w:hAnsi="Courier New" w:cs="Courier New"/>
                <w:color w:val="333333"/>
                <w:sz w:val="18"/>
                <w:szCs w:val="18"/>
              </w:rPr>
              <w:t>[INFO] Producción : C:\...\Output\Producción Minera 2026.xlsx</w:t>
            </w:r>
          </w:p>
          <w:p w:rsidR="000C71D1" w:rsidRDefault="00EE72C3">
            <w:pPr>
              <w:spacing w:after="40"/>
            </w:pPr>
            <w:r>
              <w:rPr>
                <w:rFonts w:ascii="Courier New" w:eastAsia="Courier New" w:hAnsi="Courier New" w:cs="Courier New"/>
                <w:color w:val="333333"/>
                <w:sz w:val="18"/>
                <w:szCs w:val="18"/>
              </w:rPr>
              <w:t>[INFO] Riesgos    : C:\...\Riesgos Fisicos (Mapa Distrita</w:t>
            </w:r>
            <w:r>
              <w:rPr>
                <w:rFonts w:ascii="Courier New" w:eastAsia="Courier New" w:hAnsi="Courier New" w:cs="Courier New"/>
                <w:color w:val="333333"/>
                <w:sz w:val="18"/>
                <w:szCs w:val="18"/>
              </w:rPr>
              <w:t>l) - 2026.xlsx</w:t>
            </w:r>
          </w:p>
          <w:p w:rsidR="000C71D1" w:rsidRDefault="00EE72C3">
            <w:pPr>
              <w:spacing w:after="40"/>
            </w:pPr>
            <w:r>
              <w:rPr>
                <w:rFonts w:ascii="Courier New" w:eastAsia="Courier New" w:hAnsi="Courier New" w:cs="Courier New"/>
                <w:color w:val="333333"/>
                <w:sz w:val="18"/>
                <w:szCs w:val="18"/>
              </w:rPr>
              <w:t>[INFO] GeoJSON local: C:\...\Inputs\peru_distritos.geojson</w:t>
            </w:r>
          </w:p>
          <w:p w:rsidR="000C71D1" w:rsidRDefault="00EE72C3">
            <w:pPr>
              <w:spacing w:after="40"/>
            </w:pPr>
            <w:r>
              <w:rPr>
                <w:rFonts w:ascii="Courier New" w:eastAsia="Courier New" w:hAnsi="Courier New" w:cs="Courier New"/>
                <w:color w:val="333333"/>
                <w:sz w:val="18"/>
                <w:szCs w:val="18"/>
              </w:rPr>
              <w:t>[INFO] CENEPRED: 1840 distritos con score.</w:t>
            </w:r>
          </w:p>
          <w:p w:rsidR="000C71D1" w:rsidRDefault="00EE72C3">
            <w:pPr>
              <w:spacing w:after="40"/>
            </w:pPr>
            <w:r>
              <w:rPr>
                <w:rFonts w:ascii="Courier New" w:eastAsia="Courier New" w:hAnsi="Courier New" w:cs="Courier New"/>
                <w:color w:val="333333"/>
                <w:sz w:val="18"/>
                <w:szCs w:val="18"/>
              </w:rPr>
              <w:t>[INFO] Producción: 3200 filas válidas; 850 de las empresas del universo (7 empresas).</w:t>
            </w:r>
          </w:p>
          <w:p w:rsidR="000C71D1" w:rsidRDefault="00EE72C3">
            <w:pPr>
              <w:spacing w:after="40"/>
            </w:pPr>
            <w:r>
              <w:rPr>
                <w:rFonts w:ascii="Courier New" w:eastAsia="Courier New" w:hAnsi="Courier New" w:cs="Courier New"/>
                <w:color w:val="333333"/>
                <w:sz w:val="18"/>
                <w:szCs w:val="18"/>
              </w:rPr>
              <w:t>[INFO] Excel generado : C:\...\Inputs\Riesgos_Fisicos</w:t>
            </w:r>
            <w:r>
              <w:rPr>
                <w:rFonts w:ascii="Courier New" w:eastAsia="Courier New" w:hAnsi="Courier New" w:cs="Courier New"/>
                <w:color w:val="333333"/>
                <w:sz w:val="18"/>
                <w:szCs w:val="18"/>
              </w:rPr>
              <w:t>_Cartera_20260611_1430.xlsx</w:t>
            </w:r>
          </w:p>
          <w:p w:rsidR="000C71D1" w:rsidRDefault="00EE72C3">
            <w:pPr>
              <w:spacing w:after="40"/>
            </w:pPr>
            <w:r>
              <w:rPr>
                <w:rFonts w:ascii="Courier New" w:eastAsia="Courier New" w:hAnsi="Courier New" w:cs="Courier New"/>
                <w:color w:val="333333"/>
                <w:sz w:val="18"/>
                <w:szCs w:val="18"/>
              </w:rPr>
              <w:t>[INFO] HTML generado  : C:\...\Inputs\Mapa_Riesgos_Fisicos_20260611_1430.html</w:t>
            </w:r>
          </w:p>
          <w:p w:rsidR="000C71D1" w:rsidRDefault="00EE72C3">
            <w:pPr>
              <w:spacing w:after="40"/>
            </w:pPr>
            <w:r>
              <w:rPr>
                <w:rFonts w:ascii="Courier New" w:eastAsia="Courier New" w:hAnsi="Courier New" w:cs="Courier New"/>
                <w:color w:val="333333"/>
                <w:sz w:val="18"/>
                <w:szCs w:val="18"/>
              </w:rPr>
              <w:t>[INFO] PROCESO COMPLETADO</w:t>
            </w:r>
          </w:p>
        </w:tc>
      </w:tr>
    </w:tbl>
    <w:p w:rsidR="000C71D1" w:rsidRDefault="000C71D1">
      <w:pPr>
        <w:spacing w:after="80"/>
      </w:pPr>
    </w:p>
    <w:p w:rsidR="000C71D1" w:rsidRDefault="00EE72C3">
      <w:pPr>
        <w:pStyle w:val="Ttulo2"/>
      </w:pPr>
      <w:r>
        <w:t>3.3 Dónde quedan los archivos de salida</w:t>
      </w:r>
    </w:p>
    <w:p w:rsidR="000C71D1" w:rsidRDefault="000C71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lastRenderedPageBreak/>
              <w:t>C:\...\AFP INTEGRA\ESG\Riesgos Fisicos\2026\Inputs\</w:t>
            </w:r>
          </w:p>
          <w:p w:rsidR="000C71D1" w:rsidRDefault="00EE72C3">
            <w:pPr>
              <w:spacing w:after="40"/>
            </w:pPr>
            <w:r>
              <w:rPr>
                <w:rFonts w:ascii="Courier New" w:eastAsia="Courier New" w:hAnsi="Courier New" w:cs="Courier New"/>
                <w:color w:val="333333"/>
                <w:sz w:val="18"/>
                <w:szCs w:val="18"/>
              </w:rPr>
              <w:t xml:space="preserve">    Riesgos_Fisicos_Cartera_20260611_1430.xlsx</w:t>
            </w:r>
          </w:p>
          <w:p w:rsidR="000C71D1" w:rsidRDefault="00EE72C3">
            <w:pPr>
              <w:spacing w:after="40"/>
            </w:pPr>
            <w:r>
              <w:rPr>
                <w:rFonts w:ascii="Courier New" w:eastAsia="Courier New" w:hAnsi="Courier New" w:cs="Courier New"/>
                <w:color w:val="333333"/>
                <w:sz w:val="18"/>
                <w:szCs w:val="18"/>
              </w:rPr>
              <w:t xml:space="preserve">    Mapa_Riesgos_Fisicos_20260611_1430.html</w:t>
            </w:r>
          </w:p>
        </w:tc>
      </w:tr>
    </w:tbl>
    <w:p w:rsidR="000C71D1" w:rsidRDefault="000C71D1">
      <w:pPr>
        <w:spacing w:after="80"/>
      </w:pPr>
    </w:p>
    <w:p w:rsidR="000C71D1" w:rsidRDefault="00EE72C3">
      <w:pPr>
        <w:pStyle w:val="Ttulo2"/>
      </w:pPr>
      <w:r>
        <w:t>3.4 Mensajes de advertencia (WARN) vs. errores fatales</w:t>
      </w:r>
    </w:p>
    <w:p w:rsidR="000C71D1" w:rsidRDefault="00EE72C3">
      <w:pPr>
        <w:spacing w:after="120"/>
      </w:pPr>
      <w:r>
        <w:t>No todos los mensajes en consola son iguales:</w:t>
      </w:r>
    </w:p>
    <w:p w:rsidR="000C71D1" w:rsidRDefault="00EE72C3">
      <w:pPr>
        <w:pStyle w:val="Prrafodelista"/>
        <w:numPr>
          <w:ilvl w:val="0"/>
          <w:numId w:val="2"/>
        </w:numPr>
        <w:spacing w:after="80"/>
      </w:pPr>
      <w:r>
        <w:rPr>
          <w:b/>
          <w:bCs/>
        </w:rPr>
        <w:t xml:space="preserve">[WARN] </w:t>
      </w:r>
      <w:r>
        <w:t>Solo avisa. El script continúa. Ejemplo: un banco del r</w:t>
      </w:r>
      <w:r>
        <w:t>esumen que no está mapeado al portafolio, o un mes que falta en la BD de Utilities.</w:t>
      </w:r>
    </w:p>
    <w:p w:rsidR="000C71D1" w:rsidRDefault="00EE72C3">
      <w:pPr>
        <w:pStyle w:val="Prrafodelista"/>
        <w:numPr>
          <w:ilvl w:val="0"/>
          <w:numId w:val="2"/>
        </w:numPr>
        <w:spacing w:after="80"/>
      </w:pPr>
      <w:r>
        <w:rPr>
          <w:b/>
          <w:bCs/>
        </w:rPr>
        <w:t xml:space="preserve">[ERROR] </w:t>
      </w:r>
      <w:r>
        <w:t>El script se detiene. Incluye el detalle del problema y qué hacer para resolverlo. El mensaje siempre dice qué buscaba, qué encontró y dónde mirar.</w:t>
      </w:r>
    </w:p>
    <w:p w:rsidR="000C71D1" w:rsidRDefault="000C71D1">
      <w:pPr>
        <w:spacing w:after="80"/>
      </w:pPr>
    </w:p>
    <w:p w:rsidR="000C71D1" w:rsidRDefault="00EE72C3">
      <w:pPr>
        <w:pStyle w:val="Ttulo1"/>
      </w:pPr>
      <w:r>
        <w:t>4. La sección CONFIG: todo lo que puedes ajustar</w:t>
      </w:r>
    </w:p>
    <w:p w:rsidR="000C71D1" w:rsidRDefault="00EE72C3">
      <w:pPr>
        <w:spacing w:after="120"/>
      </w:pPr>
      <w:r>
        <w:t xml:space="preserve">Al inicio del script (sección </w:t>
      </w:r>
      <w:r>
        <w:rPr>
          <w:rFonts w:ascii="Courier New" w:eastAsia="Courier New" w:hAnsi="Courier New" w:cs="Courier New"/>
          <w:color w:val="C7254E"/>
          <w:sz w:val="20"/>
          <w:szCs w:val="20"/>
        </w:rPr>
        <w:t># 1) CONFIG — EDITAR AQUÍ</w:t>
      </w:r>
      <w:r>
        <w:t>) hay un bloque pensado para que puedas hacer cambios sin tocar la lógica del código. Estos son los parámetros más importantes:</w:t>
      </w:r>
    </w:p>
    <w:p w:rsidR="000C71D1" w:rsidRDefault="000C71D1">
      <w:pPr>
        <w:spacing w:after="80"/>
      </w:pPr>
    </w:p>
    <w:p w:rsidR="000C71D1" w:rsidRDefault="00EE72C3">
      <w:pPr>
        <w:pStyle w:val="Ttulo2"/>
      </w:pPr>
      <w:r>
        <w:t>4.1 Rutas de archivos</w:t>
      </w:r>
    </w:p>
    <w:p w:rsidR="000C71D1" w:rsidRDefault="00EE72C3">
      <w:pPr>
        <w:spacing w:after="120"/>
      </w:pPr>
      <w:r>
        <w:rPr>
          <w:b/>
          <w:bCs/>
        </w:rPr>
        <w:t>B</w:t>
      </w:r>
      <w:r>
        <w:rPr>
          <w:b/>
          <w:bCs/>
        </w:rPr>
        <w:t>ASE_DIR</w:t>
      </w:r>
      <w:r>
        <w:t>: es la carpeta raíz de todo el proyecto. Si tu OneDrive o carpeta de red tiene una ruta diferente, este es el único parámetro que necesitas cambiar: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BASE_DIR = r"C:\Users\tu_usuario\OneDrive\Desktop\AFP INTEGRA\ESG\Riesgos Fisicos\2026"</w:t>
            </w:r>
          </w:p>
        </w:tc>
      </w:tr>
    </w:tbl>
    <w:p w:rsidR="000C71D1" w:rsidRDefault="00EE72C3">
      <w:pPr>
        <w:spacing w:after="120"/>
      </w:pPr>
      <w:r>
        <w:t>Las demás rutas (Output, Inputs, etc.) se construyen automáticamente a partir de BASE_DIR.</w:t>
      </w:r>
    </w:p>
    <w:p w:rsidR="000C71D1" w:rsidRDefault="000C71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2" w:space="0" w:color="00AECB"/>
              <w:left w:val="single" w:sz="2" w:space="0" w:color="00AECB"/>
              <w:bottom w:val="single" w:sz="2" w:space="0" w:color="00AECB"/>
              <w:right w:val="single" w:sz="2" w:space="0" w:color="00AECB"/>
            </w:tcBorders>
            <w:shd w:val="clear" w:color="auto" w:fill="E8F8FB"/>
            <w:tcMar>
              <w:top w:w="120" w:type="dxa"/>
              <w:left w:w="160" w:type="dxa"/>
              <w:bottom w:w="120" w:type="dxa"/>
              <w:right w:w="160" w:type="dxa"/>
            </w:tcMar>
          </w:tcPr>
          <w:p w:rsidR="000C71D1" w:rsidRDefault="00EE72C3">
            <w:pPr>
              <w:spacing w:after="80"/>
            </w:pPr>
            <w:r>
              <w:rPr>
                <w:b/>
                <w:bCs/>
                <w:color w:val="1E2E6E"/>
              </w:rPr>
              <w:t>🔧</w:t>
            </w:r>
            <w:r>
              <w:rPr>
                <w:b/>
                <w:bCs/>
                <w:color w:val="1E2E6E"/>
              </w:rPr>
              <w:t xml:space="preserve"> Tip para pruebas locales</w:t>
            </w:r>
          </w:p>
          <w:p w:rsidR="000C71D1" w:rsidRDefault="00EE72C3">
            <w:pPr>
              <w:spacing w:after="60"/>
            </w:pPr>
            <w:r>
              <w:t>Puedes setear la variable de entorno RF_BASE antes de ejecutar el script para apuntar a una carpeta de prueba sin modificar el código:</w:t>
            </w:r>
          </w:p>
          <w:p w:rsidR="000C71D1" w:rsidRDefault="00EE72C3">
            <w:pPr>
              <w:spacing w:after="60"/>
            </w:pPr>
            <w:r>
              <w:t xml:space="preserve"> </w:t>
            </w:r>
            <w:r>
              <w:t xml:space="preserve"> set RF_BASE=C:\pruebas\riesgos  (Windows)</w:t>
            </w:r>
          </w:p>
          <w:p w:rsidR="000C71D1" w:rsidRDefault="00EE72C3">
            <w:pPr>
              <w:spacing w:after="60"/>
            </w:pPr>
            <w:r>
              <w:t xml:space="preserve">  export RF_BASE=/pruebas/riesgos  (Linux/Mac)</w:t>
            </w:r>
          </w:p>
        </w:tc>
      </w:tr>
    </w:tbl>
    <w:p w:rsidR="000C71D1" w:rsidRDefault="000C71D1">
      <w:pPr>
        <w:spacing w:after="80"/>
      </w:pPr>
    </w:p>
    <w:p w:rsidR="000C71D1" w:rsidRDefault="00EE72C3">
      <w:pPr>
        <w:pStyle w:val="Ttulo2"/>
      </w:pPr>
      <w:r>
        <w:t>4.2 Equivalencia de nombres de empresa</w:t>
      </w:r>
    </w:p>
    <w:p w:rsidR="000C71D1" w:rsidRDefault="00EE72C3">
      <w:pPr>
        <w:spacing w:after="120"/>
      </w:pPr>
      <w:r>
        <w:t>Esta es probablemente la parte que más vas a editar. Hay tres diccionarios:</w:t>
      </w:r>
    </w:p>
    <w:p w:rsidR="000C71D1" w:rsidRDefault="000C71D1">
      <w:pPr>
        <w:spacing w:after="80"/>
      </w:pPr>
    </w:p>
    <w:p w:rsidR="000C71D1" w:rsidRDefault="00EE72C3">
      <w:pPr>
        <w:spacing w:after="120"/>
      </w:pPr>
      <w:r>
        <w:rPr>
          <w:b/>
          <w:bCs/>
        </w:rPr>
        <w:t>EQUIV_EMPRESAS_PRODUCCION</w:t>
      </w:r>
      <w:r>
        <w:t>: mapea el nombre legal del titular en el Excel de producción minera al nombre canónico (corto) que se usa en el reporte. Por ejemplo: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lastRenderedPageBreak/>
              <w:t>"COMPAÑIA DE MINAS BUENAVENTURA S.A.A." : "Buenaventura"</w:t>
            </w:r>
          </w:p>
          <w:p w:rsidR="000C71D1" w:rsidRDefault="00EE72C3">
            <w:pPr>
              <w:spacing w:after="40"/>
            </w:pPr>
            <w:r>
              <w:rPr>
                <w:rFonts w:ascii="Courier New" w:eastAsia="Courier New" w:hAnsi="Courier New" w:cs="Courier New"/>
                <w:color w:val="333333"/>
                <w:sz w:val="18"/>
                <w:szCs w:val="18"/>
              </w:rPr>
              <w:t>"SOCIEDAD MINERA EL BROCAL S.A.A."      : "Buenaventura",   ← su</w:t>
            </w:r>
            <w:r>
              <w:rPr>
                <w:rFonts w:ascii="Courier New" w:eastAsia="Courier New" w:hAnsi="Courier New" w:cs="Courier New"/>
                <w:color w:val="333333"/>
                <w:sz w:val="18"/>
                <w:szCs w:val="18"/>
              </w:rPr>
              <w:t>bsidiaria, mismo grupo</w:t>
            </w:r>
          </w:p>
          <w:p w:rsidR="000C71D1" w:rsidRDefault="00EE72C3">
            <w:pPr>
              <w:spacing w:after="40"/>
            </w:pPr>
            <w:r>
              <w:rPr>
                <w:rFonts w:ascii="Courier New" w:eastAsia="Courier New" w:hAnsi="Courier New" w:cs="Courier New"/>
                <w:color w:val="333333"/>
                <w:sz w:val="18"/>
                <w:szCs w:val="18"/>
              </w:rPr>
              <w:t>"NEXA RESOURCES PERU S.A.A."             : "Nexa Resources Perú"</w:t>
            </w:r>
          </w:p>
        </w:tc>
      </w:tr>
    </w:tbl>
    <w:p w:rsidR="000C71D1" w:rsidRDefault="00EE72C3">
      <w:pPr>
        <w:spacing w:after="120"/>
      </w:pPr>
      <w:r>
        <w:rPr>
          <w:b/>
          <w:bCs/>
        </w:rPr>
        <w:t>EQUIV_EMPRESAS_EXPOSICION</w:t>
      </w:r>
      <w:r>
        <w:t>: hace lo mismo pero para los nombres que aparecen en la columna H de la hoja Valorización de Instrumentos.</w:t>
      </w:r>
    </w:p>
    <w:p w:rsidR="000C71D1" w:rsidRDefault="00EE72C3">
      <w:pPr>
        <w:spacing w:after="120"/>
      </w:pPr>
      <w:r>
        <w:rPr>
          <w:b/>
          <w:bCs/>
        </w:rPr>
        <w:t>EQUIV_EMPRESAS_FINANCIERO</w:t>
      </w:r>
      <w:r>
        <w:t>: lo mismo para los bancos. Incluye también a Mibanco como parte de Credicorp.</w:t>
      </w:r>
    </w:p>
    <w:p w:rsidR="000C71D1" w:rsidRDefault="000C71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2" w:space="0" w:color="00AECB"/>
              <w:left w:val="single" w:sz="2" w:space="0" w:color="00AECB"/>
              <w:bottom w:val="single" w:sz="2" w:space="0" w:color="00AECB"/>
              <w:right w:val="single" w:sz="2" w:space="0" w:color="00AECB"/>
            </w:tcBorders>
            <w:shd w:val="clear" w:color="auto" w:fill="E8F8FB"/>
            <w:tcMar>
              <w:top w:w="120" w:type="dxa"/>
              <w:left w:w="160" w:type="dxa"/>
              <w:bottom w:w="120" w:type="dxa"/>
              <w:right w:w="160" w:type="dxa"/>
            </w:tcMar>
          </w:tcPr>
          <w:p w:rsidR="000C71D1" w:rsidRDefault="00EE72C3">
            <w:pPr>
              <w:spacing w:after="80"/>
            </w:pPr>
            <w:r>
              <w:rPr>
                <w:b/>
                <w:bCs/>
                <w:color w:val="1E2E6E"/>
              </w:rPr>
              <w:t>⚠</w:t>
            </w:r>
            <w:r>
              <w:rPr>
                <w:b/>
                <w:bCs/>
                <w:color w:val="1E2E6E"/>
              </w:rPr>
              <w:t>️</w:t>
            </w:r>
            <w:r>
              <w:rPr>
                <w:b/>
                <w:bCs/>
                <w:color w:val="1E2E6E"/>
              </w:rPr>
              <w:t xml:space="preserve"> Cuándo actualizar estas equivalencias</w:t>
            </w:r>
          </w:p>
          <w:p w:rsidR="000C71D1" w:rsidRDefault="00EE72C3">
            <w:pPr>
              <w:spacing w:after="60"/>
            </w:pPr>
            <w:r>
              <w:t>Si el MINEM cambia el nombre de un titular en su reporte de producción, o si se crea una nueva subsidiaria, el script imprimirá un WARN</w:t>
            </w:r>
            <w:r>
              <w:t xml:space="preserve"> diciendo qué nombre no encontró. Agrégalo al diccionario correspondiente.</w:t>
            </w:r>
          </w:p>
          <w:p w:rsidR="000C71D1" w:rsidRDefault="00EE72C3">
            <w:pPr>
              <w:spacing w:after="60"/>
            </w:pPr>
            <w:r>
              <w:t>Siempre usa el nombre exacto tal como aparece en el archivo de origen (mayúsculas, puntos, etc.).</w:t>
            </w:r>
          </w:p>
        </w:tc>
      </w:tr>
    </w:tbl>
    <w:p w:rsidR="000C71D1" w:rsidRDefault="000C71D1">
      <w:pPr>
        <w:spacing w:after="80"/>
      </w:pPr>
    </w:p>
    <w:p w:rsidR="000C71D1" w:rsidRDefault="00EE72C3">
      <w:pPr>
        <w:pStyle w:val="Ttulo2"/>
      </w:pPr>
      <w:r>
        <w:t>4.3 Método de asignación de la exposición</w:t>
      </w:r>
    </w:p>
    <w:p w:rsidR="000C71D1" w:rsidRDefault="00EE72C3">
      <w:pPr>
        <w:spacing w:after="120"/>
      </w:pPr>
      <w:r>
        <w:t xml:space="preserve">El parámetro </w:t>
      </w:r>
      <w:r>
        <w:rPr>
          <w:rFonts w:ascii="Courier New" w:eastAsia="Courier New" w:hAnsi="Courier New" w:cs="Courier New"/>
          <w:color w:val="C7254E"/>
          <w:sz w:val="20"/>
          <w:szCs w:val="20"/>
        </w:rPr>
        <w:t>METODO_ASIGNACION</w:t>
      </w:r>
      <w:r>
        <w:t xml:space="preserve"> define cómo se reparte la exposición de cartera de cada empresa entre los distritos donde opera. Tiene tres opciones: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Método</w:t>
            </w:r>
          </w:p>
        </w:tc>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Descripción</w:t>
            </w:r>
          </w:p>
        </w:tc>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Cuándo usarlo</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tmf_share (recomendado)</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Proporcional a la producción (TMF) en cada distrito. Las minas que más producen en esa zona reciben más exposición.</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Casi siempre. Refleja mejor la concentración operativa real.</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equal</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Reparte la exposición en partes iguales entre todos los distritos de la empresa.</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Si la producción no es un buen proxy del peso de cada ubicación.</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units_share</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Proporcional al número de unidades mineras por distrito.</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Si hay muchas unidades pequeñas y pocas grandes.</w:t>
            </w:r>
          </w:p>
        </w:tc>
      </w:tr>
    </w:tbl>
    <w:p w:rsidR="000C71D1" w:rsidRDefault="000C71D1">
      <w:pPr>
        <w:spacing w:after="80"/>
      </w:pPr>
    </w:p>
    <w:p w:rsidR="000C71D1" w:rsidRDefault="00EE72C3">
      <w:pPr>
        <w:pStyle w:val="Ttulo2"/>
      </w:pPr>
      <w:r>
        <w:t>4.4 Interruptores de sectores</w:t>
      </w:r>
    </w:p>
    <w:p w:rsidR="000C71D1" w:rsidRDefault="00EE72C3">
      <w:pPr>
        <w:spacing w:after="120"/>
      </w:pPr>
      <w:r>
        <w:t>Puedes activar o desactivar cada sector sin borrar código. Solo cambia el valor a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INCLUIR_FINANCIERO    = True    # poner False para omitir bancos</w:t>
            </w:r>
          </w:p>
          <w:p w:rsidR="000C71D1" w:rsidRDefault="00EE72C3">
            <w:pPr>
              <w:spacing w:after="40"/>
            </w:pPr>
            <w:r>
              <w:rPr>
                <w:rFonts w:ascii="Courier New" w:eastAsia="Courier New" w:hAnsi="Courier New" w:cs="Courier New"/>
                <w:color w:val="333333"/>
                <w:sz w:val="18"/>
                <w:szCs w:val="18"/>
              </w:rPr>
              <w:t>INCLUIR_UTILITIES     = True    # poner False para omitir generadoras</w:t>
            </w:r>
          </w:p>
          <w:p w:rsidR="000C71D1" w:rsidRDefault="00EE72C3">
            <w:pPr>
              <w:spacing w:after="40"/>
            </w:pPr>
            <w:r>
              <w:rPr>
                <w:rFonts w:ascii="Courier New" w:eastAsia="Courier New" w:hAnsi="Courier New" w:cs="Courier New"/>
                <w:color w:val="333333"/>
                <w:sz w:val="18"/>
                <w:szCs w:val="18"/>
              </w:rPr>
              <w:t>INCLUIR_CONSTRUCCION  = True    # poner False para omitir cementeras</w:t>
            </w:r>
          </w:p>
        </w:tc>
      </w:tr>
    </w:tbl>
    <w:p w:rsidR="000C71D1" w:rsidRDefault="00EE72C3">
      <w:pPr>
        <w:spacing w:after="120"/>
      </w:pPr>
      <w:r>
        <w:t>Esto es útil si, por ejemplo, los datos de Utilities aún no están listos pero quieres correr minería y banca.</w:t>
      </w:r>
    </w:p>
    <w:p w:rsidR="000C71D1" w:rsidRDefault="000C71D1">
      <w:pPr>
        <w:spacing w:after="80"/>
      </w:pPr>
    </w:p>
    <w:p w:rsidR="000C71D1" w:rsidRDefault="00EE72C3">
      <w:pPr>
        <w:pStyle w:val="Ttulo2"/>
      </w:pPr>
      <w:r>
        <w:t>4.5 Ventana temporal (Utilities y Construcción)</w:t>
      </w:r>
    </w:p>
    <w:p w:rsidR="000C71D1" w:rsidRDefault="000C71D1"/>
    <w:p w:rsidR="000C71D1" w:rsidRDefault="000C71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SEMESTRE_REF = None         # usa la fecha de hoy (comportamiento normal)</w:t>
            </w:r>
          </w:p>
          <w:p w:rsidR="000C71D1" w:rsidRDefault="00EE72C3">
            <w:pPr>
              <w:spacing w:after="40"/>
            </w:pPr>
            <w:r>
              <w:rPr>
                <w:rFonts w:ascii="Courier New" w:eastAsia="Courier New" w:hAnsi="Courier New" w:cs="Courier New"/>
                <w:color w:val="333333"/>
                <w:sz w:val="18"/>
                <w:szCs w:val="18"/>
              </w:rPr>
              <w:t>SEMESTRE_REF = "2025-12-31" # fija el cierre al 31-dic-2025, sin importar cuándo se ejecute</w:t>
            </w:r>
          </w:p>
        </w:tc>
      </w:tr>
    </w:tbl>
    <w:p w:rsidR="000C71D1" w:rsidRDefault="00EE72C3">
      <w:pPr>
        <w:spacing w:after="120"/>
      </w:pPr>
      <w:r>
        <w:t>Fijar una fecha es útil para reproducir</w:t>
      </w:r>
      <w:r>
        <w:t xml:space="preserve"> exactamente un cierre histórico.</w:t>
      </w:r>
    </w:p>
    <w:p w:rsidR="000C71D1" w:rsidRDefault="000C71D1">
      <w:pPr>
        <w:spacing w:after="80"/>
      </w:pPr>
    </w:p>
    <w:p w:rsidR="000C71D1" w:rsidRDefault="00EE72C3">
      <w:pPr>
        <w:pStyle w:val="Ttulo2"/>
      </w:pPr>
      <w:r>
        <w:t>4.6 Correcciones de geocodificación</w:t>
      </w:r>
    </w:p>
    <w:p w:rsidR="000C71D1" w:rsidRDefault="000C71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 Clave: (departamento, provincia, distrito) en mayúsculas sin tildes</w:t>
            </w:r>
          </w:p>
          <w:p w:rsidR="000C71D1" w:rsidRDefault="00EE72C3">
            <w:pPr>
              <w:spacing w:after="40"/>
            </w:pPr>
            <w:r>
              <w:rPr>
                <w:rFonts w:ascii="Courier New" w:eastAsia="Courier New" w:hAnsi="Courier New" w:cs="Courier New"/>
                <w:color w:val="333333"/>
                <w:sz w:val="18"/>
                <w:szCs w:val="18"/>
              </w:rPr>
              <w:t># Valor: UBIGEO de 6 dígitos</w:t>
            </w:r>
          </w:p>
          <w:p w:rsidR="000C71D1" w:rsidRDefault="00EE72C3">
            <w:pPr>
              <w:spacing w:after="40"/>
            </w:pPr>
            <w:r>
              <w:rPr>
                <w:rFonts w:ascii="Courier New" w:eastAsia="Courier New" w:hAnsi="Courier New" w:cs="Courier New"/>
                <w:color w:val="333333"/>
                <w:sz w:val="18"/>
                <w:szCs w:val="18"/>
              </w:rPr>
              <w:t>OVERRIDE_UBIGEO = {</w:t>
            </w:r>
          </w:p>
          <w:p w:rsidR="000C71D1" w:rsidRDefault="00EE72C3">
            <w:pPr>
              <w:spacing w:after="40"/>
            </w:pPr>
            <w:r>
              <w:rPr>
                <w:rFonts w:ascii="Courier New" w:eastAsia="Courier New" w:hAnsi="Courier New" w:cs="Courier New"/>
                <w:color w:val="333333"/>
                <w:sz w:val="18"/>
                <w:szCs w:val="18"/>
              </w:rPr>
              <w:t xml:space="preserve">    ("LIMA", "LIMA", "PUEBLO LIBRE"): "150121",</w:t>
            </w:r>
          </w:p>
          <w:p w:rsidR="000C71D1" w:rsidRDefault="00EE72C3">
            <w:pPr>
              <w:spacing w:after="40"/>
            </w:pPr>
            <w:r>
              <w:rPr>
                <w:rFonts w:ascii="Courier New" w:eastAsia="Courier New" w:hAnsi="Courier New" w:cs="Courier New"/>
                <w:color w:val="333333"/>
                <w:sz w:val="18"/>
                <w:szCs w:val="18"/>
              </w:rPr>
              <w:t>}</w:t>
            </w:r>
          </w:p>
        </w:tc>
      </w:tr>
    </w:tbl>
    <w:p w:rsidR="000C71D1" w:rsidRDefault="000C71D1"/>
    <w:p w:rsidR="000C71D1" w:rsidRDefault="000C71D1">
      <w:pPr>
        <w:spacing w:after="80"/>
      </w:pPr>
    </w:p>
    <w:p w:rsidR="000C71D1" w:rsidRDefault="00EE72C3">
      <w:pPr>
        <w:pStyle w:val="Ttulo1"/>
      </w:pPr>
      <w:r>
        <w:t>5. Cómo funciona por dentro (sin complicarse)</w:t>
      </w:r>
    </w:p>
    <w:p w:rsidR="000C71D1" w:rsidRDefault="00EE72C3">
      <w:pPr>
        <w:spacing w:after="120"/>
      </w:pPr>
      <w:r>
        <w:t>No necesitas entender cada línea de código para usarlo, pero sí conviene tener una idea del flujo general para saber qué hacer cuando algo falla.</w:t>
      </w:r>
    </w:p>
    <w:p w:rsidR="000C71D1" w:rsidRDefault="000C71D1">
      <w:pPr>
        <w:spacing w:after="80"/>
      </w:pPr>
    </w:p>
    <w:p w:rsidR="000C71D1" w:rsidRDefault="00EE72C3">
      <w:pPr>
        <w:pStyle w:val="Ttulo2"/>
      </w:pPr>
      <w:r>
        <w:t>5.1 El flujo de trabajo paso a paso</w:t>
      </w:r>
    </w:p>
    <w:p w:rsidR="000C71D1" w:rsidRDefault="00EE72C3">
      <w:pPr>
        <w:pStyle w:val="Prrafodelista"/>
        <w:numPr>
          <w:ilvl w:val="0"/>
          <w:numId w:val="3"/>
        </w:numPr>
        <w:spacing w:after="80"/>
      </w:pPr>
      <w:r>
        <w:t xml:space="preserve">Lee el Excel de producción </w:t>
      </w:r>
      <w:r>
        <w:t>minera y convierte todo a TMF (Tonelada Métrica Fina).</w:t>
      </w:r>
    </w:p>
    <w:p w:rsidR="000C71D1" w:rsidRDefault="00EE72C3">
      <w:pPr>
        <w:pStyle w:val="Prrafodelista"/>
        <w:numPr>
          <w:ilvl w:val="0"/>
          <w:numId w:val="3"/>
        </w:numPr>
        <w:spacing w:after="80"/>
      </w:pPr>
      <w:r>
        <w:t>Lee los datos de bancos, generadoras y cementeras, usando el mismo esquema de peso de reparto.</w:t>
      </w:r>
    </w:p>
    <w:p w:rsidR="000C71D1" w:rsidRDefault="00EE72C3">
      <w:pPr>
        <w:pStyle w:val="Prrafodelista"/>
        <w:numPr>
          <w:ilvl w:val="0"/>
          <w:numId w:val="3"/>
        </w:numPr>
        <w:spacing w:after="80"/>
      </w:pPr>
      <w:r>
        <w:t>Lee la hoja CENEPRED del archivo de riesgos: para cada distrito, recoge el score (1-5) de tres tipos de pe</w:t>
      </w:r>
      <w:r>
        <w:t>ligro.</w:t>
      </w:r>
    </w:p>
    <w:p w:rsidR="000C71D1" w:rsidRDefault="00EE72C3">
      <w:pPr>
        <w:pStyle w:val="Prrafodelista"/>
        <w:numPr>
          <w:ilvl w:val="0"/>
          <w:numId w:val="3"/>
        </w:numPr>
        <w:spacing w:after="80"/>
      </w:pPr>
      <w:r>
        <w:t>Lee la hoja Valorización de Instrumentos: suma la exposición de cartera en S/ por empresa.</w:t>
      </w:r>
    </w:p>
    <w:p w:rsidR="000C71D1" w:rsidRDefault="00EE72C3">
      <w:pPr>
        <w:pStyle w:val="Prrafodelista"/>
        <w:numPr>
          <w:ilvl w:val="0"/>
          <w:numId w:val="3"/>
        </w:numPr>
        <w:spacing w:after="80"/>
      </w:pPr>
      <w:r>
        <w:t>Geocodifica: busca el UBIGEO de cada distrito que aparece en los datos.</w:t>
      </w:r>
    </w:p>
    <w:p w:rsidR="000C71D1" w:rsidRDefault="00EE72C3">
      <w:pPr>
        <w:pStyle w:val="Prrafodelista"/>
        <w:numPr>
          <w:ilvl w:val="0"/>
          <w:numId w:val="3"/>
        </w:numPr>
        <w:spacing w:after="80"/>
      </w:pPr>
      <w:r>
        <w:t>Asigna la exposición de cada empresa a sus distritos, en proporción a su peso (producc</w:t>
      </w:r>
      <w:r>
        <w:t>ión, créditos o MW).</w:t>
      </w:r>
    </w:p>
    <w:p w:rsidR="000C71D1" w:rsidRDefault="00EE72C3">
      <w:pPr>
        <w:pStyle w:val="Prrafodelista"/>
        <w:numPr>
          <w:ilvl w:val="0"/>
          <w:numId w:val="3"/>
        </w:numPr>
        <w:spacing w:after="80"/>
      </w:pPr>
      <w:r>
        <w:t>Cruza la exposición asignada con el score CENEPRED para calcular la 'plata en riesgo'.</w:t>
      </w:r>
    </w:p>
    <w:p w:rsidR="000C71D1" w:rsidRDefault="00EE72C3">
      <w:pPr>
        <w:pStyle w:val="Prrafodelista"/>
        <w:numPr>
          <w:ilvl w:val="0"/>
          <w:numId w:val="3"/>
        </w:numPr>
        <w:spacing w:after="80"/>
      </w:pPr>
      <w:r>
        <w:t>Genera el Excel y el HTML de salida.</w:t>
      </w:r>
    </w:p>
    <w:p w:rsidR="000C71D1" w:rsidRDefault="000C71D1">
      <w:pPr>
        <w:spacing w:after="80"/>
      </w:pPr>
    </w:p>
    <w:p w:rsidR="000C71D1" w:rsidRDefault="00EE72C3">
      <w:pPr>
        <w:pStyle w:val="Ttulo2"/>
      </w:pPr>
      <w:r>
        <w:t>5.2 Qué es el UBIGEO y por qué importa</w:t>
      </w:r>
    </w:p>
    <w:p w:rsidR="000C71D1" w:rsidRDefault="00EE72C3">
      <w:pPr>
        <w:spacing w:after="120"/>
      </w:pPr>
      <w:r>
        <w:t>El UBIGEO es el código de 6 dígitos que el INEI asigna a cada distrito del Perú (por ejemplo, Lima Centro = 150101). Es la 'llave' que permite unir los datos de producción/créditos con el mapa distrital y con los scores del CENEPRED.</w:t>
      </w:r>
    </w:p>
    <w:p w:rsidR="000C71D1" w:rsidRDefault="00EE72C3">
      <w:pPr>
        <w:spacing w:after="120"/>
      </w:pPr>
      <w:r>
        <w:lastRenderedPageBreak/>
        <w:t>El script encuentra el</w:t>
      </w:r>
      <w:r>
        <w:t xml:space="preserve"> UBIGEO automáticamente en tres pasos: primero intenta con (departamento + provincia + distrito), si no funciona intenta con (departamento + distrito) buscando un único match, y si sigue sin encontrarlo registra el fallo en la hoja 'No mapeados' del Excel.</w:t>
      </w:r>
    </w:p>
    <w:p w:rsidR="000C71D1" w:rsidRDefault="000C71D1">
      <w:pPr>
        <w:spacing w:after="80"/>
      </w:pPr>
    </w:p>
    <w:p w:rsidR="000C71D1" w:rsidRDefault="00EE72C3">
      <w:pPr>
        <w:pStyle w:val="Ttulo2"/>
      </w:pPr>
      <w:r>
        <w:t>5.3 Qué significa 'plata en riesgo'</w:t>
      </w:r>
    </w:p>
    <w:p w:rsidR="000C71D1" w:rsidRDefault="00EE72C3">
      <w:pPr>
        <w:spacing w:after="120"/>
      </w:pPr>
      <w:r>
        <w:t>La "plata en riesgo" se calcula multiplicando la exposición de cartera asignada a un distrito por el score de peligro de ese distrito: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Plata en riesgo (S/) = Exposición asignada (S/) × Score CENEPRED (1-5)</w:t>
            </w:r>
          </w:p>
        </w:tc>
      </w:tr>
    </w:tbl>
    <w:p w:rsidR="000C71D1" w:rsidRDefault="00EE72C3">
      <w:pPr>
        <w:spacing w:after="120"/>
      </w:pPr>
      <w:r>
        <w:t>Un score de</w:t>
      </w:r>
      <w:r>
        <w:t xml:space="preserve"> 5 significa peligro máximo (según el CENEPRED). Así, si AFP Integra tiene S/ 100 millones asignados a un distrito con score 5 en inundaciones, la 'plata en riesgo por inundación' de ese distrito es S/ 500 millones.</w:t>
      </w:r>
    </w:p>
    <w:p w:rsidR="000C71D1" w:rsidRDefault="00EE72C3">
      <w:pPr>
        <w:spacing w:after="120"/>
      </w:pPr>
      <w:r>
        <w:t>El score combinado es simplemente el pro</w:t>
      </w:r>
      <w:r>
        <w:t>medio de los tres peligros disponibles (Movimientos de Masa, Inundación, Sequías Severas).</w:t>
      </w:r>
    </w:p>
    <w:p w:rsidR="000C71D1" w:rsidRDefault="000C71D1">
      <w:pPr>
        <w:spacing w:after="80"/>
      </w:pPr>
    </w:p>
    <w:p w:rsidR="000C71D1" w:rsidRDefault="00EE72C3">
      <w:pPr>
        <w:pStyle w:val="Ttulo2"/>
      </w:pPr>
      <w:r>
        <w:t>5.4 Cómo se normalizan las unidades de producción a TMF</w:t>
      </w:r>
    </w:p>
    <w:p w:rsidR="000C71D1" w:rsidRDefault="00EE72C3">
      <w:pPr>
        <w:spacing w:after="120"/>
      </w:pPr>
      <w:r>
        <w:t>Para poder comparar oro, plata, cobre y zinc en una sola dimensión, todo se convierte a Toneladas Métricas Finas (TMF). Las conversiones usadas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C71D1">
        <w:tblPrEx>
          <w:tblCellMar>
            <w:top w:w="0" w:type="dxa"/>
            <w:bottom w:w="0" w:type="dxa"/>
          </w:tblCellMar>
        </w:tblPrEx>
        <w:tc>
          <w:tcPr>
            <w:tcW w:w="234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Unidad original</w:t>
            </w:r>
          </w:p>
        </w:tc>
        <w:tc>
          <w:tcPr>
            <w:tcW w:w="234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Abreviatura</w:t>
            </w:r>
          </w:p>
        </w:tc>
        <w:tc>
          <w:tcPr>
            <w:tcW w:w="234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Mineral típico</w:t>
            </w:r>
          </w:p>
        </w:tc>
        <w:tc>
          <w:tcPr>
            <w:tcW w:w="234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Factor de conversión a TMF</w:t>
            </w:r>
          </w:p>
        </w:tc>
      </w:tr>
      <w:tr w:rsidR="000C71D1">
        <w:tblPrEx>
          <w:tblCellMar>
            <w:top w:w="0" w:type="dxa"/>
            <w:bottom w:w="0" w:type="dxa"/>
          </w:tblCellMar>
        </w:tblPrEx>
        <w:tc>
          <w:tcPr>
            <w:tcW w:w="234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Tonelada Métrica Fina</w:t>
            </w:r>
          </w:p>
        </w:tc>
        <w:tc>
          <w:tcPr>
            <w:tcW w:w="234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TMF</w:t>
            </w:r>
          </w:p>
        </w:tc>
        <w:tc>
          <w:tcPr>
            <w:tcW w:w="234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Cobre, zin</w:t>
            </w:r>
            <w:r>
              <w:rPr>
                <w:sz w:val="20"/>
                <w:szCs w:val="20"/>
              </w:rPr>
              <w:t>c, plomo, molibdeno</w:t>
            </w:r>
          </w:p>
        </w:tc>
        <w:tc>
          <w:tcPr>
            <w:tcW w:w="234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 1</w:t>
            </w:r>
          </w:p>
        </w:tc>
      </w:tr>
      <w:tr w:rsidR="000C71D1">
        <w:tblPrEx>
          <w:tblCellMar>
            <w:top w:w="0" w:type="dxa"/>
            <w:bottom w:w="0" w:type="dxa"/>
          </w:tblCellMar>
        </w:tblPrEx>
        <w:tc>
          <w:tcPr>
            <w:tcW w:w="234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Gramos finos</w:t>
            </w:r>
          </w:p>
        </w:tc>
        <w:tc>
          <w:tcPr>
            <w:tcW w:w="234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Grs. f.</w:t>
            </w:r>
          </w:p>
        </w:tc>
        <w:tc>
          <w:tcPr>
            <w:tcW w:w="234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Oro</w:t>
            </w:r>
          </w:p>
        </w:tc>
        <w:tc>
          <w:tcPr>
            <w:tcW w:w="234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 1,000,000</w:t>
            </w:r>
          </w:p>
        </w:tc>
      </w:tr>
      <w:tr w:rsidR="000C71D1">
        <w:tblPrEx>
          <w:tblCellMar>
            <w:top w:w="0" w:type="dxa"/>
            <w:bottom w:w="0" w:type="dxa"/>
          </w:tblCellMar>
        </w:tblPrEx>
        <w:tc>
          <w:tcPr>
            <w:tcW w:w="234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Kilogramos finos</w:t>
            </w:r>
          </w:p>
        </w:tc>
        <w:tc>
          <w:tcPr>
            <w:tcW w:w="234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Kg. f.</w:t>
            </w:r>
          </w:p>
        </w:tc>
        <w:tc>
          <w:tcPr>
            <w:tcW w:w="234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Plata</w:t>
            </w:r>
          </w:p>
        </w:tc>
        <w:tc>
          <w:tcPr>
            <w:tcW w:w="234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 1,000</w:t>
            </w:r>
          </w:p>
        </w:tc>
      </w:tr>
    </w:tbl>
    <w:p w:rsidR="000C71D1" w:rsidRDefault="000C71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2" w:space="0" w:color="00AECB"/>
              <w:left w:val="single" w:sz="2" w:space="0" w:color="00AECB"/>
              <w:bottom w:val="single" w:sz="2" w:space="0" w:color="00AECB"/>
              <w:right w:val="single" w:sz="2" w:space="0" w:color="00AECB"/>
            </w:tcBorders>
            <w:shd w:val="clear" w:color="auto" w:fill="E8F8FB"/>
            <w:tcMar>
              <w:top w:w="120" w:type="dxa"/>
              <w:left w:w="160" w:type="dxa"/>
              <w:bottom w:w="120" w:type="dxa"/>
              <w:right w:w="160" w:type="dxa"/>
            </w:tcMar>
          </w:tcPr>
          <w:p w:rsidR="000C71D1" w:rsidRDefault="00EE72C3">
            <w:pPr>
              <w:spacing w:after="80"/>
            </w:pPr>
            <w:r>
              <w:rPr>
                <w:b/>
                <w:bCs/>
                <w:color w:val="1E2E6E"/>
              </w:rPr>
              <w:t>⚠</w:t>
            </w:r>
            <w:r>
              <w:rPr>
                <w:b/>
                <w:bCs/>
                <w:color w:val="1E2E6E"/>
              </w:rPr>
              <w:t>️</w:t>
            </w:r>
            <w:r>
              <w:rPr>
                <w:b/>
                <w:bCs/>
                <w:color w:val="1E2E6E"/>
              </w:rPr>
              <w:t xml:space="preserve"> Supuesto importante: la asignación en TMF puede concentrarse en metales base</w:t>
            </w:r>
          </w:p>
          <w:p w:rsidR="000C71D1" w:rsidRDefault="00EE72C3">
            <w:pPr>
              <w:spacing w:after="60"/>
            </w:pPr>
            <w:r>
              <w:t>Al unificar todo en TMF, el oro (gramos) queda numéricamente muy pequeño frente al cobre o zinc (toneladas directas). Por eso, si una empresa produce mucho cobre en un distrito pero también algo de oro en otro, la mayor parte de su exposición se asignará a</w:t>
            </w:r>
            <w:r>
              <w:t>l distrito del cobre.</w:t>
            </w:r>
          </w:p>
          <w:p w:rsidR="000C71D1" w:rsidRDefault="00EE72C3">
            <w:pPr>
              <w:spacing w:after="60"/>
            </w:pPr>
            <w:r>
              <w:t>Esto no es un error del script, es un supuesto metodológico. El Excel y el tooltip del mapa siempre muestran el desglose por mineral en unidad original para que puedas verificarlo.</w:t>
            </w:r>
          </w:p>
          <w:p w:rsidR="000C71D1" w:rsidRDefault="00EE72C3">
            <w:pPr>
              <w:spacing w:after="60"/>
            </w:pPr>
            <w:r>
              <w:t>Si prefieres un reparto equitativo, cambia METODO_ASI</w:t>
            </w:r>
            <w:r>
              <w:t>GNACION a 'equal' en CONFIG.</w:t>
            </w:r>
          </w:p>
        </w:tc>
      </w:tr>
    </w:tbl>
    <w:p w:rsidR="000C71D1" w:rsidRDefault="000C71D1">
      <w:pPr>
        <w:spacing w:after="80"/>
      </w:pPr>
    </w:p>
    <w:p w:rsidR="000C71D1" w:rsidRDefault="00EE72C3">
      <w:pPr>
        <w:pStyle w:val="Ttulo1"/>
      </w:pPr>
      <w:r>
        <w:t>6. El dashboard HTML interactivo</w:t>
      </w:r>
    </w:p>
    <w:p w:rsidR="000C71D1" w:rsidRDefault="00EE72C3">
      <w:pPr>
        <w:spacing w:after="120"/>
      </w:pPr>
      <w:r>
        <w:t>El archivo HTML que genera el script se abre en cualquier navegador (Chrome, Edge, Firefox). No necesita internet después de generarse. Tiene varias partes:</w:t>
      </w:r>
    </w:p>
    <w:p w:rsidR="000C71D1" w:rsidRDefault="000C71D1">
      <w:pPr>
        <w:spacing w:after="80"/>
      </w:pPr>
    </w:p>
    <w:p w:rsidR="000C71D1" w:rsidRDefault="00EE72C3">
      <w:pPr>
        <w:pStyle w:val="Ttulo2"/>
      </w:pPr>
      <w:r>
        <w:t>6.1 KPIs en la parte superior</w:t>
      </w:r>
    </w:p>
    <w:p w:rsidR="000C71D1" w:rsidRDefault="00EE72C3">
      <w:pPr>
        <w:spacing w:after="120"/>
      </w:pPr>
      <w:r>
        <w:t>Cuatro recuadros que muestran de un vistazo: el departamento con mayor score de peligro, el departamento con más plata en riesgo, la exposición total de cartera en los sectores seleccionados, y el número de distritos con cobertura CENEPRED.</w:t>
      </w:r>
    </w:p>
    <w:p w:rsidR="000C71D1" w:rsidRDefault="000C71D1">
      <w:pPr>
        <w:spacing w:after="80"/>
      </w:pPr>
    </w:p>
    <w:p w:rsidR="000C71D1" w:rsidRDefault="00EE72C3">
      <w:pPr>
        <w:pStyle w:val="Ttulo2"/>
      </w:pPr>
      <w:r>
        <w:t>6.2 El mapa co</w:t>
      </w:r>
      <w:r>
        <w:t>roplético</w:t>
      </w:r>
    </w:p>
    <w:p w:rsidR="000C71D1" w:rsidRDefault="00EE72C3">
      <w:pPr>
        <w:spacing w:after="120"/>
      </w:pPr>
      <w:r>
        <w:t>Pinta el Perú completo con la división distrital. Puedes elegir qué métrica colorear usando el selector 'Colorear el mapa por':</w:t>
      </w:r>
    </w:p>
    <w:p w:rsidR="000C71D1" w:rsidRDefault="00EE72C3">
      <w:pPr>
        <w:pStyle w:val="Prrafodelista"/>
        <w:numPr>
          <w:ilvl w:val="0"/>
          <w:numId w:val="2"/>
        </w:numPr>
        <w:spacing w:after="80"/>
      </w:pPr>
      <w:r>
        <w:t>Los cuatro scores de peligro del CENEPRED (uno por peligro + el combinado).</w:t>
      </w:r>
    </w:p>
    <w:p w:rsidR="000C71D1" w:rsidRDefault="00EE72C3">
      <w:pPr>
        <w:pStyle w:val="Prrafodelista"/>
        <w:numPr>
          <w:ilvl w:val="0"/>
          <w:numId w:val="2"/>
        </w:numPr>
        <w:spacing w:after="80"/>
      </w:pPr>
      <w:r>
        <w:t>La exposición asignada en S/.</w:t>
      </w:r>
    </w:p>
    <w:p w:rsidR="000C71D1" w:rsidRDefault="00EE72C3">
      <w:pPr>
        <w:pStyle w:val="Prrafodelista"/>
        <w:numPr>
          <w:ilvl w:val="0"/>
          <w:numId w:val="2"/>
        </w:numPr>
        <w:spacing w:after="80"/>
      </w:pPr>
      <w:r>
        <w:t xml:space="preserve">La plata en </w:t>
      </w:r>
      <w:r>
        <w:t>riesgo (exposición × score) para cada tipo de peligro.</w:t>
      </w:r>
    </w:p>
    <w:p w:rsidR="000C71D1" w:rsidRDefault="00EE72C3">
      <w:pPr>
        <w:spacing w:after="120"/>
      </w:pPr>
      <w:r>
        <w:t>Al pasar el cursor sobre un distrito, aparece un tooltip con el detalle completo: scores, exposición, entidades y desglose de producción.</w:t>
      </w:r>
    </w:p>
    <w:p w:rsidR="000C71D1" w:rsidRDefault="000C71D1">
      <w:pPr>
        <w:spacing w:after="80"/>
      </w:pPr>
    </w:p>
    <w:p w:rsidR="000C71D1" w:rsidRDefault="00EE72C3">
      <w:pPr>
        <w:pStyle w:val="Ttulo2"/>
      </w:pPr>
      <w:r>
        <w:t>6.3 El selector de sector</w:t>
      </w:r>
    </w:p>
    <w:p w:rsidR="000C71D1" w:rsidRDefault="00EE72C3">
      <w:pPr>
        <w:spacing w:after="120"/>
      </w:pPr>
      <w:r>
        <w:t>Puedes filtrar el mapa y las tablas para ver solo un sector (Minería, Financiero, Utilities, Construcción) o todos combinados. Al cambiar el sector, todos los elementos del dashboard se actualizan automáticamente.</w:t>
      </w:r>
    </w:p>
    <w:p w:rsidR="000C71D1" w:rsidRDefault="000C71D1">
      <w:pPr>
        <w:spacing w:after="80"/>
      </w:pPr>
    </w:p>
    <w:p w:rsidR="000C71D1" w:rsidRDefault="00EE72C3">
      <w:pPr>
        <w:pStyle w:val="Ttulo2"/>
      </w:pPr>
      <w:r>
        <w:t>6.4 Las tablas</w:t>
      </w:r>
    </w:p>
    <w:p w:rsidR="000C71D1" w:rsidRDefault="00EE72C3">
      <w:pPr>
        <w:spacing w:after="120"/>
      </w:pPr>
      <w:r>
        <w:t xml:space="preserve">La tabla inferior muestra </w:t>
      </w:r>
      <w:r>
        <w:t>el detalle por distrito. Puedes ordenar por cualquier columna haciendo clic en el encabezado. También puedes filtrar por provincia usando el selector correspondiente.</w:t>
      </w:r>
    </w:p>
    <w:p w:rsidR="000C71D1" w:rsidRDefault="000C71D1">
      <w:pPr>
        <w:spacing w:after="80"/>
      </w:pPr>
    </w:p>
    <w:p w:rsidR="000C71D1" w:rsidRDefault="00EE72C3">
      <w:pPr>
        <w:pStyle w:val="Ttulo1"/>
      </w:pPr>
      <w:r>
        <w:t>7. El Excel de salida</w:t>
      </w:r>
    </w:p>
    <w:p w:rsidR="000C71D1" w:rsidRDefault="00EE72C3">
      <w:pPr>
        <w:spacing w:after="120"/>
      </w:pPr>
      <w:r>
        <w:t>El Excel tiene varias hojas:</w:t>
      </w:r>
    </w:p>
    <w:p w:rsidR="000C71D1" w:rsidRDefault="000C71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Hoja</w:t>
            </w:r>
          </w:p>
        </w:tc>
        <w:tc>
          <w:tcPr>
            <w:tcW w:w="468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Contenido</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Resumen</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Una fila por</w:t>
            </w:r>
            <w:r>
              <w:rPr>
                <w:sz w:val="20"/>
                <w:szCs w:val="20"/>
              </w:rPr>
              <w:t xml:space="preserve"> empresa con su producción/créditos total, número de distritos, exposición de cartera en S/ y porcentaje del total.</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[Nombre de empresa]</w:t>
            </w:r>
          </w:p>
        </w:tc>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Una hoja por cada empresa con el detalle por distrito: peso de reparto, exposición asignada, scores CENEPRED y plata en riesgo. Debajo, el desglose por mineral en unidad original.</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lastRenderedPageBreak/>
              <w:t>Exposición y Riesgo</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Consolidado por distrito de todas las empresas: exposic</w:t>
            </w:r>
            <w:r>
              <w:rPr>
                <w:sz w:val="20"/>
                <w:szCs w:val="20"/>
              </w:rPr>
              <w:t>ión total, scores y plata en riesgo por tipo de peligro.</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Equivalencias</w:t>
            </w:r>
          </w:p>
        </w:tc>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Referencia de las conversiones de unidades y las equivalencias de nombres de empresa usadas.</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No mapeados</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Distritos que el script no pudo geocodificar, con el motivo del fallo (ambiguo, no encontrado, etc.).</w:t>
            </w:r>
          </w:p>
        </w:tc>
      </w:tr>
    </w:tbl>
    <w:p w:rsidR="000C71D1" w:rsidRDefault="000C71D1">
      <w:pPr>
        <w:spacing w:after="80"/>
      </w:pPr>
    </w:p>
    <w:p w:rsidR="000C71D1" w:rsidRDefault="00EE72C3">
      <w:pPr>
        <w:pStyle w:val="Ttulo1"/>
      </w:pPr>
      <w:r>
        <w:t>8. Supuestos y limitaciones que hay que tener en cuenta</w:t>
      </w:r>
    </w:p>
    <w:p w:rsidR="000C71D1" w:rsidRDefault="000C71D1">
      <w:pPr>
        <w:spacing w:after="80"/>
      </w:pPr>
    </w:p>
    <w:p w:rsidR="000C71D1" w:rsidRDefault="00EE72C3">
      <w:pPr>
        <w:pStyle w:val="Ttulo2"/>
      </w:pPr>
      <w:r>
        <w:t>8.1 Supuestos de la metodología</w:t>
      </w:r>
    </w:p>
    <w:p w:rsidR="000C71D1" w:rsidRDefault="00EE72C3">
      <w:pPr>
        <w:pStyle w:val="Prrafodelista"/>
        <w:numPr>
          <w:ilvl w:val="0"/>
          <w:numId w:val="2"/>
        </w:numPr>
        <w:spacing w:after="80"/>
      </w:pPr>
      <w:r>
        <w:rPr>
          <w:b/>
          <w:bCs/>
        </w:rPr>
        <w:t xml:space="preserve">La exposición de cartera es a nivel empresa, no a nivel activo individual. </w:t>
      </w:r>
      <w:r>
        <w:t>Si AFP Integra tiene bonos, acciones y créditos de una misma empresa, todos se suman. El script no distingue el tipo de instrumento.</w:t>
      </w:r>
    </w:p>
    <w:p w:rsidR="000C71D1" w:rsidRDefault="00EE72C3">
      <w:pPr>
        <w:pStyle w:val="Prrafodelista"/>
        <w:numPr>
          <w:ilvl w:val="0"/>
          <w:numId w:val="2"/>
        </w:numPr>
        <w:spacing w:after="80"/>
      </w:pPr>
      <w:r>
        <w:rPr>
          <w:b/>
          <w:bCs/>
        </w:rPr>
        <w:t>La asignación geográfica es proporcional al peso</w:t>
      </w:r>
      <w:r>
        <w:rPr>
          <w:b/>
          <w:bCs/>
        </w:rPr>
        <w:t xml:space="preserve"> de actividad. </w:t>
      </w:r>
      <w:r>
        <w:t>Si una empresa produce el 70% de su cobre en un solo distrito, el 70% de su exposición va a ese distrito. Esto asume que el riesgo del activo se concentra donde está la actividad.</w:t>
      </w:r>
    </w:p>
    <w:p w:rsidR="000C71D1" w:rsidRDefault="00EE72C3">
      <w:pPr>
        <w:pStyle w:val="Prrafodelista"/>
        <w:numPr>
          <w:ilvl w:val="0"/>
          <w:numId w:val="2"/>
        </w:numPr>
        <w:spacing w:after="80"/>
      </w:pPr>
      <w:r>
        <w:rPr>
          <w:b/>
          <w:bCs/>
        </w:rPr>
        <w:t>El score CENEPRED es fijo y no tiene fecha de corte dinámica.</w:t>
      </w:r>
      <w:r>
        <w:rPr>
          <w:b/>
          <w:bCs/>
        </w:rPr>
        <w:t xml:space="preserve"> </w:t>
      </w:r>
      <w:r>
        <w:t>Los scores reflejan el estado de la BD CENEPRED en el momento en que se preparó el archivo de riesgos. Si ese archivo se actualiza, el script incorpora automáticamente los nuevos scores.</w:t>
      </w:r>
    </w:p>
    <w:p w:rsidR="000C71D1" w:rsidRDefault="00EE72C3">
      <w:pPr>
        <w:pStyle w:val="Prrafodelista"/>
        <w:numPr>
          <w:ilvl w:val="0"/>
          <w:numId w:val="2"/>
        </w:numPr>
        <w:spacing w:after="80"/>
      </w:pPr>
      <w:r>
        <w:rPr>
          <w:b/>
          <w:bCs/>
        </w:rPr>
        <w:t xml:space="preserve">Las unidades eléctricas y de cemento usan el semestre anterior. </w:t>
      </w:r>
      <w:r>
        <w:t>Esto</w:t>
      </w:r>
      <w:r>
        <w:t xml:space="preserve"> cubre altas y bajas de activos, pero significa que no refleja el estado actual exacto sino el promedio del período.</w:t>
      </w:r>
    </w:p>
    <w:p w:rsidR="000C71D1" w:rsidRDefault="00EE72C3">
      <w:pPr>
        <w:pStyle w:val="Prrafodelista"/>
        <w:numPr>
          <w:ilvl w:val="0"/>
          <w:numId w:val="2"/>
        </w:numPr>
        <w:spacing w:after="80"/>
      </w:pPr>
      <w:r>
        <w:rPr>
          <w:b/>
          <w:bCs/>
        </w:rPr>
        <w:t xml:space="preserve">Los créditos bancarios representan la actividad de colocación, no las pérdidas esperadas. </w:t>
      </w:r>
      <w:r>
        <w:t xml:space="preserve">Se usan como proxy de la presencia geográfica de </w:t>
      </w:r>
      <w:r>
        <w:t>cada banco.</w:t>
      </w:r>
    </w:p>
    <w:p w:rsidR="000C71D1" w:rsidRDefault="000C71D1">
      <w:pPr>
        <w:spacing w:after="80"/>
      </w:pPr>
    </w:p>
    <w:p w:rsidR="000C71D1" w:rsidRDefault="00EE72C3">
      <w:pPr>
        <w:pStyle w:val="Ttulo2"/>
      </w:pPr>
      <w:r>
        <w:t>8.2 Limitaciones conocidas</w:t>
      </w:r>
    </w:p>
    <w:p w:rsidR="000C71D1" w:rsidRDefault="00EE72C3">
      <w:pPr>
        <w:pStyle w:val="Prrafodelista"/>
        <w:numPr>
          <w:ilvl w:val="0"/>
          <w:numId w:val="2"/>
        </w:numPr>
        <w:spacing w:after="80"/>
      </w:pPr>
      <w:r>
        <w:rPr>
          <w:b/>
          <w:bCs/>
        </w:rPr>
        <w:t xml:space="preserve">Distritos nuevos no cubiertos por el GeoJSON base. </w:t>
      </w:r>
      <w:r>
        <w:t>El GeoJSON oficial (~1,834 distritos) no incluye distritos creados después de 2016. El script incluye un suplemento embebido con los más relevantes (Mi Perú, Veintis</w:t>
      </w:r>
      <w:r>
        <w:t>éis de Octubre, Santa Anita, La Punta). Si hay otros, agrégalos al archivo opcional peru_distritos_suplemento.geojson.</w:t>
      </w:r>
    </w:p>
    <w:p w:rsidR="000C71D1" w:rsidRDefault="00EE72C3">
      <w:pPr>
        <w:pStyle w:val="Prrafodelista"/>
        <w:numPr>
          <w:ilvl w:val="0"/>
          <w:numId w:val="2"/>
        </w:numPr>
        <w:spacing w:after="80"/>
      </w:pPr>
      <w:r>
        <w:rPr>
          <w:b/>
          <w:bCs/>
        </w:rPr>
        <w:t xml:space="preserve">Homónimos de empresas extranjeras. </w:t>
      </w:r>
      <w:r>
        <w:t>En la Valorización de Instrumentos puede haber nombres similares a los del universo peruano que son de</w:t>
      </w:r>
      <w:r>
        <w:t xml:space="preserve"> otras geografías (ej. BBVA Bancomer = BBVA México, BCI Chile). El script los tiene excluidos por defecto con comentarios que explican el motivo.</w:t>
      </w:r>
    </w:p>
    <w:p w:rsidR="000C71D1" w:rsidRDefault="00EE72C3">
      <w:pPr>
        <w:pStyle w:val="Prrafodelista"/>
        <w:numPr>
          <w:ilvl w:val="0"/>
          <w:numId w:val="2"/>
        </w:numPr>
        <w:spacing w:after="80"/>
      </w:pPr>
      <w:r>
        <w:rPr>
          <w:b/>
          <w:bCs/>
        </w:rPr>
        <w:t xml:space="preserve">El GeoJSON solo se descarga la primera vez. </w:t>
      </w:r>
      <w:r>
        <w:t>Si la fuente pública cambia la URL o el formato del archivo, la de</w:t>
      </w:r>
      <w:r>
        <w:t>scarga fallará. Guarda siempre el archivo local (peru_distritos.geojson) como respaldo.</w:t>
      </w:r>
    </w:p>
    <w:p w:rsidR="000C71D1" w:rsidRDefault="000C71D1">
      <w:pPr>
        <w:spacing w:after="80"/>
      </w:pPr>
    </w:p>
    <w:p w:rsidR="000C71D1" w:rsidRDefault="00EE72C3">
      <w:pPr>
        <w:pStyle w:val="Ttulo1"/>
      </w:pPr>
      <w:r>
        <w:t>9. Mantenimiento y casos comunes</w:t>
      </w:r>
    </w:p>
    <w:p w:rsidR="000C71D1" w:rsidRDefault="000C71D1">
      <w:pPr>
        <w:spacing w:after="80"/>
      </w:pPr>
    </w:p>
    <w:p w:rsidR="000C71D1" w:rsidRDefault="00EE72C3">
      <w:pPr>
        <w:pStyle w:val="Ttulo2"/>
      </w:pPr>
      <w:r>
        <w:t>9.1 Cambió el nombre de una empresa en producción</w:t>
      </w:r>
    </w:p>
    <w:p w:rsidR="000C71D1" w:rsidRDefault="00EE72C3">
      <w:pPr>
        <w:spacing w:after="120"/>
      </w:pPr>
      <w:r>
        <w:t>El MINEM suele actualizar los nombres legales de los titulares. El script imprimirá WARN diciendo qué nombre no reconoció. La solución es agregar una línea al diccionario EQUIV_EMPRESAS_PRODUCCION en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 Antes:</w:t>
            </w:r>
          </w:p>
          <w:p w:rsidR="000C71D1" w:rsidRDefault="00EE72C3">
            <w:pPr>
              <w:spacing w:after="40"/>
            </w:pPr>
            <w:r>
              <w:rPr>
                <w:rFonts w:ascii="Courier New" w:eastAsia="Courier New" w:hAnsi="Courier New" w:cs="Courier New"/>
                <w:color w:val="333333"/>
                <w:sz w:val="18"/>
                <w:szCs w:val="18"/>
              </w:rPr>
              <w:t>"NOMBRE ANTIGUO S.A.": "Empresa",</w:t>
            </w:r>
          </w:p>
          <w:p w:rsidR="000C71D1" w:rsidRDefault="000C71D1">
            <w:pPr>
              <w:spacing w:after="40"/>
            </w:pPr>
          </w:p>
          <w:p w:rsidR="000C71D1" w:rsidRDefault="00EE72C3">
            <w:pPr>
              <w:spacing w:after="40"/>
            </w:pPr>
            <w:r>
              <w:rPr>
                <w:rFonts w:ascii="Courier New" w:eastAsia="Courier New" w:hAnsi="Courier New" w:cs="Courier New"/>
                <w:color w:val="333333"/>
                <w:sz w:val="18"/>
                <w:szCs w:val="18"/>
              </w:rPr>
              <w:t># De</w:t>
            </w:r>
            <w:r>
              <w:rPr>
                <w:rFonts w:ascii="Courier New" w:eastAsia="Courier New" w:hAnsi="Courier New" w:cs="Courier New"/>
                <w:color w:val="333333"/>
                <w:sz w:val="18"/>
                <w:szCs w:val="18"/>
              </w:rPr>
              <w:t>spués (agrega la nueva razón social, no elimines la antigua):</w:t>
            </w:r>
          </w:p>
          <w:p w:rsidR="000C71D1" w:rsidRDefault="00EE72C3">
            <w:pPr>
              <w:spacing w:after="40"/>
            </w:pPr>
            <w:r>
              <w:rPr>
                <w:rFonts w:ascii="Courier New" w:eastAsia="Courier New" w:hAnsi="Courier New" w:cs="Courier New"/>
                <w:color w:val="333333"/>
                <w:sz w:val="18"/>
                <w:szCs w:val="18"/>
              </w:rPr>
              <w:t>"NOMBRE ANTIGUO S.A.": "Empresa",</w:t>
            </w:r>
          </w:p>
          <w:p w:rsidR="000C71D1" w:rsidRDefault="00EE72C3">
            <w:pPr>
              <w:spacing w:after="40"/>
            </w:pPr>
            <w:r>
              <w:rPr>
                <w:rFonts w:ascii="Courier New" w:eastAsia="Courier New" w:hAnsi="Courier New" w:cs="Courier New"/>
                <w:color w:val="333333"/>
                <w:sz w:val="18"/>
                <w:szCs w:val="18"/>
              </w:rPr>
              <w:t>"NUEVO NOMBRE S.A.A.": "Empresa",</w:t>
            </w:r>
          </w:p>
        </w:tc>
      </w:tr>
    </w:tbl>
    <w:p w:rsidR="000C71D1" w:rsidRDefault="000C71D1">
      <w:pPr>
        <w:spacing w:after="80"/>
      </w:pPr>
    </w:p>
    <w:p w:rsidR="000C71D1" w:rsidRDefault="00EE72C3">
      <w:pPr>
        <w:pStyle w:val="Ttulo2"/>
      </w:pPr>
      <w:r>
        <w:t>9.2 Se incorporó una nueva empresa al portafolio</w:t>
      </w:r>
    </w:p>
    <w:p w:rsidR="000C71D1" w:rsidRDefault="00EE72C3">
      <w:pPr>
        <w:spacing w:after="120"/>
      </w:pPr>
      <w:r>
        <w:t>Necesitas hacer tres cosas:</w:t>
      </w:r>
    </w:p>
    <w:p w:rsidR="000C71D1" w:rsidRDefault="00EE72C3">
      <w:pPr>
        <w:pStyle w:val="Prrafodelista"/>
        <w:numPr>
          <w:ilvl w:val="0"/>
          <w:numId w:val="3"/>
        </w:numPr>
        <w:spacing w:after="80"/>
      </w:pPr>
      <w:r>
        <w:t>Agregar la(s) razón(es) social(es) al diccionar</w:t>
      </w:r>
      <w:r>
        <w:t>io de producción (EQUIV_EMPRESAS_PRODUCCION) o del sector correspondiente.</w:t>
      </w:r>
    </w:p>
    <w:p w:rsidR="000C71D1" w:rsidRDefault="00EE72C3">
      <w:pPr>
        <w:pStyle w:val="Prrafodelista"/>
        <w:numPr>
          <w:ilvl w:val="0"/>
          <w:numId w:val="3"/>
        </w:numPr>
        <w:spacing w:after="80"/>
      </w:pPr>
      <w:r>
        <w:t>Agregar el nombre canónico a la lista EMPRESAS_CANONICAS (o la del sector correspondiente).</w:t>
      </w:r>
    </w:p>
    <w:p w:rsidR="000C71D1" w:rsidRDefault="00EE72C3">
      <w:pPr>
        <w:pStyle w:val="Prrafodelista"/>
        <w:numPr>
          <w:ilvl w:val="0"/>
          <w:numId w:val="3"/>
        </w:numPr>
        <w:spacing w:after="80"/>
      </w:pPr>
      <w:r>
        <w:t>Agregar el mapeo de nombre en Valorización al diccionario EQUIV_EMPRESAS_EXPOSICION.</w:t>
      </w:r>
    </w:p>
    <w:p w:rsidR="000C71D1" w:rsidRDefault="000C71D1">
      <w:pPr>
        <w:spacing w:after="80"/>
      </w:pPr>
    </w:p>
    <w:p w:rsidR="000C71D1" w:rsidRDefault="00EE72C3">
      <w:pPr>
        <w:pStyle w:val="Ttulo2"/>
      </w:pPr>
      <w:r>
        <w:t>9.3 El script falla con 'No se reconoció la fila de encabezados'</w:t>
      </w:r>
    </w:p>
    <w:p w:rsidR="000C71D1" w:rsidRDefault="00EE72C3">
      <w:pPr>
        <w:spacing w:after="120"/>
      </w:pPr>
      <w:r>
        <w:t>Esto pasa cuando el Excel de producción o de riesgos cambió su estructura (movieron columnas, renombraron encabezados, etc.). El mensaje de error te dice qué token buscaba y qué encontró. Las</w:t>
      </w:r>
      <w:r>
        <w:t xml:space="preserve"> opciones son:</w:t>
      </w:r>
    </w:p>
    <w:p w:rsidR="000C71D1" w:rsidRDefault="00EE72C3">
      <w:pPr>
        <w:pStyle w:val="Prrafodelista"/>
        <w:numPr>
          <w:ilvl w:val="0"/>
          <w:numId w:val="2"/>
        </w:numPr>
        <w:spacing w:after="80"/>
      </w:pPr>
      <w:r>
        <w:t>Renombrar el encabezado en el Excel para que coincida con lo esperado (opción más sencilla).</w:t>
      </w:r>
    </w:p>
    <w:p w:rsidR="000C71D1" w:rsidRDefault="000C71D1"/>
    <w:p w:rsidR="000C71D1" w:rsidRDefault="000C71D1">
      <w:pPr>
        <w:spacing w:after="80"/>
      </w:pPr>
    </w:p>
    <w:p w:rsidR="000C71D1" w:rsidRDefault="00EE72C3">
      <w:pPr>
        <w:pStyle w:val="Ttulo2"/>
      </w:pPr>
      <w:r>
        <w:t>9.4 Cambió el año o el nombre del archivo de riesgos</w:t>
      </w:r>
    </w:p>
    <w:p w:rsidR="000C71D1" w:rsidRDefault="000C71D1"/>
    <w:p w:rsidR="000C71D1" w:rsidRDefault="000C71D1">
      <w:pPr>
        <w:spacing w:after="80"/>
      </w:pPr>
    </w:p>
    <w:p w:rsidR="000C71D1" w:rsidRDefault="00EE72C3">
      <w:pPr>
        <w:pStyle w:val="Ttulo2"/>
      </w:pPr>
      <w:r>
        <w:t>9.5 Quiero correr solo minería sin los demás sectores</w:t>
      </w:r>
    </w:p>
    <w:p w:rsidR="000C71D1" w:rsidRDefault="00EE72C3">
      <w:pPr>
        <w:spacing w:after="120"/>
      </w:pPr>
      <w:r>
        <w:t>Cambia los tres interruptores en CONF</w:t>
      </w:r>
      <w:r>
        <w:t>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71D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rsidR="000C71D1" w:rsidRDefault="00EE72C3">
            <w:pPr>
              <w:spacing w:after="40"/>
            </w:pPr>
            <w:r>
              <w:rPr>
                <w:rFonts w:ascii="Courier New" w:eastAsia="Courier New" w:hAnsi="Courier New" w:cs="Courier New"/>
                <w:color w:val="333333"/>
                <w:sz w:val="18"/>
                <w:szCs w:val="18"/>
              </w:rPr>
              <w:t>INCLUIR_FINANCIERO   = False</w:t>
            </w:r>
          </w:p>
          <w:p w:rsidR="000C71D1" w:rsidRDefault="00EE72C3">
            <w:pPr>
              <w:spacing w:after="40"/>
            </w:pPr>
            <w:r>
              <w:rPr>
                <w:rFonts w:ascii="Courier New" w:eastAsia="Courier New" w:hAnsi="Courier New" w:cs="Courier New"/>
                <w:color w:val="333333"/>
                <w:sz w:val="18"/>
                <w:szCs w:val="18"/>
              </w:rPr>
              <w:t>INCLUIR_UTILITIES    = False</w:t>
            </w:r>
          </w:p>
          <w:p w:rsidR="000C71D1" w:rsidRDefault="00EE72C3">
            <w:pPr>
              <w:spacing w:after="40"/>
            </w:pPr>
            <w:r>
              <w:rPr>
                <w:rFonts w:ascii="Courier New" w:eastAsia="Courier New" w:hAnsi="Courier New" w:cs="Courier New"/>
                <w:color w:val="333333"/>
                <w:sz w:val="18"/>
                <w:szCs w:val="18"/>
              </w:rPr>
              <w:t>INCLUIR_CONSTRUCCION = False</w:t>
            </w:r>
          </w:p>
        </w:tc>
      </w:tr>
    </w:tbl>
    <w:p w:rsidR="000C71D1" w:rsidRDefault="000C71D1">
      <w:pPr>
        <w:spacing w:after="80"/>
      </w:pPr>
    </w:p>
    <w:p w:rsidR="000C71D1" w:rsidRDefault="00EE72C3">
      <w:pPr>
        <w:pStyle w:val="Ttulo1"/>
      </w:pPr>
      <w:r>
        <w:lastRenderedPageBreak/>
        <w:t>10. Referencia rápida de parámetros editables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Parámetro</w:t>
            </w:r>
          </w:p>
        </w:tc>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Dónde está en CONFIG</w:t>
            </w:r>
          </w:p>
        </w:tc>
        <w:tc>
          <w:tcPr>
            <w:tcW w:w="312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Qué hace</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BASE_DIR</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Sección 1) CONFIG</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Ruta raíz del proyecto. Cambiar si mueves la carpeta.</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METODO_ASIGNACION</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Sección 1) CONFIG</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Cómo se reparte la exposición geográficamente. Opciones: tmf_share, equal, units_share.</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INCLUIR_FINANCIERO / UTILITIES / CONSTRUCCION</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Secciones 1-bis, 1-ter, 1-quater</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Activa o desactiva cada sector del análisis.</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EQUIV_EMPRESAS_PRODUCCION</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Sección 1) CONFIG</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Mapea nombres legales del MINEM a nombres canónicos.</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EQUIV_EXPOSICION_FINANCIERO</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Sección 1-bis) CONFIG</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Mapea nombres en Valorización a grupos bancarios canónicos.</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OVERRIDE_UBIGEO</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Sección 1) CONFIG</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Fuerza el UBIGEO de un distrito que no geocodifica automáticamente.</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ALIAS_DISTRITO</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Sección 1) CONFIG</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Nombres alternativos de distritos (popular vs. oficial).</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SEMESTRE_REF</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Sección 1-ter/quater</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Fija la ventana temporal para Utilities y Construcción.</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EMPRESAS_CANONICAS</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Sección 1) CONFIG</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Universo de empresas mineras en el portafolio.</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EMPRESAS_FIN_CANONICAS</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Sección 1-bis) CONFIG</w:t>
            </w:r>
          </w:p>
        </w:tc>
        <w:tc>
          <w:tcPr>
            <w:tcW w:w="312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Universo de bancos en el portafolio.</w:t>
            </w:r>
          </w:p>
        </w:tc>
      </w:tr>
      <w:tr w:rsidR="000C71D1">
        <w:tblPrEx>
          <w:tblCellMar>
            <w:top w:w="0" w:type="dxa"/>
            <w:bottom w:w="0" w:type="dxa"/>
          </w:tblCellMar>
        </w:tblPrEx>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MAPEO_PLANTAS_DESPACHOS</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Sección 1-quater) CONFIG</w:t>
            </w:r>
          </w:p>
        </w:tc>
        <w:tc>
          <w:tcPr>
            <w:tcW w:w="312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Desglosa filas de Despachos que agrupan dos plantas (50/50).</w:t>
            </w:r>
          </w:p>
        </w:tc>
      </w:tr>
    </w:tbl>
    <w:p w:rsidR="000C71D1" w:rsidRDefault="000C71D1">
      <w:pPr>
        <w:spacing w:after="80"/>
      </w:pPr>
    </w:p>
    <w:p w:rsidR="000C71D1" w:rsidRDefault="000C71D1">
      <w:pPr>
        <w:spacing w:after="80"/>
      </w:pPr>
    </w:p>
    <w:p w:rsidR="000C71D1" w:rsidRDefault="00EE72C3">
      <w:pPr>
        <w:pStyle w:val="Ttulo1"/>
      </w:pPr>
      <w:r>
        <w:t>Apéndice: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Término</w:t>
            </w:r>
          </w:p>
        </w:tc>
        <w:tc>
          <w:tcPr>
            <w:tcW w:w="4680" w:type="dxa"/>
            <w:tcBorders>
              <w:top w:val="single" w:sz="1" w:space="0" w:color="D0D7E8"/>
              <w:left w:val="single" w:sz="1" w:space="0" w:color="D0D7E8"/>
              <w:bottom w:val="single" w:sz="1" w:space="0" w:color="D0D7E8"/>
              <w:right w:val="single" w:sz="1" w:space="0" w:color="D0D7E8"/>
            </w:tcBorders>
            <w:shd w:val="clear" w:color="auto" w:fill="1E2E6E"/>
            <w:tcMar>
              <w:top w:w="80" w:type="dxa"/>
              <w:left w:w="120" w:type="dxa"/>
              <w:bottom w:w="80" w:type="dxa"/>
              <w:right w:w="120" w:type="dxa"/>
            </w:tcMar>
          </w:tcPr>
          <w:p w:rsidR="000C71D1" w:rsidRDefault="00EE72C3">
            <w:pPr>
              <w:jc w:val="center"/>
            </w:pPr>
            <w:r>
              <w:rPr>
                <w:b/>
                <w:bCs/>
                <w:color w:val="FFFFFF"/>
                <w:sz w:val="20"/>
                <w:szCs w:val="20"/>
              </w:rPr>
              <w:t>Definición</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TMF</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Tonelada Métrica Fina. Unidad estándar de producción minera para metales base.</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UBIGEO</w:t>
            </w:r>
          </w:p>
        </w:tc>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Código de 6 dígitos del INEI que identifica cada distrito del Perú.</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CENEPRED</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Centro Nacional de Estimación, Prevención y Reducción del Riesgo de Desastres. Asigna scores de peligro (1-5) a cada distrito.</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lastRenderedPageBreak/>
              <w:t>Score CENEPRED</w:t>
            </w:r>
          </w:p>
        </w:tc>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Índice de 1 (menor peligro) a 5 (mayor peligro) para tres tipos de amenaza: Movimientos de Masa, Inundación y Seq</w:t>
            </w:r>
            <w:r>
              <w:rPr>
                <w:sz w:val="20"/>
                <w:szCs w:val="20"/>
              </w:rPr>
              <w:t>uías Severas.</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Exposición de cartera</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Valor en soles (S/) de los instrumentos de AFP Integra vinculados a una empresa, tomado de la columna VALOR_VECTOR_LOCAL de la hoja Valorización de Instrumentos.</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Plata en riesgo</w:t>
            </w:r>
          </w:p>
        </w:tc>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Exposición de cartera asignada a un distrito multiplicada por su score CENEPRED. Es una estimación de qué parte de la inversión está potencialmente expuesta a ese peligro físico.</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Nombre canónico</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Nombre corto y estandarizado usado internamente (ej. 'Buenaventura') que agrupa todas las razones sociales legales del mismo grupo económico.</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Geocodificación</w:t>
            </w:r>
          </w:p>
        </w:tc>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Proceso de convertir el par (departamento, provincia, distrito) de cada fila de datos en un UBIGE</w:t>
            </w:r>
            <w:r>
              <w:rPr>
                <w:sz w:val="20"/>
                <w:szCs w:val="20"/>
              </w:rPr>
              <w:t>O de 6 dígitos para vincularla al mapa.</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GeoJSON</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60" w:type="dxa"/>
              <w:left w:w="120" w:type="dxa"/>
              <w:bottom w:w="60" w:type="dxa"/>
              <w:right w:w="120" w:type="dxa"/>
            </w:tcMar>
          </w:tcPr>
          <w:p w:rsidR="000C71D1" w:rsidRDefault="00EE72C3">
            <w:r>
              <w:rPr>
                <w:sz w:val="20"/>
                <w:szCs w:val="20"/>
              </w:rPr>
              <w:t>Formato de archivo estándar para almacenar geometrías geográficas (polígonos de distritos) junto con sus atributos.</w:t>
            </w:r>
          </w:p>
        </w:tc>
      </w:tr>
      <w:tr w:rsidR="000C71D1">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B-2358</w:t>
            </w:r>
          </w:p>
        </w:tc>
        <w:tc>
          <w:tcPr>
            <w:tcW w:w="4680" w:type="dxa"/>
            <w:tcBorders>
              <w:top w:val="single" w:sz="1" w:space="0" w:color="D0D7E8"/>
              <w:left w:val="single" w:sz="1" w:space="0" w:color="D0D7E8"/>
              <w:bottom w:val="single" w:sz="1" w:space="0" w:color="D0D7E8"/>
              <w:right w:val="single" w:sz="1" w:space="0" w:color="D0D7E8"/>
            </w:tcBorders>
            <w:shd w:val="clear" w:color="auto" w:fill="F0F3FA"/>
            <w:tcMar>
              <w:top w:w="60" w:type="dxa"/>
              <w:left w:w="120" w:type="dxa"/>
              <w:bottom w:w="60" w:type="dxa"/>
              <w:right w:w="120" w:type="dxa"/>
            </w:tcMar>
          </w:tcPr>
          <w:p w:rsidR="000C71D1" w:rsidRDefault="00EE72C3">
            <w:r>
              <w:rPr>
                <w:sz w:val="20"/>
                <w:szCs w:val="20"/>
              </w:rPr>
              <w:t>Reporte de la SBS con el stock de créditos por banco y por ubicación geográfica.</w:t>
            </w:r>
          </w:p>
        </w:tc>
      </w:tr>
    </w:tbl>
    <w:p w:rsidR="000C71D1" w:rsidRDefault="000C71D1">
      <w:pPr>
        <w:spacing w:after="80"/>
      </w:pPr>
    </w:p>
    <w:p w:rsidR="000C71D1" w:rsidRDefault="00EE72C3">
      <w:pPr>
        <w:spacing w:before="480"/>
        <w:jc w:val="center"/>
      </w:pPr>
      <w:r>
        <w:rPr>
          <w:i/>
          <w:iCs/>
          <w:color w:val="7A869A"/>
          <w:sz w:val="20"/>
          <w:szCs w:val="20"/>
        </w:rPr>
        <w:t>— Fin del manual —</w:t>
      </w:r>
    </w:p>
    <w:sectPr w:rsidR="000C71D1">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2C3" w:rsidRDefault="00EE72C3">
      <w:r>
        <w:separator/>
      </w:r>
    </w:p>
  </w:endnote>
  <w:endnote w:type="continuationSeparator" w:id="0">
    <w:p w:rsidR="00EE72C3" w:rsidRDefault="00EE7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1D1" w:rsidRDefault="00EE72C3">
    <w:pPr>
      <w:jc w:val="right"/>
    </w:pPr>
    <w:r>
      <w:rPr>
        <w:color w:val="9AA1B3"/>
        <w:sz w:val="18"/>
        <w:szCs w:val="18"/>
      </w:rPr>
      <w:t xml:space="preserve">AFP Integra · ESG · Riesgos Físicos  </w:t>
    </w:r>
    <w:r>
      <w:rPr>
        <w:color w:val="9AA1B3"/>
        <w:sz w:val="18"/>
        <w:szCs w:val="18"/>
      </w:rPr>
      <w:fldChar w:fldCharType="begin"/>
    </w:r>
    <w:r>
      <w:rPr>
        <w:color w:val="9AA1B3"/>
        <w:sz w:val="18"/>
        <w:szCs w:val="18"/>
      </w:rPr>
      <w:instrText>PAGE</w:instrText>
    </w:r>
    <w:r w:rsidR="00BD471F">
      <w:rPr>
        <w:color w:val="9AA1B3"/>
        <w:sz w:val="18"/>
        <w:szCs w:val="18"/>
      </w:rPr>
      <w:fldChar w:fldCharType="separate"/>
    </w:r>
    <w:r w:rsidR="00BD471F">
      <w:rPr>
        <w:noProof/>
        <w:color w:val="9AA1B3"/>
        <w:sz w:val="18"/>
        <w:szCs w:val="18"/>
      </w:rPr>
      <w:t>2</w:t>
    </w:r>
    <w:r>
      <w:rPr>
        <w:color w:val="9AA1B3"/>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2C3" w:rsidRDefault="00EE72C3">
      <w:r>
        <w:separator/>
      </w:r>
    </w:p>
  </w:footnote>
  <w:footnote w:type="continuationSeparator" w:id="0">
    <w:p w:rsidR="00EE72C3" w:rsidRDefault="00EE72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9072D"/>
    <w:multiLevelType w:val="hybridMultilevel"/>
    <w:tmpl w:val="F8B85648"/>
    <w:lvl w:ilvl="0" w:tplc="6BC01D4C">
      <w:start w:val="1"/>
      <w:numFmt w:val="decimal"/>
      <w:lvlText w:val="%1."/>
      <w:lvlJc w:val="left"/>
      <w:pPr>
        <w:ind w:left="720" w:hanging="360"/>
      </w:pPr>
    </w:lvl>
    <w:lvl w:ilvl="1" w:tplc="2E04CA16">
      <w:numFmt w:val="decimal"/>
      <w:lvlText w:val=""/>
      <w:lvlJc w:val="left"/>
    </w:lvl>
    <w:lvl w:ilvl="2" w:tplc="21ECC3EE">
      <w:numFmt w:val="decimal"/>
      <w:lvlText w:val=""/>
      <w:lvlJc w:val="left"/>
    </w:lvl>
    <w:lvl w:ilvl="3" w:tplc="FF669DDA">
      <w:numFmt w:val="decimal"/>
      <w:lvlText w:val=""/>
      <w:lvlJc w:val="left"/>
    </w:lvl>
    <w:lvl w:ilvl="4" w:tplc="3B1AAFD8">
      <w:numFmt w:val="decimal"/>
      <w:lvlText w:val=""/>
      <w:lvlJc w:val="left"/>
    </w:lvl>
    <w:lvl w:ilvl="5" w:tplc="8BA0DC22">
      <w:numFmt w:val="decimal"/>
      <w:lvlText w:val=""/>
      <w:lvlJc w:val="left"/>
    </w:lvl>
    <w:lvl w:ilvl="6" w:tplc="8984F7D8">
      <w:numFmt w:val="decimal"/>
      <w:lvlText w:val=""/>
      <w:lvlJc w:val="left"/>
    </w:lvl>
    <w:lvl w:ilvl="7" w:tplc="B75CD8B2">
      <w:numFmt w:val="decimal"/>
      <w:lvlText w:val=""/>
      <w:lvlJc w:val="left"/>
    </w:lvl>
    <w:lvl w:ilvl="8" w:tplc="E2B6022A">
      <w:numFmt w:val="decimal"/>
      <w:lvlText w:val=""/>
      <w:lvlJc w:val="left"/>
    </w:lvl>
  </w:abstractNum>
  <w:abstractNum w:abstractNumId="1" w15:restartNumberingAfterBreak="0">
    <w:nsid w:val="496A1C70"/>
    <w:multiLevelType w:val="hybridMultilevel"/>
    <w:tmpl w:val="533EDF92"/>
    <w:lvl w:ilvl="0" w:tplc="8FD8C9BC">
      <w:start w:val="1"/>
      <w:numFmt w:val="bullet"/>
      <w:lvlText w:val="●"/>
      <w:lvlJc w:val="left"/>
      <w:pPr>
        <w:ind w:left="720" w:hanging="360"/>
      </w:pPr>
    </w:lvl>
    <w:lvl w:ilvl="1" w:tplc="E646CBF2">
      <w:start w:val="1"/>
      <w:numFmt w:val="bullet"/>
      <w:lvlText w:val="○"/>
      <w:lvlJc w:val="left"/>
      <w:pPr>
        <w:ind w:left="1440" w:hanging="360"/>
      </w:pPr>
    </w:lvl>
    <w:lvl w:ilvl="2" w:tplc="A90811D8">
      <w:start w:val="1"/>
      <w:numFmt w:val="bullet"/>
      <w:lvlText w:val="■"/>
      <w:lvlJc w:val="left"/>
      <w:pPr>
        <w:ind w:left="2160" w:hanging="360"/>
      </w:pPr>
    </w:lvl>
    <w:lvl w:ilvl="3" w:tplc="E926EF1C">
      <w:start w:val="1"/>
      <w:numFmt w:val="bullet"/>
      <w:lvlText w:val="●"/>
      <w:lvlJc w:val="left"/>
      <w:pPr>
        <w:ind w:left="2880" w:hanging="360"/>
      </w:pPr>
    </w:lvl>
    <w:lvl w:ilvl="4" w:tplc="88DCF486">
      <w:start w:val="1"/>
      <w:numFmt w:val="bullet"/>
      <w:lvlText w:val="○"/>
      <w:lvlJc w:val="left"/>
      <w:pPr>
        <w:ind w:left="3600" w:hanging="360"/>
      </w:pPr>
    </w:lvl>
    <w:lvl w:ilvl="5" w:tplc="6BA87518">
      <w:start w:val="1"/>
      <w:numFmt w:val="bullet"/>
      <w:lvlText w:val="■"/>
      <w:lvlJc w:val="left"/>
      <w:pPr>
        <w:ind w:left="4320" w:hanging="360"/>
      </w:pPr>
    </w:lvl>
    <w:lvl w:ilvl="6" w:tplc="B23C1604">
      <w:start w:val="1"/>
      <w:numFmt w:val="bullet"/>
      <w:lvlText w:val="●"/>
      <w:lvlJc w:val="left"/>
      <w:pPr>
        <w:ind w:left="5040" w:hanging="360"/>
      </w:pPr>
    </w:lvl>
    <w:lvl w:ilvl="7" w:tplc="FC88952C">
      <w:start w:val="1"/>
      <w:numFmt w:val="bullet"/>
      <w:lvlText w:val="●"/>
      <w:lvlJc w:val="left"/>
      <w:pPr>
        <w:ind w:left="5760" w:hanging="360"/>
      </w:pPr>
    </w:lvl>
    <w:lvl w:ilvl="8" w:tplc="3D6A8272">
      <w:start w:val="1"/>
      <w:numFmt w:val="bullet"/>
      <w:lvlText w:val="●"/>
      <w:lvlJc w:val="left"/>
      <w:pPr>
        <w:ind w:left="6480" w:hanging="360"/>
      </w:pPr>
    </w:lvl>
  </w:abstractNum>
  <w:abstractNum w:abstractNumId="2" w15:restartNumberingAfterBreak="0">
    <w:nsid w:val="75966007"/>
    <w:multiLevelType w:val="hybridMultilevel"/>
    <w:tmpl w:val="7B04D5E0"/>
    <w:lvl w:ilvl="0" w:tplc="7236E800">
      <w:start w:val="1"/>
      <w:numFmt w:val="bullet"/>
      <w:lvlText w:val="•"/>
      <w:lvlJc w:val="left"/>
      <w:pPr>
        <w:ind w:left="720" w:hanging="360"/>
      </w:pPr>
      <w:rPr>
        <w:color w:val="1E2E6E"/>
      </w:rPr>
    </w:lvl>
    <w:lvl w:ilvl="1" w:tplc="0ABC2E74">
      <w:numFmt w:val="decimal"/>
      <w:lvlText w:val=""/>
      <w:lvlJc w:val="left"/>
    </w:lvl>
    <w:lvl w:ilvl="2" w:tplc="6CEE872C">
      <w:numFmt w:val="decimal"/>
      <w:lvlText w:val=""/>
      <w:lvlJc w:val="left"/>
    </w:lvl>
    <w:lvl w:ilvl="3" w:tplc="096A9E52">
      <w:numFmt w:val="decimal"/>
      <w:lvlText w:val=""/>
      <w:lvlJc w:val="left"/>
    </w:lvl>
    <w:lvl w:ilvl="4" w:tplc="34889C14">
      <w:numFmt w:val="decimal"/>
      <w:lvlText w:val=""/>
      <w:lvlJc w:val="left"/>
    </w:lvl>
    <w:lvl w:ilvl="5" w:tplc="122ED218">
      <w:numFmt w:val="decimal"/>
      <w:lvlText w:val=""/>
      <w:lvlJc w:val="left"/>
    </w:lvl>
    <w:lvl w:ilvl="6" w:tplc="61BCCDB6">
      <w:numFmt w:val="decimal"/>
      <w:lvlText w:val=""/>
      <w:lvlJc w:val="left"/>
    </w:lvl>
    <w:lvl w:ilvl="7" w:tplc="4088FB70">
      <w:numFmt w:val="decimal"/>
      <w:lvlText w:val=""/>
      <w:lvlJc w:val="left"/>
    </w:lvl>
    <w:lvl w:ilvl="8" w:tplc="8100574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1D1"/>
    <w:rsid w:val="000C71D1"/>
    <w:rsid w:val="00BD471F"/>
    <w:rsid w:val="00EE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30E3EE-A545-4248-937B-CB05830D0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4" w:space="4" w:color="00AECB"/>
      </w:pBdr>
      <w:spacing w:before="320" w:after="160"/>
      <w:outlineLvl w:val="0"/>
    </w:pPr>
    <w:rPr>
      <w:b/>
      <w:bCs/>
      <w:color w:val="1E2E6E"/>
      <w:sz w:val="32"/>
      <w:szCs w:val="32"/>
    </w:rPr>
  </w:style>
  <w:style w:type="paragraph" w:styleId="Ttulo2">
    <w:name w:val="heading 2"/>
    <w:qFormat/>
    <w:pPr>
      <w:spacing w:before="260" w:after="120"/>
      <w:outlineLvl w:val="1"/>
    </w:pPr>
    <w:rPr>
      <w:b/>
      <w:bCs/>
      <w:color w:val="1E2E6E"/>
      <w:sz w:val="26"/>
      <w:szCs w:val="26"/>
    </w:rPr>
  </w:style>
  <w:style w:type="paragraph" w:styleId="Ttulo3">
    <w:name w:val="heading 3"/>
    <w:qFormat/>
    <w:pPr>
      <w:spacing w:before="200" w:after="100"/>
      <w:outlineLvl w:val="2"/>
    </w:pPr>
    <w:rPr>
      <w:b/>
      <w:bCs/>
      <w:color w:val="595959"/>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2875</Words>
  <Characters>16391</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2026-06-11T13:58:00Z</dcterms:created>
  <dcterms:modified xsi:type="dcterms:W3CDTF">2026-06-11T13:58:00Z</dcterms:modified>
</cp:coreProperties>
</file>