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sz w:val="30"/>
          <w:szCs w:val="30"/>
        </w:rPr>
        <w:t xml:space="preserve">ELECTRO DUNAS S.A.A.</w:t>
      </w:r>
    </w:p>
    <w:p>
      <w:pPr>
        <w:spacing w:after="20"/>
      </w:pPr>
      <w:r>
        <w:rPr>
          <w:rFonts w:ascii="Calibri" w:cs="Calibri" w:eastAsia="Calibri" w:hAnsi="Calibri"/>
          <w:b/>
          <w:bCs/>
          <w:color w:val="1F3864"/>
          <w:sz w:val="24"/>
          <w:szCs w:val="24"/>
        </w:rPr>
        <w:t xml:space="preserve">Fundamental Investment Brief</w:t>
      </w:r>
    </w:p>
    <w:p>
      <w:pPr>
        <w:pBdr>
          <w:bottom w:val="single" w:color="1F3864" w:sz="6" w:space="4"/>
        </w:pBdr>
        <w:spacing w:after="140"/>
      </w:pPr>
      <w:r>
        <w:rPr>
          <w:rFonts w:ascii="Calibri" w:cs="Calibri" w:eastAsia="Calibri" w:hAnsi="Calibri"/>
          <w:i/>
          <w:iCs/>
          <w:color w:val="444444"/>
          <w:sz w:val="18"/>
          <w:szCs w:val="18"/>
        </w:rPr>
        <w:t xml:space="preserve">Equity Research Note | Lima, 20 de octubre de 2026 | Rating doméstico: AAA.pe / AAA(pe), Perspectiva Estable</w:t>
      </w:r>
    </w:p>
    <w:p>
      <w:pPr>
        <w:spacing w:after="120"/>
        <w:jc w:val="both"/>
      </w:pPr>
      <w:r>
        <w:rPr>
          <w:rFonts w:ascii="Calibri" w:cs="Calibri" w:eastAsia="Calibri" w:hAnsi="Calibri"/>
          <w:sz w:val="22"/>
          <w:szCs w:val="22"/>
        </w:rPr>
        <w:t xml:space="preserve">Electro Dunas opera un monopolio natural de distribución eléctrica —concesión a perpetuidad en Ica, Ayacucho y Huancavelica—, con rating doméstico máximo y el respaldo de su matriz, Grupo Energía Bogotá (GEB). El cruce línea por línea del Income Statement 2019–2025 con los EEFF auditados, las memorias anuales y los informes de clasificación muestra, sin embargo, un deterioro progresivo desde 2022: márgenes comprimidos por dos mecanismos de costo distintos y sucesivos, una desaceleración de ingresos que es más un cambio de mix que una simple caída de tarifa, utilidades 2025 sostenidas por una partida cambiaria no operativa, y un apalancamiento que erosiona con rapidez la cobertura de deuda hacia 1S2026. Cada hallazgo distingue lo reportado en los EEFF de lo que son explicaciones de la Compañía o de las clasificadoras.</w:t>
      </w:r>
    </w:p>
    <w:p>
      <w:pPr>
        <w:spacing w:after="25" w:before="70"/>
      </w:pPr>
      <w:r>
        <w:rPr>
          <w:rFonts w:ascii="Calibri" w:cs="Calibri" w:eastAsia="Calibri" w:hAnsi="Calibri"/>
          <w:b/>
          <w:bCs/>
          <w:sz w:val="22"/>
          <w:szCs w:val="22"/>
        </w:rPr>
        <w:t xml:space="preserve">1. El margen bruto cae en dos fases con causas distintas: shock de costo marginal (2022–2023) y gas bajo contratos take-or-pay (2024–2025)</w:t>
      </w:r>
    </w:p>
    <w:p>
      <w:pPr>
        <w:spacing w:after="50"/>
      </w:pPr>
      <w:r>
        <w:rPr>
          <w:rFonts w:ascii="Calibri" w:cs="Calibri" w:eastAsia="Calibri" w:hAnsi="Calibri"/>
          <w:i/>
          <w:iCs/>
          <w:color w:val="444444"/>
          <w:sz w:val="19"/>
          <w:szCs w:val="19"/>
        </w:rPr>
        <w:t xml:space="preserve">[Informe de Clasificación — Moody's Local Perú, marzo 2024, p. 3 y p. 5; Memoria Anual 2025, p. 47; Estados Financieros Auditados de Electro Dunas S.A.A., ejercicio 2024, nota 20(C), p. 49]</w:t>
      </w:r>
    </w:p>
    <w:p>
      <w:pPr>
        <w:spacing w:after="120"/>
        <w:jc w:val="both"/>
      </w:pPr>
      <w:r>
        <w:rPr>
          <w:rFonts w:ascii="Calibri" w:cs="Calibri" w:eastAsia="Calibri" w:hAnsi="Calibri"/>
          <w:sz w:val="22"/>
          <w:szCs w:val="22"/>
        </w:rPr>
        <w:t xml:space="preserve">El margen bruto retrocede de 36.6% (2021) a 31.4% (2025) [Income Statement 2019–2025, hoja “IS”]. La primera fase está documentada por Moody's: el cambio metodológico de OSINERGMIN para costos variables de centrales térmicas (vigente desde jul-2021) elevó el costo marginal promedio a cerca de US$27/MWh entre jul-2021 y oct-2022, y la sequía de 2023 lo llevó a US$73.4/MWh, desde US$37.5/MWh en 2022. Esto coincide con el salto de “compra de energía” en el Income Statement (+22.9% en 2022, +13.8% en 2023 [hoja “Costos”]), el periodo donde se concentra el deterioro del margen. Desde 2024 el driver cambia: la compra de energía se modera (+3.1% en 2024, -0.6% en 2025) mientras la “compra de gas” —insumo de las centrales térmicas Luren, Pedregal y Nasca bajo contratos take-or-pay con la relacionada Contugas S.A.C., que obligan a un consumo mínimo pactado independiente de la demanda real— crece +15.1% (2024) y +13.9% (2025). Es, en la práctica, un costo semifijo que no cede con el consumo, lo que explica que el margen siga comprimiéndose aun cuando el costo de energía del mercado spot se estabiliza.</w:t>
      </w:r>
    </w:p>
    <w:p>
      <w:pPr>
        <w:spacing w:after="25" w:before="70"/>
      </w:pPr>
      <w:r>
        <w:rPr>
          <w:rFonts w:ascii="Calibri" w:cs="Calibri" w:eastAsia="Calibri" w:hAnsi="Calibri"/>
          <w:b/>
          <w:bCs/>
          <w:sz w:val="22"/>
          <w:szCs w:val="22"/>
        </w:rPr>
        <w:t xml:space="preserve">2. La depreciación se acelera por proyectos ya activados en 2023–2024 — no por “El Ángel”, que sigue en construcción</w:t>
      </w:r>
    </w:p>
    <w:p>
      <w:pPr>
        <w:spacing w:after="50"/>
      </w:pPr>
      <w:r>
        <w:rPr>
          <w:rFonts w:ascii="Calibri" w:cs="Calibri" w:eastAsia="Calibri" w:hAnsi="Calibri"/>
          <w:i/>
          <w:iCs/>
          <w:color w:val="444444"/>
          <w:sz w:val="19"/>
          <w:szCs w:val="19"/>
        </w:rPr>
        <w:t xml:space="preserve">[Memoria Anual 2024, pp. 62–63; Memoria Anual 2025, pp. 41–42; Estados Financieros Auditados de Electro Dunas S.A.A., ejercicio 2024, nota 12, p. 38]</w:t>
      </w:r>
    </w:p>
    <w:p>
      <w:pPr>
        <w:spacing w:after="120"/>
        <w:jc w:val="both"/>
      </w:pPr>
      <w:r>
        <w:rPr>
          <w:rFonts w:ascii="Calibri" w:cs="Calibri" w:eastAsia="Calibri" w:hAnsi="Calibri"/>
          <w:sz w:val="22"/>
          <w:szCs w:val="22"/>
        </w:rPr>
        <w:t xml:space="preserve">La depreciación del costo de servicio sube +8.0% en 2024 y +12.5% en 2025, hasta S/55.5MM, el nivel más alto de la serie [hoja “Costos”]. El origen verificable es la activación de obras en curso: S/101.5MM pasaron de obras en curso a activo en uso durante 2024, casi el doble que en 2023 (S/58.5MM) [nota 12, p. 38], en línea con la puesta en servicio durante 2024 de cuatro proyectos de transmisión —ampliaciones de las SET Tacama y Luren, y las líneas Chiribamba–Caudalosa y Chiribamba–Pacococha— y con la SET Chiribamba, activada en 2023. El proyecto “El Ángel” (renombrado “Pampas de Ocas” a solicitud del COES) no entra todavía en esta cifra: su Puesta en Servicio fue postergada de 1S2025 a 1T2026, por lo que su activo permanece clasificado como obra en curso y no deprecia aún. Es, en consecuencia, un driver de CAPEX y de depreciación futura, no del incremento ya observado — una distinción relevante porque la Memoria Anual 2024 presenta ambos proyectos en la misma sección sin separar su estado de avance.</w:t>
      </w:r>
    </w:p>
    <w:p>
      <w:pPr>
        <w:spacing w:after="25" w:before="70"/>
      </w:pPr>
      <w:r>
        <w:rPr>
          <w:rFonts w:ascii="Calibri" w:cs="Calibri" w:eastAsia="Calibri" w:hAnsi="Calibri"/>
          <w:b/>
          <w:bCs/>
          <w:sz w:val="22"/>
          <w:szCs w:val="22"/>
        </w:rPr>
        <w:t xml:space="preserve">3. La desaceleración de ingresos refleja un cambio de mix, con una señal concreta de pérdida de clientes libres frente a la competencia</w:t>
      </w:r>
    </w:p>
    <w:p>
      <w:pPr>
        <w:spacing w:after="50"/>
      </w:pPr>
      <w:r>
        <w:rPr>
          <w:rFonts w:ascii="Calibri" w:cs="Calibri" w:eastAsia="Calibri" w:hAnsi="Calibri"/>
          <w:i/>
          <w:iCs/>
          <w:color w:val="444444"/>
          <w:sz w:val="19"/>
          <w:szCs w:val="19"/>
        </w:rPr>
        <w:t xml:space="preserve">[Informe de Clasificación — Moody's Local Perú, junio 2026 (publicado setiembre 2026), p. 2; Memoria Anual 2024, pp. 80–85]</w:t>
      </w:r>
    </w:p>
    <w:p>
      <w:pPr>
        <w:spacing w:after="120"/>
        <w:jc w:val="both"/>
      </w:pPr>
      <w:r>
        <w:rPr>
          <w:rFonts w:ascii="Calibri" w:cs="Calibri" w:eastAsia="Calibri" w:hAnsi="Calibri"/>
          <w:sz w:val="22"/>
          <w:szCs w:val="22"/>
        </w:rPr>
        <w:t xml:space="preserve">El crecimiento de ingresos cae de 14.2% (2021) a 1.9% (2025) [hoja “IS”], mientras la energía física distribuida sigue creciendo con solidez (+5.6% en 2025) [hoja “Energía distribuida”]. La brecha se explica por composición: el crecimiento de volumen de 2025 está concentrado en energía de terceros que usan las redes de Electro Dunas sin ser clientes propios (+18.0%), que solo genera ingreso por peaje —la partida “Peaje de transmisión y distribución” pasa de S/3.5MM a S/13.3MM (+283%)—, mientras la energía vendida a clientes propios crece apenas +1.6%. Dentro de clientes propios, el segmento más competitivo —clientes libres, donde Electro Dunas compite directamente con generadoras— retrocede -6.6% en ingresos en 2025, tras haber crecido +46% (2023) y +13% (2024) [hoja “Energía distribuida”, cálculo propio]. Esta caída coincide con la debilidad crediticia que Moody's identifica explícitamente desde su informe de junio 2026 (“alta competencia de empresas generadoras para la prestación del servicio eléctrico a clientes libres”), aunque el vínculo cuantitativo entre ambas series es una lectura propia y no una atribución causal de la clasificadora. Adicionalmente, la propia Compañía reportó en su MD&amp;A 2024 una caída del precio promedio de venta de -1.7% (de S/53.5 a S/52.6 ctv/kWh); la moderación atribuida por Moody's al “factor IPM y al tipo de cambio” para 2025–1S2026 es una explicación de la clasificadora, sin cifra propia verificada en los documentos revisados.</w:t>
      </w:r>
    </w:p>
    <w:p>
      <w:pPr>
        <w:spacing w:after="25" w:before="70"/>
      </w:pPr>
      <w:r>
        <w:rPr>
          <w:rFonts w:ascii="Calibri" w:cs="Calibri" w:eastAsia="Calibri" w:hAnsi="Calibri"/>
          <w:b/>
          <w:bCs/>
          <w:sz w:val="22"/>
          <w:szCs w:val="22"/>
        </w:rPr>
        <w:t xml:space="preserve">4. La utilidad neta de 2025 crece por una ganancia cambiaria no operativa, mientras el resultado operativo retrocede</w:t>
      </w:r>
    </w:p>
    <w:p>
      <w:pPr>
        <w:spacing w:after="50"/>
      </w:pPr>
      <w:r>
        <w:rPr>
          <w:rFonts w:ascii="Calibri" w:cs="Calibri" w:eastAsia="Calibri" w:hAnsi="Calibri"/>
          <w:i/>
          <w:iCs/>
          <w:color w:val="444444"/>
          <w:sz w:val="19"/>
          <w:szCs w:val="19"/>
        </w:rPr>
        <w:t xml:space="preserve">[Memoria Anual 2025, p. 47; Informe de Clasificación — Moody's Local Perú, diciembre 2025 (publicado mayo 2026), p. 4]</w:t>
      </w:r>
    </w:p>
    <w:p>
      <w:pPr>
        <w:spacing w:after="120"/>
        <w:jc w:val="both"/>
      </w:pPr>
      <w:r>
        <w:rPr>
          <w:rFonts w:ascii="Calibri" w:cs="Calibri" w:eastAsia="Calibri" w:hAnsi="Calibri"/>
          <w:sz w:val="22"/>
          <w:szCs w:val="22"/>
        </w:rPr>
        <w:t xml:space="preserve">El resultado operativo cae -3.4% en 2025 (de S/114.0MM a S/110.1MM), pero la utilidad neta sube +2.8% (S/63.4MM) [hoja “IS”]. La diferencia la explica la “diferencia de cambio, neta”, que pasa de -S/1.1MM (2024) a +S/7.0MM (2025), un giro de +S/8.1MM. Moody's vincula este resultado a la reducción de -11.96% en el saldo del mutuo con Contugas S.A.C. —denominado en dólares— “por la devaluación del dólar” durante 2025: una ganancia contable por conversión de pasivos en moneda extranjera, no una mejora del negocio. El gasto financiero por intereses, en paralelo, subió +9.4% en el año. Sin el efecto cambiario, el resultado antes de impuestos habría retrocedido en vez de crecer +1.9%: el aumento de utilidad neta reportado en 2025 no proviene de la operación y no es extrapolable hacia 2026.</w:t>
      </w:r>
    </w:p>
    <w:p>
      <w:pPr>
        <w:spacing w:after="25" w:before="70"/>
      </w:pPr>
      <w:r>
        <w:rPr>
          <w:rFonts w:ascii="Calibri" w:cs="Calibri" w:eastAsia="Calibri" w:hAnsi="Calibri"/>
          <w:b/>
          <w:bCs/>
          <w:sz w:val="22"/>
          <w:szCs w:val="22"/>
        </w:rPr>
        <w:t xml:space="preserve">5. Apalancamiento y cobertura se deterioran con rapidez hacia 1S2026, sin incumplimiento de covenants contractuales</w:t>
      </w:r>
    </w:p>
    <w:p>
      <w:pPr>
        <w:spacing w:after="50"/>
      </w:pPr>
      <w:r>
        <w:rPr>
          <w:rFonts w:ascii="Calibri" w:cs="Calibri" w:eastAsia="Calibri" w:hAnsi="Calibri"/>
          <w:i/>
          <w:iCs/>
          <w:color w:val="444444"/>
          <w:sz w:val="19"/>
          <w:szCs w:val="19"/>
        </w:rPr>
        <w:t xml:space="preserve">[Estados Financieros Auditados de Electro Dunas S.A.A., ejercicio 2024, nota de Pasivos Financieros, p. 48; Informe de Clasificación — Moody's Local Perú, junio 2026 (publicado setiembre 2026), pp. 1–4]</w:t>
      </w:r>
    </w:p>
    <w:p>
      <w:pPr>
        <w:spacing w:after="120"/>
        <w:jc w:val="both"/>
      </w:pPr>
      <w:r>
        <w:rPr>
          <w:rFonts w:ascii="Calibri" w:cs="Calibri" w:eastAsia="Calibri" w:hAnsi="Calibri"/>
          <w:sz w:val="22"/>
          <w:szCs w:val="22"/>
        </w:rPr>
        <w:t xml:space="preserve">El 18 de noviembre de 2024 las clasificadoras dejaron sin efecto la Fianza Solidaria de Perú Power Company S.A.C. y pasaron a evaluar a Electro Dunas en base individual (standalone); desde entonces, los indicadores de apalancamiento de informes sucesivos de Moody's no siempre coinciden entre sí para un mismo periodo, por lo que esta sección usa únicamente la serie del informe más reciente (junio 2026), internamente consistente. Bajo esa serie, la Palanca Financiera (Deuda Financiera/EBITDA LTM) sube de 3.32x (dic-2024) a 3.57x (dic-2025) y 3.88x (jun-2026), acercándose al lineamiento interno que GEB recomienda a sus filiales (4.0x). La cobertura de servicio de deuda (FCO/Servicio de Deuda) cae a 0.74x en jun-2026 —por debajo de 1.0x por primera vez desde 2022— y la liquidez corriente baja de 0.52x (dic-2025) a 0.35x (jun-2026), ante el vencimiento de un préstamo bancario de S/100.0MM en set-2026. El Prospecto Marco del Programa de Bonos no establece covenants financieros frente a los bonistas, por lo que no existe un gatillo contractual de incumplimiento; como herramienta de refinanciamiento, la Compañía cuenta desde mayo y agosto de 2026 con un Programa de Papeles Comerciales (hasta S/350MM, clasificado ML A-1+.pe), cuya ejecución efectiva para cubrir ese vencimiento específico no está confirmada al cierre del informe revisado.</w:t>
      </w:r>
    </w:p>
    <w:p>
      <w:pPr>
        <w:spacing w:after="25" w:before="70"/>
      </w:pPr>
      <w:r>
        <w:rPr>
          <w:rFonts w:ascii="Calibri" w:cs="Calibri" w:eastAsia="Calibri" w:hAnsi="Calibri"/>
          <w:b/>
          <w:bCs/>
          <w:sz w:val="22"/>
          <w:szCs w:val="22"/>
        </w:rPr>
        <w:t xml:space="preserve">6. La política de dividendos no se ha ajustado al deterioro del apalancamiento</w:t>
      </w:r>
    </w:p>
    <w:p>
      <w:pPr>
        <w:spacing w:after="50"/>
      </w:pPr>
      <w:r>
        <w:rPr>
          <w:rFonts w:ascii="Calibri" w:cs="Calibri" w:eastAsia="Calibri" w:hAnsi="Calibri"/>
          <w:i/>
          <w:iCs/>
          <w:color w:val="444444"/>
          <w:sz w:val="19"/>
          <w:szCs w:val="19"/>
        </w:rPr>
        <w:t xml:space="preserve">[Estados Financieros Auditados de Electro Dunas S.A.A., ejercicio 2025, nota 22.B, p. 52; Informe de Clasificación — Moody's Local Perú, diciembre 2025 (publicado mayo 2026), p. 1; Informe de Clasificación — Moody's Local Perú, junio 2026 (publicado setiembre 2026), p. 3]</w:t>
      </w:r>
    </w:p>
    <w:p>
      <w:pPr>
        <w:spacing w:after="120"/>
        <w:jc w:val="both"/>
      </w:pPr>
      <w:r>
        <w:rPr>
          <w:rFonts w:ascii="Calibri" w:cs="Calibri" w:eastAsia="Calibri" w:hAnsi="Calibri"/>
          <w:sz w:val="22"/>
          <w:szCs w:val="22"/>
        </w:rPr>
        <w:t xml:space="preserve">Electro Dunas distribuyó S/64.2MM en dividendos en 2025, un monto que prácticamente iguala la utilidad neta del ejercicio (S/63.4MM) [nota 22.B, p. 52]. Moody's calificó esta intensidad de reparto, desde su informe de diciembre 2025, como “un tema de seguimiento… respecto a su estructura patrimonial”, sin calificarlo como riesgo de solvencia. En 1S2026 el patrimonio se contrajo -5.51% porque el dividendo pagado en el semestre (S/36.4MM) superó la utilidad generada en el mismo periodo —relación que Moody's documenta de forma explícita, no una inferencia propia—, reduciendo el colchón patrimonial justo cuando la Palanca Contable (Pasivo/Patrimonio) sube a 4.16x desde 3.77x al cierre de 2025.</w:t>
      </w:r>
    </w:p>
    <w:p>
      <w:pPr>
        <w:spacing w:after="70" w:before="90"/>
      </w:pPr>
      <w:r>
        <w:rPr>
          <w:rFonts w:ascii="Calibri" w:cs="Calibri" w:eastAsia="Calibri" w:hAnsi="Calibri"/>
          <w:b/>
          <w:bCs/>
          <w:sz w:val="22"/>
          <w:szCs w:val="22"/>
        </w:rPr>
        <w:t xml:space="preserve">Cifras seleccionadas — Income Statement 2019–2025</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200"/>
      </w:tblGrid>
      <w:tr>
        <w:tc>
          <w:tcPr>
            <w:tcW w:type="dxa" w:w="2600"/>
            <w:shd w:fill="D9D9D9" w:val="clear"/>
            <w:tcMar>
              <w:top w:type="dxa" w:w="35"/>
              <w:left w:type="dxa" w:w="60"/>
              <w:bottom w:type="dxa" w:w="35"/>
              <w:right w:type="dxa" w:w="60"/>
            </w:tcMar>
          </w:tcPr>
          <w:p>
            <w:pPr>
              <w:jc w:val="left"/>
            </w:pPr>
            <w:r>
              <w:rPr>
                <w:rFonts w:ascii="Calibri" w:cs="Calibri" w:eastAsia="Calibri" w:hAnsi="Calibri"/>
                <w:b/>
                <w:bCs/>
                <w:sz w:val="18"/>
                <w:szCs w:val="18"/>
              </w:rPr>
              <w:t xml:space="preserve">Métrica</w:t>
            </w:r>
          </w:p>
        </w:tc>
        <w:tc>
          <w:tcPr>
            <w:tcW w:type="dxa" w:w="1200"/>
            <w:shd w:fill="D9D9D9" w:val="clear"/>
            <w:tcMar>
              <w:top w:type="dxa" w:w="35"/>
              <w:left w:type="dxa" w:w="60"/>
              <w:bottom w:type="dxa" w:w="35"/>
              <w:right w:type="dxa" w:w="60"/>
            </w:tcMar>
          </w:tcPr>
          <w:p>
            <w:pPr>
              <w:jc w:val="center"/>
            </w:pPr>
            <w:r>
              <w:rPr>
                <w:rFonts w:ascii="Calibri" w:cs="Calibri" w:eastAsia="Calibri" w:hAnsi="Calibri"/>
                <w:b/>
                <w:bCs/>
                <w:sz w:val="18"/>
                <w:szCs w:val="18"/>
              </w:rPr>
              <w:t xml:space="preserve">2021</w:t>
            </w:r>
          </w:p>
        </w:tc>
        <w:tc>
          <w:tcPr>
            <w:tcW w:type="dxa" w:w="1200"/>
            <w:shd w:fill="D9D9D9" w:val="clear"/>
            <w:tcMar>
              <w:top w:type="dxa" w:w="35"/>
              <w:left w:type="dxa" w:w="60"/>
              <w:bottom w:type="dxa" w:w="35"/>
              <w:right w:type="dxa" w:w="60"/>
            </w:tcMar>
          </w:tcPr>
          <w:p>
            <w:pPr>
              <w:jc w:val="center"/>
            </w:pPr>
            <w:r>
              <w:rPr>
                <w:rFonts w:ascii="Calibri" w:cs="Calibri" w:eastAsia="Calibri" w:hAnsi="Calibri"/>
                <w:b/>
                <w:bCs/>
                <w:sz w:val="18"/>
                <w:szCs w:val="18"/>
              </w:rPr>
              <w:t xml:space="preserve">2022</w:t>
            </w:r>
          </w:p>
        </w:tc>
        <w:tc>
          <w:tcPr>
            <w:tcW w:type="dxa" w:w="1200"/>
            <w:shd w:fill="D9D9D9" w:val="clear"/>
            <w:tcMar>
              <w:top w:type="dxa" w:w="35"/>
              <w:left w:type="dxa" w:w="60"/>
              <w:bottom w:type="dxa" w:w="35"/>
              <w:right w:type="dxa" w:w="60"/>
            </w:tcMar>
          </w:tcPr>
          <w:p>
            <w:pPr>
              <w:jc w:val="center"/>
            </w:pPr>
            <w:r>
              <w:rPr>
                <w:rFonts w:ascii="Calibri" w:cs="Calibri" w:eastAsia="Calibri" w:hAnsi="Calibri"/>
                <w:b/>
                <w:bCs/>
                <w:sz w:val="18"/>
                <w:szCs w:val="18"/>
              </w:rPr>
              <w:t xml:space="preserve">2023</w:t>
            </w:r>
          </w:p>
        </w:tc>
        <w:tc>
          <w:tcPr>
            <w:tcW w:type="dxa" w:w="1200"/>
            <w:shd w:fill="D9D9D9" w:val="clear"/>
            <w:tcMar>
              <w:top w:type="dxa" w:w="35"/>
              <w:left w:type="dxa" w:w="60"/>
              <w:bottom w:type="dxa" w:w="35"/>
              <w:right w:type="dxa" w:w="60"/>
            </w:tcMar>
          </w:tcPr>
          <w:p>
            <w:pPr>
              <w:jc w:val="center"/>
            </w:pPr>
            <w:r>
              <w:rPr>
                <w:rFonts w:ascii="Calibri" w:cs="Calibri" w:eastAsia="Calibri" w:hAnsi="Calibri"/>
                <w:b/>
                <w:bCs/>
                <w:sz w:val="18"/>
                <w:szCs w:val="18"/>
              </w:rPr>
              <w:t xml:space="preserve">2024</w:t>
            </w:r>
          </w:p>
        </w:tc>
        <w:tc>
          <w:tcPr>
            <w:tcW w:type="dxa" w:w="1200"/>
            <w:shd w:fill="D9D9D9" w:val="clear"/>
            <w:tcMar>
              <w:top w:type="dxa" w:w="35"/>
              <w:left w:type="dxa" w:w="60"/>
              <w:bottom w:type="dxa" w:w="35"/>
              <w:right w:type="dxa" w:w="60"/>
            </w:tcMar>
          </w:tcPr>
          <w:p>
            <w:pPr>
              <w:jc w:val="center"/>
            </w:pPr>
            <w:r>
              <w:rPr>
                <w:rFonts w:ascii="Calibri" w:cs="Calibri" w:eastAsia="Calibri" w:hAnsi="Calibri"/>
                <w:b/>
                <w:bCs/>
                <w:sz w:val="18"/>
                <w:szCs w:val="18"/>
              </w:rPr>
              <w:t xml:space="preserve">2025</w:t>
            </w:r>
          </w:p>
        </w:tc>
      </w:tr>
      <w:tr>
        <w:tc>
          <w:tcPr>
            <w:tcW w:type="dxa" w:w="2600"/>
            <w:tcMar>
              <w:top w:type="dxa" w:w="35"/>
              <w:left w:type="dxa" w:w="60"/>
              <w:bottom w:type="dxa" w:w="35"/>
              <w:right w:type="dxa" w:w="60"/>
            </w:tcMar>
          </w:tcPr>
          <w:p>
            <w:pPr>
              <w:jc w:val="left"/>
            </w:pPr>
            <w:r>
              <w:rPr>
                <w:rFonts w:ascii="Calibri" w:cs="Calibri" w:eastAsia="Calibri" w:hAnsi="Calibri"/>
                <w:b w:val="false"/>
                <w:bCs w:val="false"/>
                <w:sz w:val="18"/>
                <w:szCs w:val="18"/>
              </w:rPr>
              <w:t xml:space="preserve">Ingresos totales (S/ MM)</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431.3</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488.6</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540.8</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570.5</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581.4</w:t>
            </w:r>
          </w:p>
        </w:tc>
      </w:tr>
      <w:tr>
        <w:tc>
          <w:tcPr>
            <w:tcW w:type="dxa" w:w="2600"/>
            <w:tcMar>
              <w:top w:type="dxa" w:w="35"/>
              <w:left w:type="dxa" w:w="60"/>
              <w:bottom w:type="dxa" w:w="35"/>
              <w:right w:type="dxa" w:w="60"/>
            </w:tcMar>
          </w:tcPr>
          <w:p>
            <w:pPr>
              <w:jc w:val="left"/>
            </w:pPr>
            <w:r>
              <w:rPr>
                <w:rFonts w:ascii="Calibri" w:cs="Calibri" w:eastAsia="Calibri" w:hAnsi="Calibri"/>
                <w:b w:val="false"/>
                <w:bCs w:val="false"/>
                <w:sz w:val="18"/>
                <w:szCs w:val="18"/>
              </w:rPr>
              <w:t xml:space="preserve">Crecimiento de ingresos</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14.2%</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13.3%</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10.7%</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5.5%</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1.9%</w:t>
            </w:r>
          </w:p>
        </w:tc>
      </w:tr>
      <w:tr>
        <w:tc>
          <w:tcPr>
            <w:tcW w:type="dxa" w:w="2600"/>
            <w:tcMar>
              <w:top w:type="dxa" w:w="35"/>
              <w:left w:type="dxa" w:w="60"/>
              <w:bottom w:type="dxa" w:w="35"/>
              <w:right w:type="dxa" w:w="60"/>
            </w:tcMar>
          </w:tcPr>
          <w:p>
            <w:pPr>
              <w:jc w:val="left"/>
            </w:pPr>
            <w:r>
              <w:rPr>
                <w:rFonts w:ascii="Calibri" w:cs="Calibri" w:eastAsia="Calibri" w:hAnsi="Calibri"/>
                <w:b w:val="false"/>
                <w:bCs w:val="false"/>
                <w:sz w:val="18"/>
                <w:szCs w:val="18"/>
              </w:rPr>
              <w:t xml:space="preserve">Margen bruto</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36.6%</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33.9%</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33.1%</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32.2%</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31.4%</w:t>
            </w:r>
          </w:p>
        </w:tc>
      </w:tr>
      <w:tr>
        <w:tc>
          <w:tcPr>
            <w:tcW w:type="dxa" w:w="2600"/>
            <w:tcMar>
              <w:top w:type="dxa" w:w="35"/>
              <w:left w:type="dxa" w:w="60"/>
              <w:bottom w:type="dxa" w:w="35"/>
              <w:right w:type="dxa" w:w="60"/>
            </w:tcMar>
          </w:tcPr>
          <w:p>
            <w:pPr>
              <w:jc w:val="left"/>
            </w:pPr>
            <w:r>
              <w:rPr>
                <w:rFonts w:ascii="Calibri" w:cs="Calibri" w:eastAsia="Calibri" w:hAnsi="Calibri"/>
                <w:b w:val="false"/>
                <w:bCs w:val="false"/>
                <w:sz w:val="18"/>
                <w:szCs w:val="18"/>
              </w:rPr>
              <w:t xml:space="preserve">Margen EBITDA (simple)¹</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31.7%</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30.2%</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28.9%</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29.6%</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29.5%</w:t>
            </w:r>
          </w:p>
        </w:tc>
      </w:tr>
      <w:tr>
        <w:tc>
          <w:tcPr>
            <w:tcW w:type="dxa" w:w="2600"/>
            <w:tcMar>
              <w:top w:type="dxa" w:w="35"/>
              <w:left w:type="dxa" w:w="60"/>
              <w:bottom w:type="dxa" w:w="35"/>
              <w:right w:type="dxa" w:w="60"/>
            </w:tcMar>
          </w:tcPr>
          <w:p>
            <w:pPr>
              <w:jc w:val="left"/>
            </w:pPr>
            <w:r>
              <w:rPr>
                <w:rFonts w:ascii="Calibri" w:cs="Calibri" w:eastAsia="Calibri" w:hAnsi="Calibri"/>
                <w:b w:val="false"/>
                <w:bCs w:val="false"/>
                <w:sz w:val="18"/>
                <w:szCs w:val="18"/>
              </w:rPr>
              <w:t xml:space="preserve">Utilidad neta (S/ MM)</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42.1</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53.6</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57.6</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61.7</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63.4</w:t>
            </w:r>
          </w:p>
        </w:tc>
      </w:tr>
      <w:tr>
        <w:tc>
          <w:tcPr>
            <w:tcW w:type="dxa" w:w="2600"/>
            <w:tcMar>
              <w:top w:type="dxa" w:w="35"/>
              <w:left w:type="dxa" w:w="60"/>
              <w:bottom w:type="dxa" w:w="35"/>
              <w:right w:type="dxa" w:w="60"/>
            </w:tcMar>
          </w:tcPr>
          <w:p>
            <w:pPr>
              <w:jc w:val="left"/>
            </w:pPr>
            <w:r>
              <w:rPr>
                <w:rFonts w:ascii="Calibri" w:cs="Calibri" w:eastAsia="Calibri" w:hAnsi="Calibri"/>
                <w:b w:val="false"/>
                <w:bCs w:val="false"/>
                <w:sz w:val="18"/>
                <w:szCs w:val="18"/>
              </w:rPr>
              <w:t xml:space="preserve">Deuda Fin. / EBITDA LTM²</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n.d.</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2.37x</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2.07x</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3.32x</w:t>
            </w:r>
          </w:p>
        </w:tc>
        <w:tc>
          <w:tcPr>
            <w:tcW w:type="dxa" w:w="1200"/>
            <w:tcMar>
              <w:top w:type="dxa" w:w="35"/>
              <w:left w:type="dxa" w:w="60"/>
              <w:bottom w:type="dxa" w:w="35"/>
              <w:right w:type="dxa" w:w="60"/>
            </w:tcMar>
          </w:tcPr>
          <w:p>
            <w:pPr>
              <w:jc w:val="center"/>
            </w:pPr>
            <w:r>
              <w:rPr>
                <w:rFonts w:ascii="Calibri" w:cs="Calibri" w:eastAsia="Calibri" w:hAnsi="Calibri"/>
                <w:b w:val="false"/>
                <w:bCs w:val="false"/>
                <w:sz w:val="18"/>
                <w:szCs w:val="18"/>
              </w:rPr>
              <w:t xml:space="preserve">3.57x</w:t>
            </w:r>
          </w:p>
        </w:tc>
      </w:tr>
    </w:tbl>
    <w:p>
      <w:pPr>
        <w:spacing w:after="0" w:before="50"/>
      </w:pPr>
      <w:r>
        <w:rPr>
          <w:rFonts w:ascii="Calibri" w:cs="Calibri" w:eastAsia="Calibri" w:hAnsi="Calibri"/>
          <w:i/>
          <w:iCs/>
          <w:color w:val="555555"/>
          <w:sz w:val="17"/>
          <w:szCs w:val="17"/>
        </w:rPr>
        <w:t xml:space="preserve">¹ EBITDA “simple” = resultado operativo + D&amp;A [hoja “Costos y Gastos x Naturaleza”]; difiere de las definiciones de EBITDA ajustado usadas por la Compañía y por las clasificadoras.  ² Serie de Informes de Clasificación Moody's Local Perú, informe de junio 2026 (ver hallazgo 5); 2021 sin dato comparable bajo base standalone.</w:t>
      </w:r>
    </w:p>
    <w:p>
      <w:pPr>
        <w:spacing w:after="50" w:before="80"/>
      </w:pPr>
      <w:r>
        <w:rPr>
          <w:rFonts w:ascii="Calibri" w:cs="Calibri" w:eastAsia="Calibri" w:hAnsi="Calibri"/>
          <w:b/>
          <w:bCs/>
          <w:sz w:val="22"/>
          <w:szCs w:val="22"/>
        </w:rPr>
        <w:t xml:space="preserve">Riesgos y catalizadores a monitorear</w:t>
      </w:r>
    </w:p>
    <w:p>
      <w:pPr>
        <w:spacing w:after="120"/>
        <w:jc w:val="both"/>
      </w:pPr>
      <w:r>
        <w:rPr>
          <w:rFonts w:ascii="Calibri" w:cs="Calibri" w:eastAsia="Calibri" w:hAnsi="Calibri"/>
          <w:sz w:val="22"/>
          <w:szCs w:val="22"/>
        </w:rPr>
        <w:t xml:space="preserve">El resultado del proceso tarifario VAD 2026–2030, aún en elaboración ante OSINERGMIN mediante el SICODI [Memoria Anual 2025, p. 40], determinará si la compresión de margen observada desde 2022 se corrige o se consolida. En el corto plazo, el catalizador más concreto es la ejecución efectiva del Programa de Papeles Comerciales para cubrir el vencimiento bancario de setiembre de 2026: su éxito, o la necesidad de recurrir a deuda más cara, distingue un episodio de liquidez transitorio de un deterioro estructural de la cobertura de deuda. El negocio regulado conserva fortalezas estructurales —monopolio a perpetuidad, respaldo de GEB, rating doméstico máximo— que amortiguan, sin eliminar, los riesgos anteriores.</w:t>
      </w:r>
    </w:p>
    <w:sectPr>
      <w:pgSz w:w="11906" w:h="16838" w:orient="portrait"/>
      <w:pgMar w:top="460" w:right="650" w:bottom="460" w:left="6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2026-10-20T19:01:08.249Z</dcterms:created>
  <dcterms:modified xsi:type="dcterms:W3CDTF">2026-10-20T19:01:08.249Z</dcterms:modified>
</cp:coreProperties>
</file>

<file path=docProps/custom.xml><?xml version="1.0" encoding="utf-8"?>
<Properties xmlns="http://schemas.openxmlformats.org/officeDocument/2006/custom-properties" xmlns:vt="http://schemas.openxmlformats.org/officeDocument/2006/docPropsVTypes"/>
</file>