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w:t>
      </w:r>
      <w:proofErr w:type="spellStart"/>
      <w:r>
        <w:t>que</w:t>
      </w:r>
      <w:proofErr w:type="spellEnd"/>
      <w:r>
        <w:t xml:space="preserv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427B4A">
        <w:rPr>
          <w:highlight w:val="lightGray"/>
        </w:rPr>
        <w:t>A nivel mundial, el impuesto Predial y su</w:t>
      </w:r>
      <w:r w:rsidR="00E6505D" w:rsidRPr="00427B4A">
        <w:rPr>
          <w:highlight w:val="lightGray"/>
        </w:rPr>
        <w:t xml:space="preserve"> impacto</w:t>
      </w:r>
      <w:r w:rsidR="00FC2C8B" w:rsidRPr="00427B4A">
        <w:rPr>
          <w:highlight w:val="lightGray"/>
        </w:rPr>
        <w:t xml:space="preserve"> </w:t>
      </w:r>
      <w:r w:rsidRPr="00427B4A">
        <w:rPr>
          <w:highlight w:val="lightGray"/>
        </w:rPr>
        <w:t>con el presupuest</w:t>
      </w:r>
      <w:r w:rsidR="00B37A52" w:rsidRPr="00427B4A">
        <w:rPr>
          <w:highlight w:val="lightGray"/>
        </w:rPr>
        <w:t>o municipal son temas de creciente relevancia. Según el Banco Mundial</w:t>
      </w:r>
      <w:r w:rsidR="00EE54B7" w:rsidRPr="00427B4A">
        <w:rPr>
          <w:highlight w:val="lightGray"/>
        </w:rPr>
        <w:t>, en 2020, los ingresos</w:t>
      </w:r>
      <w:r w:rsidR="00941BF1" w:rsidRPr="00427B4A">
        <w:rPr>
          <w:highlight w:val="lightGray"/>
        </w:rPr>
        <w:t xml:space="preserve"> fiscales en países en desarrollo se situaron en un promedio del 17% del P</w:t>
      </w:r>
      <w:r w:rsidR="006B1B10" w:rsidRPr="00427B4A">
        <w:rPr>
          <w:highlight w:val="lightGray"/>
        </w:rPr>
        <w:t>IB,</w:t>
      </w:r>
      <w:r w:rsidR="00BF43A6" w:rsidRPr="00427B4A">
        <w:rPr>
          <w:highlight w:val="lightGray"/>
        </w:rPr>
        <w:t xml:space="preserve"> destacando la subutilización</w:t>
      </w:r>
      <w:r w:rsidR="0090235D" w:rsidRPr="00427B4A">
        <w:rPr>
          <w:highlight w:val="lightGray"/>
        </w:rPr>
        <w:t xml:space="preserve"> del impuesto predial como fuente de financiamiento</w:t>
      </w:r>
      <w:r w:rsidR="00D76DB2" w:rsidRPr="00427B4A">
        <w:rPr>
          <w:highlight w:val="lightGray"/>
        </w:rPr>
        <w:t>.</w:t>
      </w:r>
      <w:r w:rsidR="00CF5E94" w:rsidRPr="00427B4A">
        <w:rPr>
          <w:highlight w:val="lightGray"/>
        </w:rPr>
        <w:t xml:space="preserve"> Esta ineficiencia en la </w:t>
      </w:r>
      <w:r w:rsidR="004D1220" w:rsidRPr="00427B4A">
        <w:rPr>
          <w:highlight w:val="lightGray"/>
        </w:rPr>
        <w:t xml:space="preserve">recaudación y la administración del tributo impide que </w:t>
      </w:r>
      <w:r w:rsidR="0030401A" w:rsidRPr="00427B4A">
        <w:rPr>
          <w:highlight w:val="lightGray"/>
        </w:rPr>
        <w:t>numerosos g</w:t>
      </w:r>
      <w:r w:rsidR="009756D3" w:rsidRPr="00427B4A">
        <w:rPr>
          <w:highlight w:val="lightGray"/>
        </w:rPr>
        <w:t>obiernos locales aseguren</w:t>
      </w:r>
      <w:r w:rsidR="00C94F25" w:rsidRPr="00427B4A">
        <w:rPr>
          <w:highlight w:val="lightGray"/>
        </w:rPr>
        <w:t xml:space="preserve"> recursos suficientes para la provisión de servicios</w:t>
      </w:r>
      <w:r w:rsidR="000766EF" w:rsidRPr="00427B4A">
        <w:rPr>
          <w:highlight w:val="lightGray"/>
        </w:rPr>
        <w:t xml:space="preserve"> básicos, situación que, según datos mundiales,</w:t>
      </w:r>
      <w:r w:rsidR="00563C57" w:rsidRPr="00427B4A">
        <w:rPr>
          <w:highlight w:val="lightGray"/>
        </w:rPr>
        <w:t xml:space="preserve"> afecta </w:t>
      </w:r>
      <w:r w:rsidR="003170EA" w:rsidRPr="00427B4A">
        <w:rPr>
          <w:highlight w:val="lightGray"/>
        </w:rPr>
        <w:t>el 40% de las ciudades en el mundo reportan dificultades para implementar</w:t>
      </w:r>
      <w:r w:rsidR="000A26BC" w:rsidRPr="00427B4A">
        <w:rPr>
          <w:highlight w:val="lightGray"/>
        </w:rPr>
        <w:t xml:space="preserve"> políticas fiscales efectivas que garanticen la sostenibilidad financiera</w:t>
      </w:r>
      <w:r w:rsidR="00E62D61" w:rsidRPr="00427B4A">
        <w:rPr>
          <w:highlight w:val="lightGray"/>
        </w:rPr>
        <w:t xml:space="preserve"> y el desarrollo urbano.</w:t>
      </w:r>
    </w:p>
    <w:p w14:paraId="10106157" w14:textId="04EEEE62" w:rsidR="004F48A2"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t>tanto los aspectos institucionales y rutinarios del recaudo</w:t>
      </w:r>
      <w:r w:rsidR="009842E4">
        <w:t>,</w:t>
      </w:r>
      <w:r>
        <w:t xml:space="preserve"> como las relaciones de poder que intervienen en la </w:t>
      </w:r>
      <w:r w:rsidR="009842E4">
        <w:t>forma como</w:t>
      </w:r>
      <w:r>
        <w:t xml:space="preserve"> el impuesto se desarrolla en el contexto local</w:t>
      </w:r>
      <w:r w:rsidR="009842E4">
        <w:t xml:space="preserve">, para el cobro del </w:t>
      </w:r>
      <w:r w:rsidR="00427B4A">
        <w:t>impuesto.</w:t>
      </w:r>
      <w:r>
        <w:t xml:space="preserve"> No nos centramos en los aspectos “extremos” o puramente delincuenciales del cobro del predial. Por el contrario, </w:t>
      </w:r>
      <w:r w:rsidR="009842E4">
        <w:t>el</w:t>
      </w:r>
      <w:r>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684C42FA" w14:textId="77777777" w:rsidR="003E6633" w:rsidRPr="000E26B8" w:rsidRDefault="003E6633" w:rsidP="003E6633">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t xml:space="preserve">en busca de contribuir a un mejor entendimiento en la relación de las capacidades  locales y los recursos que perciben ayuntamiento por transferencias federales, con el propósito de ayudar </w:t>
      </w:r>
      <w:r>
        <w:lastRenderedPageBreak/>
        <w:t xml:space="preserve">a comprender los mecanismos que ayudan a fortalecer las haciendas pública local, mediante la generación de ingresos propios y mediante un mayor manejo de los recursos existentes. </w:t>
      </w:r>
    </w:p>
    <w:p w14:paraId="50B255F9" w14:textId="77777777" w:rsidR="003E6633" w:rsidRDefault="003E6633" w:rsidP="003E6633">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proofErr w:type="gramStart"/>
      <w:r w:rsidRPr="00E64221">
        <w:rPr>
          <w:sz w:val="25"/>
          <w:szCs w:val="25"/>
          <w:highlight w:val="darkGreen"/>
        </w:rPr>
        <w:t>Varga  y</w:t>
      </w:r>
      <w:proofErr w:type="gramEnd"/>
      <w:r w:rsidRPr="00E64221">
        <w:rPr>
          <w:sz w:val="25"/>
          <w:szCs w:val="25"/>
          <w:highlight w:val="darkGreen"/>
        </w:rPr>
        <w:t xml:space="preserve"> otros (2022)</w:t>
      </w:r>
      <w:r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Pr>
          <w:sz w:val="25"/>
          <w:szCs w:val="25"/>
        </w:rPr>
        <w:t>.</w:t>
      </w:r>
    </w:p>
    <w:p w14:paraId="5F8F660E" w14:textId="1F612B60" w:rsidR="003E6633" w:rsidRPr="000E26B8" w:rsidRDefault="003E6633" w:rsidP="003E6633">
      <w:pPr>
        <w:pStyle w:val="Prrafodelista"/>
        <w:tabs>
          <w:tab w:val="left" w:pos="7740"/>
        </w:tabs>
        <w:spacing w:before="240" w:line="360" w:lineRule="auto"/>
        <w:ind w:left="0"/>
        <w:jc w:val="both"/>
      </w:pP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74DDAC70" w14:textId="77777777" w:rsidR="003E6633" w:rsidRDefault="003E6633" w:rsidP="003E6633">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3E6633">
        <w:rPr>
          <w:noProof/>
          <w:highlight w:val="darkGreen"/>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59AAE0F7" w14:textId="53090FBE" w:rsidR="00427B4A" w:rsidRPr="000E26B8" w:rsidRDefault="003E6633" w:rsidP="002B046C">
      <w:pPr>
        <w:tabs>
          <w:tab w:val="left" w:pos="7740"/>
        </w:tabs>
        <w:spacing w:before="240" w:line="360" w:lineRule="auto"/>
        <w:jc w:val="both"/>
      </w:pPr>
      <w:r>
        <w:rPr>
          <w:shd w:val="clear" w:color="auto" w:fill="FFFFFF"/>
        </w:rPr>
        <w:t xml:space="preserve"> </w:t>
      </w:r>
      <w:r>
        <w:rPr>
          <w:shd w:val="clear" w:color="auto" w:fill="FFFFFF"/>
        </w:rPr>
        <w:t xml:space="preserve">       Sobre este punto, </w:t>
      </w:r>
      <w:r w:rsidRPr="003E6633">
        <w:rPr>
          <w:noProof/>
          <w:highlight w:val="darkGreen"/>
          <w:shd w:val="clear" w:color="auto" w:fill="FFFFFF"/>
          <w:lang w:val="es-ES"/>
        </w:rPr>
        <w:t xml:space="preserve">Vaicilla y otros </w:t>
      </w:r>
      <w:r w:rsidRPr="003E6633">
        <w:rPr>
          <w:noProof/>
          <w:highlight w:val="darkGreen"/>
          <w:shd w:val="clear" w:color="auto" w:fill="FFFFFF"/>
          <w:lang w:val="es-ES"/>
        </w:rPr>
        <w:t>(</w:t>
      </w:r>
      <w:r w:rsidRPr="003E6633">
        <w:rPr>
          <w:noProof/>
          <w:highlight w:val="darkGreen"/>
          <w:shd w:val="clear" w:color="auto" w:fill="FFFFFF"/>
          <w:lang w:val="es-ES"/>
        </w:rPr>
        <w:t>2020)</w:t>
      </w:r>
      <w:r>
        <w:rPr>
          <w:shd w:val="clear" w:color="auto" w:fill="FFFFFF"/>
        </w:rPr>
        <w:t xml:space="preserve"> Este es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w:t>
      </w:r>
      <w:r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101AF966" w14:textId="6E288A09" w:rsidR="001B4E5F" w:rsidRDefault="002B046C" w:rsidP="002B046C">
      <w:pPr>
        <w:tabs>
          <w:tab w:val="left" w:pos="7740"/>
        </w:tabs>
        <w:spacing w:before="240" w:line="360" w:lineRule="auto"/>
        <w:jc w:val="both"/>
      </w:pPr>
      <w:r w:rsidRPr="000E26B8">
        <w:t xml:space="preserve">       </w:t>
      </w:r>
      <w:r w:rsidR="00E62D61" w:rsidRPr="00427B4A">
        <w:rPr>
          <w:highlight w:val="lightGray"/>
        </w:rPr>
        <w:t>En el ámbito nacional</w:t>
      </w:r>
      <w:r w:rsidR="008F5FBC" w:rsidRPr="00427B4A">
        <w:rPr>
          <w:highlight w:val="lightGray"/>
        </w:rPr>
        <w:t xml:space="preserve"> Perú</w:t>
      </w:r>
      <w:r w:rsidR="00ED058E" w:rsidRPr="00427B4A">
        <w:rPr>
          <w:highlight w:val="lightGray"/>
        </w:rPr>
        <w:t>, la Superinten</w:t>
      </w:r>
      <w:r w:rsidR="005F2918" w:rsidRPr="00427B4A">
        <w:rPr>
          <w:highlight w:val="lightGray"/>
        </w:rPr>
        <w:t xml:space="preserve">dencia Nacional de Aduanas y de Administración </w:t>
      </w:r>
      <w:r w:rsidR="004267C3" w:rsidRPr="00427B4A">
        <w:rPr>
          <w:highlight w:val="lightGray"/>
        </w:rPr>
        <w:t>Tributaria</w:t>
      </w:r>
      <w:r w:rsidR="00811346" w:rsidRPr="00427B4A">
        <w:rPr>
          <w:highlight w:val="lightGray"/>
        </w:rPr>
        <w:t xml:space="preserve"> </w:t>
      </w:r>
      <w:r w:rsidR="007956AB" w:rsidRPr="00427B4A">
        <w:rPr>
          <w:highlight w:val="lightGray"/>
        </w:rPr>
        <w:t>(SUNAT</w:t>
      </w:r>
      <w:r w:rsidR="00811346" w:rsidRPr="00427B4A">
        <w:rPr>
          <w:highlight w:val="lightGray"/>
        </w:rPr>
        <w:t>) revelo en 2021 que solo el 54</w:t>
      </w:r>
      <w:r w:rsidR="007956AB" w:rsidRPr="00427B4A">
        <w:rPr>
          <w:highlight w:val="lightGray"/>
        </w:rPr>
        <w:t xml:space="preserve">% </w:t>
      </w:r>
      <w:r w:rsidR="005A2C22" w:rsidRPr="00427B4A">
        <w:rPr>
          <w:highlight w:val="lightGray"/>
        </w:rPr>
        <w:t>de los municipios recaudan efectivamente el impuesto predial,</w:t>
      </w:r>
      <w:r w:rsidR="00DA1119" w:rsidRPr="00427B4A">
        <w:rPr>
          <w:highlight w:val="lightGray"/>
        </w:rPr>
        <w:t xml:space="preserve"> restando</w:t>
      </w:r>
      <w:r w:rsidR="002E0542" w:rsidRPr="00427B4A">
        <w:rPr>
          <w:highlight w:val="lightGray"/>
        </w:rPr>
        <w:t xml:space="preserve"> capacidad de inversión en infraestructura </w:t>
      </w:r>
      <w:r w:rsidR="00EC791E" w:rsidRPr="00427B4A">
        <w:rPr>
          <w:highlight w:val="lightGray"/>
        </w:rPr>
        <w:t xml:space="preserve">y servicios </w:t>
      </w:r>
      <w:r w:rsidR="00C3474A" w:rsidRPr="00427B4A">
        <w:rPr>
          <w:highlight w:val="lightGray"/>
        </w:rPr>
        <w:t>públicos.</w:t>
      </w:r>
      <w:r w:rsidR="005A2C22" w:rsidRPr="00427B4A">
        <w:rPr>
          <w:highlight w:val="lightGray"/>
        </w:rPr>
        <w:t xml:space="preserve"> Esta situación</w:t>
      </w:r>
      <w:r w:rsidR="00FE1924" w:rsidRPr="00427B4A">
        <w:rPr>
          <w:highlight w:val="lightGray"/>
        </w:rPr>
        <w:t xml:space="preserve"> se agrava por la informalidad y la evasión fiscal, que alcanzan niveles del 30% en algunas regiones.</w:t>
      </w:r>
      <w:r w:rsidR="00D303C9" w:rsidRPr="00427B4A">
        <w:rPr>
          <w:highlight w:val="lightGray"/>
        </w:rPr>
        <w:t xml:space="preserve"> La ca</w:t>
      </w:r>
      <w:r w:rsidR="00872EEA" w:rsidRPr="00427B4A">
        <w:rPr>
          <w:highlight w:val="lightGray"/>
        </w:rPr>
        <w:t>rencia de educación tributaria y la desconfianza</w:t>
      </w:r>
      <w:r w:rsidR="00CF482B" w:rsidRPr="00427B4A">
        <w:rPr>
          <w:highlight w:val="lightGray"/>
        </w:rPr>
        <w:t xml:space="preserve"> ciudadana en las instituciones.</w:t>
      </w:r>
    </w:p>
    <w:p w14:paraId="39AEE9C9" w14:textId="11991BA2" w:rsidR="00A201B4" w:rsidRDefault="00A201B4" w:rsidP="002B046C">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007254A7" w:rsidRPr="00E64221">
        <w:rPr>
          <w:noProof/>
          <w:highlight w:val="red"/>
        </w:rPr>
        <w:t>Tarrillo  &amp; Callao (2022),</w:t>
      </w:r>
      <w:r w:rsidR="007254A7">
        <w:rPr>
          <w:noProof/>
        </w:rPr>
        <w:t xml:space="preserve"> </w:t>
      </w:r>
      <w:r w:rsidRPr="000E26B8">
        <w:t>afirma el artículo se justifica porque actualmente existe baja recaudación predial en la MPCH debido a la inadecuada gestión de impuestos municipales, es por tal razón que se ha elaborado un modelo de gestión tributaria que permita contribuir al incremento predial de la municipalidad. Además, el estudio permite que la administración tributaria mejore sus procesos de gestión y así pueda financiar las múltiples necesidades que demanda la sociedad. Además, el estudio servirá de referencia para siguientes investigaciones que apliquen la metodología científica.</w:t>
      </w:r>
    </w:p>
    <w:p w14:paraId="6F25B92B" w14:textId="77777777" w:rsidR="001E0A23" w:rsidRDefault="001E0A23" w:rsidP="001E0A23">
      <w:pPr>
        <w:spacing w:before="240" w:line="360" w:lineRule="auto"/>
        <w:jc w:val="both"/>
      </w:pPr>
      <w:r>
        <w:t xml:space="preserve">                     </w:t>
      </w:r>
      <w:r w:rsidRPr="00E46A4F">
        <w:rPr>
          <w:highlight w:val="yellow"/>
        </w:rPr>
        <w:t>Sobre este punto</w:t>
      </w:r>
      <w:r w:rsidRPr="0027383B">
        <w:t xml:space="preserve"> </w:t>
      </w:r>
      <w:r w:rsidRPr="001E0A23">
        <w:rPr>
          <w:noProof/>
          <w:highlight w:val="red"/>
        </w:rPr>
        <w:t>Espinoza  &amp; Mendoza  (2022),</w:t>
      </w:r>
      <w:r w:rsidRPr="0027383B">
        <w:rPr>
          <w:noProof/>
        </w:rPr>
        <w:t xml:space="preserve"> se afirma que </w:t>
      </w:r>
      <w:r w:rsidRPr="0027383B">
        <w:t>la elevada tasa de evasión de impuestos en Ecuador ha suscitado inquietud entre los gobiernos municipales, a pesar de los esfuerzos del Estado por establecer una política fiscal eficaz y firme. Aunque los Municipios han trabajado arduamente para incorporar la cultura tributaria en diversos impuestos, algunos contribuyentes persisten en resistirse a los al pago.</w:t>
      </w:r>
      <w:r>
        <w:t xml:space="preserve"> </w:t>
      </w:r>
      <w:r w:rsidRPr="0027383B">
        <w:t xml:space="preserve">Boyacá es un departamento colombiano que cuenta con 123 Municipios, para los cuales no existe claridad del impacto del recaudo de impuestos municipales sobre la actividad económica, ni de la influencia del volumen de ingresos municipales en la eficiencia fiscal. Por lo anterior, se pretende establecer que medidas cuantifican y aclaran las </w:t>
      </w:r>
      <w:r w:rsidRPr="0027383B">
        <w:lastRenderedPageBreak/>
        <w:t>relaciones presentadas. El cumplimiento de este objetivo generará una herramienta de toma de decisiones a nivel de gobiernos municipales en cuanto a niveles de recaudo por impuesto predial y uso adecuado de los ingresos corrientes.</w:t>
      </w:r>
    </w:p>
    <w:p w14:paraId="6BCD4FAB" w14:textId="77777777" w:rsidR="00E46A4F" w:rsidRDefault="00E46A4F" w:rsidP="00E46A4F">
      <w:pPr>
        <w:spacing w:before="240" w:line="360" w:lineRule="auto"/>
        <w:jc w:val="both"/>
        <w:rPr>
          <w:shd w:val="clear" w:color="auto" w:fill="FFFFFF"/>
        </w:rPr>
      </w:pPr>
      <w:r>
        <w:rPr>
          <w:shd w:val="clear" w:color="auto" w:fill="FFFFFF"/>
        </w:rPr>
        <w:t xml:space="preserve">        </w:t>
      </w:r>
      <w:r>
        <w:rPr>
          <w:noProof/>
          <w:shd w:val="clear" w:color="auto" w:fill="FFFFFF"/>
        </w:rPr>
        <w:t xml:space="preserve">Sobre este punto, </w:t>
      </w:r>
      <w:r w:rsidRPr="00E46A4F">
        <w:rPr>
          <w:noProof/>
          <w:highlight w:val="red"/>
          <w:shd w:val="clear" w:color="auto" w:fill="FFFFFF"/>
        </w:rPr>
        <w:t>Rojas y Barbaran (2021)</w:t>
      </w:r>
      <w:r>
        <w:rPr>
          <w:noProof/>
          <w:shd w:val="clear" w:color="auto" w:fill="FFFFFF"/>
        </w:rPr>
        <w:t xml:space="preserve"> nos dice que </w:t>
      </w:r>
      <w:r>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776EC26D" w14:textId="28239891" w:rsidR="001E0A23" w:rsidRDefault="002463FD" w:rsidP="002B046C">
      <w:pPr>
        <w:tabs>
          <w:tab w:val="left" w:pos="7740"/>
        </w:tabs>
        <w:spacing w:before="240" w:line="360" w:lineRule="auto"/>
        <w:jc w:val="both"/>
      </w:pPr>
      <w:r>
        <w:t xml:space="preserve">         Sobre este punto, </w:t>
      </w:r>
      <w:r w:rsidRPr="002463FD">
        <w:rPr>
          <w:noProof/>
          <w:highlight w:val="red"/>
        </w:rPr>
        <w:t>Vera (2019)</w:t>
      </w:r>
      <w:r w:rsidR="0049249D">
        <w:rPr>
          <w:noProof/>
        </w:rPr>
        <w:t>,</w:t>
      </w:r>
      <w:r>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304FCDBB" w14:textId="699329FD" w:rsidR="0099423B" w:rsidRPr="000E26B8" w:rsidRDefault="0049249D" w:rsidP="002B046C">
      <w:pPr>
        <w:tabs>
          <w:tab w:val="left" w:pos="7740"/>
        </w:tabs>
        <w:spacing w:before="240" w:line="360" w:lineRule="auto"/>
        <w:jc w:val="both"/>
      </w:pPr>
      <w:r>
        <w:rPr>
          <w:noProof/>
        </w:rPr>
        <w:t xml:space="preserve">Sobre este punto,  </w:t>
      </w:r>
      <w:r w:rsidRPr="0049249D">
        <w:rPr>
          <w:noProof/>
          <w:highlight w:val="red"/>
        </w:rPr>
        <w:t>Suarez, Palomino y Agular,(2020),</w:t>
      </w:r>
      <w:r>
        <w:rPr>
          <w:noProof/>
        </w:rPr>
        <w:t xml:space="preserve"> </w:t>
      </w:r>
      <w:r>
        <w:t>n</w:t>
      </w:r>
      <w:r w:rsidR="0099423B">
        <w:t xml:space="preserve">os quiere decir </w:t>
      </w:r>
      <w:r>
        <w:t>que,</w:t>
      </w:r>
      <w:r w:rsidR="0099423B">
        <w:t xml:space="preserve"> sobre el valor del estudio, lo cual se basa en una búsqueda de equidad entre los ciudadanos de la municipalidad provincial </w:t>
      </w:r>
      <w:r>
        <w:t>de Rioja</w:t>
      </w:r>
      <w:r w:rsidR="0099423B">
        <w:t xml:space="preserve">, ya que existe </w:t>
      </w:r>
      <w:r>
        <w:t>unos grandes problemas</w:t>
      </w:r>
      <w:r w:rsidR="0099423B">
        <w:t xml:space="preserve"> que </w:t>
      </w:r>
      <w:r>
        <w:t>afronta un</w:t>
      </w:r>
      <w:r w:rsidR="0099423B">
        <w:t xml:space="preserve"> bajo nivel de recaudación del impuesto, incrementando la morosidad del impuesto predial, este contexto que se puede observar</w:t>
      </w:r>
      <w:r>
        <w:t>, ha tenido que enfrentar las normativas de agudizar los ingresos en este rubro.</w:t>
      </w:r>
      <w:r w:rsidR="0099423B">
        <w:t xml:space="preserve">   </w:t>
      </w:r>
    </w:p>
    <w:p w14:paraId="57DAEB2F" w14:textId="0076F1D8" w:rsidR="002D0353" w:rsidRPr="000E26B8" w:rsidRDefault="002B046C" w:rsidP="002B046C">
      <w:pPr>
        <w:tabs>
          <w:tab w:val="left" w:pos="7740"/>
        </w:tabs>
        <w:spacing w:before="240" w:line="360" w:lineRule="auto"/>
        <w:jc w:val="both"/>
      </w:pPr>
      <w:r w:rsidRPr="000E26B8">
        <w:t xml:space="preserve">       </w:t>
      </w:r>
      <w:r w:rsidR="001B4E5F" w:rsidRPr="00427B4A">
        <w:rPr>
          <w:highlight w:val="lightGray"/>
        </w:rPr>
        <w:t>A nivel local,</w:t>
      </w:r>
      <w:r w:rsidR="00DD10DA" w:rsidRPr="00427B4A">
        <w:rPr>
          <w:highlight w:val="lightGray"/>
        </w:rPr>
        <w:t xml:space="preserve"> en dicha </w:t>
      </w:r>
      <w:r w:rsidR="001B4E5F" w:rsidRPr="00427B4A">
        <w:rPr>
          <w:highlight w:val="lightGray"/>
        </w:rPr>
        <w:t>Municipalidad Provincial de Tacna</w:t>
      </w:r>
      <w:r w:rsidR="006B7C50" w:rsidRPr="00427B4A">
        <w:rPr>
          <w:highlight w:val="lightGray"/>
        </w:rPr>
        <w:t>, enfrenta grave crisis</w:t>
      </w:r>
      <w:r w:rsidR="0009345C" w:rsidRPr="00427B4A">
        <w:rPr>
          <w:highlight w:val="lightGray"/>
        </w:rPr>
        <w:t xml:space="preserve"> financiera</w:t>
      </w:r>
      <w:r w:rsidR="001B4E5F" w:rsidRPr="00427B4A">
        <w:rPr>
          <w:highlight w:val="lightGray"/>
        </w:rPr>
        <w:t xml:space="preserve">. Datos del Instituto Nacional </w:t>
      </w:r>
      <w:r w:rsidR="008E665C" w:rsidRPr="00427B4A">
        <w:rPr>
          <w:highlight w:val="lightGray"/>
        </w:rPr>
        <w:t>de Estadística e Informática (INEI)</w:t>
      </w:r>
      <w:r w:rsidR="001151CF" w:rsidRPr="00427B4A">
        <w:rPr>
          <w:highlight w:val="lightGray"/>
        </w:rPr>
        <w:t>, la recaudación del impuesto predial</w:t>
      </w:r>
      <w:r w:rsidR="00D4521C" w:rsidRPr="00427B4A">
        <w:rPr>
          <w:highlight w:val="lightGray"/>
        </w:rPr>
        <w:t xml:space="preserve"> 2022 llego al </w:t>
      </w:r>
      <w:r w:rsidR="00F17EE6" w:rsidRPr="00427B4A">
        <w:rPr>
          <w:highlight w:val="lightGray"/>
        </w:rPr>
        <w:t>45% d</w:t>
      </w:r>
      <w:r w:rsidR="00D4521C" w:rsidRPr="00427B4A">
        <w:rPr>
          <w:highlight w:val="lightGray"/>
        </w:rPr>
        <w:t>e la meta</w:t>
      </w:r>
      <w:r w:rsidR="001C4B4E" w:rsidRPr="00427B4A">
        <w:rPr>
          <w:highlight w:val="lightGray"/>
        </w:rPr>
        <w:t>, lo que representa una</w:t>
      </w:r>
      <w:r w:rsidR="007C5783" w:rsidRPr="00427B4A">
        <w:rPr>
          <w:highlight w:val="lightGray"/>
        </w:rPr>
        <w:t xml:space="preserve"> </w:t>
      </w:r>
      <w:r w:rsidR="0093057D" w:rsidRPr="00427B4A">
        <w:rPr>
          <w:highlight w:val="lightGray"/>
        </w:rPr>
        <w:t>pérdida</w:t>
      </w:r>
      <w:r w:rsidR="007C5783" w:rsidRPr="00427B4A">
        <w:rPr>
          <w:highlight w:val="lightGray"/>
        </w:rPr>
        <w:t xml:space="preserve"> de aproximadamente 2 millones de soles.</w:t>
      </w:r>
      <w:r w:rsidR="0083388E" w:rsidRPr="00427B4A">
        <w:rPr>
          <w:highlight w:val="lightGray"/>
        </w:rPr>
        <w:t xml:space="preserve"> Este déficit presupuestario merma considerablemente</w:t>
      </w:r>
      <w:r w:rsidR="00E27347" w:rsidRPr="00427B4A">
        <w:rPr>
          <w:highlight w:val="lightGray"/>
        </w:rPr>
        <w:t xml:space="preserve"> la capacidad de la municipalidad para llevar a cabo proyectos</w:t>
      </w:r>
      <w:r w:rsidR="00CF66D9" w:rsidRPr="00427B4A">
        <w:rPr>
          <w:highlight w:val="lightGray"/>
        </w:rPr>
        <w:t xml:space="preserve"> de desarrollo social y urbano. A esto se suma la</w:t>
      </w:r>
      <w:r w:rsidR="00015CFE" w:rsidRPr="00427B4A">
        <w:rPr>
          <w:highlight w:val="lightGray"/>
        </w:rPr>
        <w:t xml:space="preserve"> percepción </w:t>
      </w:r>
      <w:r w:rsidR="00192460" w:rsidRPr="00427B4A">
        <w:rPr>
          <w:highlight w:val="lightGray"/>
        </w:rPr>
        <w:t>pública</w:t>
      </w:r>
      <w:r w:rsidR="00015CFE" w:rsidRPr="00427B4A">
        <w:rPr>
          <w:highlight w:val="lightGray"/>
        </w:rPr>
        <w:t xml:space="preserve"> de corrupción y opacidad en la gestión</w:t>
      </w:r>
      <w:r w:rsidR="00465D99" w:rsidRPr="00427B4A">
        <w:rPr>
          <w:highlight w:val="lightGray"/>
        </w:rPr>
        <w:t xml:space="preserve"> de los fondos públicos, </w:t>
      </w:r>
      <w:r w:rsidR="00465D99" w:rsidRPr="00427B4A">
        <w:rPr>
          <w:highlight w:val="lightGray"/>
        </w:rPr>
        <w:lastRenderedPageBreak/>
        <w:t>lo que erosiona la</w:t>
      </w:r>
      <w:r w:rsidR="00014065" w:rsidRPr="00427B4A">
        <w:rPr>
          <w:highlight w:val="lightGray"/>
        </w:rPr>
        <w:t xml:space="preserve"> credibilidad</w:t>
      </w:r>
      <w:r w:rsidR="004729B8" w:rsidRPr="00427B4A">
        <w:rPr>
          <w:highlight w:val="lightGray"/>
        </w:rPr>
        <w:t xml:space="preserve"> institucional y deteriora la relación entre el gobierno local y la</w:t>
      </w:r>
      <w:r w:rsidR="00667FED" w:rsidRPr="00427B4A">
        <w:rPr>
          <w:highlight w:val="lightGray"/>
        </w:rPr>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4AA2F764" w14:textId="77777777" w:rsidR="00AF4281" w:rsidRPr="000E26B8" w:rsidRDefault="00AF4281" w:rsidP="00AF4281">
      <w:pPr>
        <w:tabs>
          <w:tab w:val="left" w:pos="7740"/>
        </w:tabs>
        <w:spacing w:before="240" w:line="360" w:lineRule="auto"/>
        <w:jc w:val="both"/>
        <w:rPr>
          <w:bCs/>
          <w:szCs w:val="30"/>
          <w:shd w:val="clear" w:color="auto" w:fill="FFFFFF"/>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   puede   romper   las   barreras   entre   los   ciudadanos   y   el gobierno, mejorando el entendimiento y la comunicación mutuos. El presupuesto participativo fortalece a las OSC locales, lo que puede mejorar la gobernabilidad local a largo plazo. Sin embargo, las organizaciones que obtienen acceso a la toma de decisiones y la asociación con el gobierno local pueden convertirse en armas del gobierno local</w:t>
      </w:r>
      <w:r>
        <w:rPr>
          <w:bCs/>
          <w:szCs w:val="30"/>
          <w:shd w:val="clear" w:color="auto" w:fill="FFFFFF"/>
        </w:rPr>
        <w:t>.</w:t>
      </w:r>
    </w:p>
    <w:p w14:paraId="752CEB67" w14:textId="7BC5F890" w:rsidR="00CD1967" w:rsidRDefault="00CD1967" w:rsidP="00CD1967">
      <w:pPr>
        <w:shd w:val="clear" w:color="auto" w:fill="FFFFFF"/>
        <w:spacing w:after="0" w:line="360" w:lineRule="auto"/>
        <w:jc w:val="both"/>
        <w:rPr>
          <w:rFonts w:ascii="Times New Roman" w:eastAsia="Times New Roman" w:hAnsi="Times New Roman" w:cs="Times New Roman"/>
        </w:rPr>
      </w:pPr>
      <w:r w:rsidRPr="000E26B8">
        <w:t xml:space="preserve">        </w:t>
      </w:r>
    </w:p>
    <w:p w14:paraId="7277C286" w14:textId="1C79CA71" w:rsidR="00DD1BE5" w:rsidRPr="00687EBA" w:rsidRDefault="00DD1BE5" w:rsidP="00DD1BE5">
      <w:pPr>
        <w:spacing w:before="240" w:line="360" w:lineRule="auto"/>
        <w:jc w:val="both"/>
      </w:pPr>
      <w:r>
        <w:rPr>
          <w:noProof/>
        </w:rPr>
        <w:t xml:space="preserve"> </w:t>
      </w:r>
      <w:r w:rsidR="00A835BD">
        <w:rPr>
          <w:noProof/>
        </w:rPr>
        <w:t xml:space="preserve">    </w:t>
      </w:r>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w:t>
      </w:r>
      <w:r w:rsidR="00507D10" w:rsidRPr="00464F29">
        <w:rPr>
          <w:highlight w:val="lightGray"/>
        </w:rPr>
        <w:lastRenderedPageBreak/>
        <w:t xml:space="preserve">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t xml:space="preserve">     El estudio se sustentó metodológicamente en un enfoque cuantitativo para examinar la correlación entre el impuesto predial y el presupuesto municipal de Tacna en 2022. Se empleó una encuesta estructurada a una muestra </w:t>
      </w:r>
      <w:r w:rsidRPr="000E26B8">
        <w:lastRenderedPageBreak/>
        <w:t xml:space="preserve">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56BC122" w14:textId="77777777" w:rsidR="003E6633" w:rsidRPr="00687EBA" w:rsidRDefault="003E6633" w:rsidP="003E6633">
      <w:pPr>
        <w:spacing w:before="240" w:line="360" w:lineRule="auto"/>
        <w:jc w:val="both"/>
      </w:pPr>
      <w:r>
        <w:rPr>
          <w:noProof/>
        </w:rPr>
        <w:t xml:space="preserve">      Trelles y Morán (2023) no dice que hay </w:t>
      </w:r>
      <w:r>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lastRenderedPageBreak/>
        <w:t>teniendo en cuenta cambios como la inflación que podrían tener un impacto en los nuevos cálculos.</w:t>
      </w:r>
    </w:p>
    <w:p w14:paraId="5A785543" w14:textId="77777777" w:rsidR="003E6633" w:rsidRDefault="003E6633" w:rsidP="004F48A2">
      <w:pPr>
        <w:tabs>
          <w:tab w:val="left" w:pos="7740"/>
        </w:tabs>
        <w:spacing w:before="240" w:line="360" w:lineRule="auto"/>
        <w:jc w:val="both"/>
      </w:pP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256348FC"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Sánchez &amp; Cano Moreno, (2023)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 xml:space="preserve">la eficiencia en el sistema tributario implica no solo maximizar los ingresos recaudados, sino también optimizar los recursos utilizados en el proceso, manteniendo bajos </w:t>
      </w:r>
      <w:r w:rsidRPr="000E26B8">
        <w:lastRenderedPageBreak/>
        <w:t>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municipales, concepto de impuesto predial, quienes pagan el impuesto </w:t>
      </w:r>
      <w:r w:rsidRPr="000E26B8">
        <w:rPr>
          <w:lang w:val="es-ES"/>
        </w:rPr>
        <w:t xml:space="preserve">predial, </w:t>
      </w:r>
      <w:r w:rsidRPr="000E26B8">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w:t>
      </w:r>
      <w:r w:rsidRPr="000E26B8">
        <w:lastRenderedPageBreak/>
        <w:t xml:space="preserve">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 xml:space="preserve">afirma que el recaudo de predios es la principal fuente de ingreso de este país, entre otros recaudos no menos importantes en las municipalidades, la no contribución o la generación de morosidad o un retraso en la misma constituye uno de los factores que afecta a </w:t>
      </w:r>
      <w:r w:rsidRPr="000E26B8">
        <w:lastRenderedPageBreak/>
        <w:t>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7777777" w:rsidR="004B6E8F" w:rsidRDefault="004B6E8F"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77777777" w:rsidR="005244C5" w:rsidRDefault="005244C5" w:rsidP="00EF5A0D">
      <w:pPr>
        <w:pStyle w:val="Prrafodelista"/>
        <w:tabs>
          <w:tab w:val="left" w:pos="7740"/>
        </w:tabs>
        <w:spacing w:before="240" w:line="360" w:lineRule="auto"/>
        <w:ind w:left="0"/>
        <w:jc w:val="both"/>
        <w:rPr>
          <w:rStyle w:val="capital"/>
        </w:rPr>
      </w:pPr>
      <w:r w:rsidRPr="000E26B8">
        <w:rPr>
          <w:rStyle w:val="capital"/>
        </w:rPr>
        <w:t xml:space="preserve">       </w:t>
      </w:r>
      <w:r w:rsidRPr="004A1958">
        <w:rPr>
          <w:rStyle w:val="capital"/>
        </w:rPr>
        <w:t>Sobre este punto</w:t>
      </w:r>
      <w:r w:rsidRPr="004A1958">
        <w:rPr>
          <w:noProof/>
        </w:rPr>
        <w:t xml:space="preserve"> </w:t>
      </w:r>
      <w:r w:rsidRPr="004A1958">
        <w:rPr>
          <w:noProof/>
          <w:highlight w:val="darkGreen"/>
        </w:rPr>
        <w:t>Molina, Tobón y Fonseca (2018)</w:t>
      </w:r>
      <w:r w:rsidRPr="000E26B8">
        <w:rPr>
          <w:rStyle w:val="capital"/>
        </w:rPr>
        <w:t xml:space="preserve"> se afirma, que los resultados evidencian la baja transcendencia de los proyectos de grado al interior de las pequeñas y medianas empresas de la región, debido, a la escasa socialización de los resultados obtenidos a los directivos de las entidades y a la insuficiente continuidad en la implementación y adopción por parte de los empresarios, de las políticas y estrategias propuestas por los estudiantes, restándole de esta manera, importancia a la investigación formativa. Esto demuestra que debe existir una mayor articulación entre academia, docencia y empresa, en vista de formar contadores públicos socialmente responsables que logren entender y dar respuesta de manera coherente a los problemas que enfrenta la práctica contable actualmente.</w:t>
      </w:r>
    </w:p>
    <w:p w14:paraId="7E0D57DA" w14:textId="77777777" w:rsidR="00EF5A0D" w:rsidRPr="00334202" w:rsidRDefault="00EF5A0D" w:rsidP="00EF5A0D">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w:t>
      </w:r>
      <w:r w:rsidRPr="000E26B8">
        <w:rPr>
          <w:noProof/>
        </w:rPr>
        <w:t>se afirma, que l</w:t>
      </w:r>
      <w:r w:rsidRPr="000E26B8">
        <w:t>a taxonomía estaba oculta en los estados financieros y ahora es revelada, des ocultada. Los estados financieros, el ente, verdad aparente que no deja lugar para hacer visible el misterio de la taxonomía. De este modo, dirigirse al ente y quedarse en él como primer paso de la indagación, no revela lo que oculta. La taxonomía queda atrapada en los estados financieros, en la superficie, permanece solapada, intocada, oculta, sin revelar lo que verdaderamente ocasiona la estructura y las categorías en los estados financieros. Es la importancia del des ocultamiento, la cual apunta a la esencia de la verdad: la taxonomía, la verdad de los estados financieros, la verdad de la esencia en el ente.</w:t>
      </w:r>
    </w:p>
    <w:p w14:paraId="342B594B" w14:textId="09740EDE" w:rsidR="00EF5A0D" w:rsidRDefault="00EF5A0D" w:rsidP="005244C5">
      <w:pPr>
        <w:pStyle w:val="Prrafodelista"/>
        <w:tabs>
          <w:tab w:val="left" w:pos="7740"/>
        </w:tabs>
        <w:spacing w:before="240" w:line="360" w:lineRule="auto"/>
        <w:ind w:left="0"/>
        <w:jc w:val="both"/>
        <w:rPr>
          <w:rStyle w:val="capital"/>
        </w:rPr>
      </w:pPr>
      <w:r>
        <w:lastRenderedPageBreak/>
        <w:t xml:space="preserve">              </w:t>
      </w:r>
      <w:r w:rsidRPr="004A1958">
        <w:t>Sobre este punto,</w:t>
      </w:r>
      <w:r w:rsidRPr="004A1958">
        <w:rPr>
          <w:noProof/>
        </w:rPr>
        <w:t xml:space="preserve"> </w:t>
      </w:r>
      <w:r w:rsidRPr="004A1958">
        <w:rPr>
          <w:noProof/>
          <w:highlight w:val="darkGreen"/>
        </w:rPr>
        <w:t>Guao(2019),</w:t>
      </w:r>
      <w:r w:rsidRPr="000E26B8">
        <w:rPr>
          <w:noProof/>
        </w:rPr>
        <w:t xml:space="preserve"> se afirma, </w:t>
      </w:r>
      <w:r w:rsidRPr="000E26B8">
        <w:t>con frecuencia las investigaciones contables se han desarrollado bajo los lineamientos del enfoque positivista, que por su naturaleza objetiva y verificacioncita limita la comprensión de los fenómenos al aspecto financiero. La teoría crítica se ha comenzado a promover como un enfoque alternativo, cuyos postulados favorecen la comprensión de los fenómenos o sucesos, desde una perspectiva que enfatiza en el abordaje de la contabilidad como práctica social e institucional.</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77777777"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 dado que cuando los contribuyentes cumplen voluntariamente con sus obligaciones fiscales, se garantiza la recaudación de ingresos necesarios para financiar los servicios públicos y programas gubernamentales, como la educación, la salud, la infraestructura y otros servicios esenciales.</w:t>
      </w:r>
    </w:p>
    <w:p w14:paraId="3FD5E027" w14:textId="33300120"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 normas legales, directivas internas para concretar los compromisos y obligaciones de los contribuyentes en las fechas programadas. Resalta que la gestión a cargo de dirigir los procesos tributarios es un ente encargado de establecer los procedimientos considerando la ley tributaria, bajo las actuaciones administrativas reguladoras de los deberes y obligaciones, además de la práctica de los derechos y capacidades que son atribuidos a los contribuyentes, fomenta la cultura y conciencia tributaria y el control de los deberes tributarios.</w:t>
      </w:r>
    </w:p>
    <w:p w14:paraId="6E0EF0F0" w14:textId="77777777" w:rsidR="00724DB5" w:rsidRDefault="00724DB5" w:rsidP="004B6E8F">
      <w:pPr>
        <w:spacing w:before="240" w:line="360" w:lineRule="auto"/>
        <w:jc w:val="both"/>
        <w:rPr>
          <w:b/>
          <w:bCs/>
        </w:rPr>
      </w:pPr>
    </w:p>
    <w:p w14:paraId="5B37B7EB" w14:textId="1B40704D" w:rsidR="00724DB5" w:rsidRPr="005362CE" w:rsidRDefault="005362CE" w:rsidP="004B6E8F">
      <w:pPr>
        <w:spacing w:before="240" w:line="360" w:lineRule="auto"/>
        <w:jc w:val="both"/>
        <w:rPr>
          <w:b/>
          <w:bCs/>
          <w:sz w:val="28"/>
          <w:szCs w:val="28"/>
        </w:rPr>
      </w:pPr>
      <w:r w:rsidRPr="005362CE">
        <w:rPr>
          <w:b/>
          <w:bCs/>
        </w:rPr>
        <w:t>DETERMINACION TRIBUTARIA</w:t>
      </w:r>
      <w:r>
        <w:t xml:space="preserve"> </w:t>
      </w:r>
      <w:r>
        <w:rPr>
          <w:noProof/>
        </w:rPr>
        <w:t xml:space="preserve">Vilca, (2021) nos dice que la </w:t>
      </w:r>
      <w:r>
        <w:t>d</w:t>
      </w:r>
      <w:r w:rsidRPr="005362CE">
        <w:t>eterminación del impuesto a la renta sobre base presunta, como potestad</w:t>
      </w:r>
      <w:r>
        <w:t xml:space="preserve"> </w:t>
      </w:r>
      <w:r w:rsidRPr="005362CE">
        <w:t>de la Administración tributaria en el Perú, y si su aplicación vulnera el principio de legalidad. En la praxis administrativa,</w:t>
      </w:r>
      <w:r>
        <w:t xml:space="preserve"> </w:t>
      </w:r>
      <w:r w:rsidRPr="005362CE">
        <w:t>es recurrente observar casos donde la administración hace uso arbitrario de este método en desmedro del patrimonio de los</w:t>
      </w:r>
      <w:r>
        <w:t xml:space="preserve"> </w:t>
      </w:r>
      <w:r w:rsidRPr="005362CE">
        <w:t xml:space="preserve">contribuyentes. El método de investigación empleado fue el hermenéutico y la técnica, el análisis </w:t>
      </w:r>
      <w:r w:rsidRPr="005362CE">
        <w:lastRenderedPageBreak/>
        <w:t>documental, revisándose actos de</w:t>
      </w:r>
      <w:r>
        <w:t xml:space="preserve"> </w:t>
      </w:r>
      <w:r w:rsidRPr="005362CE">
        <w:t>la administración tributaria y jurisprudencia expedida por el Tribunal Fiscal sobre la materia.</w:t>
      </w:r>
    </w:p>
    <w:p w14:paraId="67388D4E" w14:textId="7F39FD73" w:rsidR="00724DB5" w:rsidRPr="00EF5A0D" w:rsidRDefault="00724DB5" w:rsidP="004B6E8F">
      <w:pPr>
        <w:spacing w:before="240" w:line="360" w:lineRule="auto"/>
        <w:jc w:val="both"/>
        <w:rPr>
          <w:b/>
          <w:bCs/>
        </w:rPr>
      </w:pPr>
      <w:r>
        <w:rPr>
          <w:b/>
          <w:bCs/>
        </w:rPr>
        <w:t>----------------------INDICADORES---------------------------------</w:t>
      </w:r>
    </w:p>
    <w:p w14:paraId="7255A2A9" w14:textId="77777777" w:rsidR="00724DB5" w:rsidRDefault="00724DB5" w:rsidP="00724DB5">
      <w:pPr>
        <w:tabs>
          <w:tab w:val="left" w:pos="7740"/>
        </w:tabs>
        <w:spacing w:before="240" w:line="360" w:lineRule="auto"/>
        <w:jc w:val="both"/>
      </w:pPr>
      <w:r w:rsidRPr="00AF4281">
        <w:rPr>
          <w:b/>
          <w:bCs/>
        </w:rPr>
        <w:t>CULTURA TRIBUTARIA</w:t>
      </w:r>
      <w:r w:rsidRPr="000E26B8">
        <w:t xml:space="preserve">         </w:t>
      </w:r>
      <w:r w:rsidRPr="001078CD">
        <w:rPr>
          <w:highlight w:val="yellow"/>
        </w:rPr>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la educación tributaria suele ser llevada a cabo por las autoridades fiscales en colaboración con instituciones educativas, organizaciones y otros actores. Una sociedad informada y educada en cuestiones fiscales es fundamental para promover una cultura tributaria sólida y un cumplimiento voluntario de las obligaciones tributarias, lo que beneficia tanto a los ciudadanos como al funcionamiento eficaz del gobierno.</w:t>
      </w:r>
    </w:p>
    <w:p w14:paraId="3B216D7A" w14:textId="615A3C07" w:rsidR="00724DB5" w:rsidRDefault="00724DB5" w:rsidP="00724DB5">
      <w:pPr>
        <w:pStyle w:val="Prrafodelista"/>
        <w:tabs>
          <w:tab w:val="left" w:pos="7740"/>
        </w:tabs>
        <w:spacing w:before="240" w:line="360" w:lineRule="auto"/>
        <w:ind w:left="0"/>
        <w:jc w:val="both"/>
      </w:pPr>
      <w:r w:rsidRPr="000E26B8">
        <w:t xml:space="preserve">  </w:t>
      </w:r>
      <w:r>
        <w:t xml:space="preserve">  </w:t>
      </w:r>
      <w:r w:rsidRPr="000E26B8">
        <w:t xml:space="preserve"> </w:t>
      </w:r>
      <w:r w:rsidRPr="00724DB5">
        <w:rPr>
          <w:b/>
          <w:bCs/>
        </w:rPr>
        <w:t>CULTURA TRIBUTARIA</w:t>
      </w:r>
      <w:r>
        <w:t xml:space="preserve"> </w:t>
      </w:r>
      <w:r w:rsidRPr="001C4BAC">
        <w:rPr>
          <w:highlight w:val="yellow"/>
        </w:rPr>
        <w:t>Sobre este punto,</w:t>
      </w:r>
      <w:r>
        <w:t xml:space="preserve"> </w:t>
      </w:r>
      <w:r w:rsidRPr="001C4BAC">
        <w:rPr>
          <w:noProof/>
          <w:highlight w:val="red"/>
        </w:rPr>
        <w:t>Tamayo &amp; Machaca (2024),</w:t>
      </w:r>
      <w:r w:rsidRPr="000E26B8">
        <w:t xml:space="preserve"> afirma que, en América Latina, el incumplimiento de las obligaciones fiscales no es un asunto independiente en términos de cultura tributaria, dado que cualquier obligación, incluso si es monetaria, es rechazada por el individuo, ya sea formal o informal, obligado o no a llevar la contabilidad. Es complicado adoptar una cultura fiscal que permita a los ciudadanos interpretar las obligaciones fiscales como un deber esencial.</w:t>
      </w:r>
    </w:p>
    <w:p w14:paraId="66ED5D4E" w14:textId="77777777" w:rsidR="00724DB5" w:rsidRPr="000E26B8" w:rsidRDefault="00724DB5" w:rsidP="00724DB5">
      <w:pPr>
        <w:tabs>
          <w:tab w:val="left" w:pos="7740"/>
        </w:tabs>
        <w:spacing w:before="240" w:line="360" w:lineRule="auto"/>
        <w:jc w:val="both"/>
      </w:pPr>
    </w:p>
    <w:p w14:paraId="5A4E32EB" w14:textId="77777777" w:rsidR="00724DB5" w:rsidRPr="000E26B8" w:rsidRDefault="00724DB5" w:rsidP="00724DB5">
      <w:pPr>
        <w:tabs>
          <w:tab w:val="left" w:pos="7740"/>
        </w:tabs>
        <w:spacing w:before="240" w:line="360" w:lineRule="auto"/>
        <w:jc w:val="both"/>
        <w:rPr>
          <w:bCs/>
        </w:rPr>
      </w:pPr>
      <w:r w:rsidRPr="000E26B8">
        <w:rPr>
          <w:noProof/>
        </w:rPr>
        <w:t xml:space="preserve">   </w:t>
      </w:r>
      <w:r w:rsidRPr="00AF4281">
        <w:rPr>
          <w:b/>
          <w:bCs/>
          <w:noProof/>
        </w:rPr>
        <w:t>RECAUDACION</w:t>
      </w:r>
      <w:r w:rsidRPr="000E26B8">
        <w:rPr>
          <w:noProof/>
        </w:rPr>
        <w:t xml:space="preserve">        </w:t>
      </w:r>
      <w:r w:rsidRPr="001078CD">
        <w:rPr>
          <w:noProof/>
          <w:highlight w:val="yellow"/>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Pr="000E26B8">
        <w:rPr>
          <w:bCs/>
        </w:rPr>
        <w:t xml:space="preserve"> observa que la municipalidad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p>
    <w:p w14:paraId="10040569" w14:textId="77777777"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Pr="000E26B8">
        <w:rPr>
          <w:noProof/>
        </w:rPr>
        <w:t>Docentes</w:t>
      </w:r>
      <w:r w:rsidRPr="000E26B8">
        <w:t xml:space="preserve"> de la Universidad Uniandes – extensión Quevedo conscientes del incumplimiento de obligaciones tributarias de contribuyentes: personas naturales, presentamos este documento de </w:t>
      </w:r>
      <w:r w:rsidRPr="000E26B8">
        <w:lastRenderedPageBreak/>
        <w:t>obligaciones tributarias del contribuyente: persona natural y propuesta estratégica de inmediatas resoluciones a esta problemática. Toda vez que los tributos es el segundo motor de la actividad económica del Estado, razón por la cual se debe tener una cultura tributaria, así como, conocer el ámbito de emprendimiento personal económico y obligaciones con instituciones fiscales Servicio de Rentas Internas S.R.I que forma parte de los órganos de la Administración Tributaria; Tribunal Distrital Fiscal, Tribunal Distrital de lo Contencioso Tributario.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lastRenderedPageBreak/>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4DD0A6E7" w14:textId="77777777" w:rsidR="004B6E8F" w:rsidRPr="000E26B8" w:rsidRDefault="004B6E8F" w:rsidP="004B6E8F">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w:t>
      </w:r>
      <w:r w:rsidR="00EF5A0D" w:rsidRPr="00EF5A0D">
        <w:rPr>
          <w:b/>
          <w:bCs/>
          <w:color w:val="000000"/>
          <w:shd w:val="clear" w:color="auto" w:fill="FFFFFF"/>
        </w:rPr>
        <w:t>DIMENSIONES</w:t>
      </w:r>
      <w:r>
        <w:rPr>
          <w:b/>
          <w:bCs/>
          <w:color w:val="000000"/>
          <w:shd w:val="clear" w:color="auto" w:fill="FFFFFF"/>
        </w:rPr>
        <w:t>---------------</w:t>
      </w:r>
    </w:p>
    <w:p w14:paraId="3172E9C7" w14:textId="77777777"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que </w:t>
      </w:r>
      <w:r w:rsidRPr="000E26B8">
        <w:rPr>
          <w:color w:val="000000"/>
          <w:shd w:val="clear" w:color="auto" w:fill="FFFFFF"/>
        </w:rPr>
        <w:t xml:space="preserve">las investigaciones más recientes relacionadas a medir los efectos del gasto público, pasan por determinar que con éste se busca lograr en primer lugar la estabilización, asignación, y distribución de los recursos, además del rol de las instituciones y las reglas que las rigen; además se habla de la posibilidad de privatización de algunas actividades de la Administración Pública. La </w:t>
      </w:r>
      <w:r w:rsidRPr="000E26B8">
        <w:rPr>
          <w:color w:val="000000"/>
          <w:shd w:val="clear" w:color="auto" w:fill="FFFFFF"/>
        </w:rPr>
        <w:lastRenderedPageBreak/>
        <w:t>conclusión mayoritaria es que el gasto público tendría que ser mucho menor y más eficiente de lo que es hoy en día.</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444073B0"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w:t>
      </w:r>
      <w:r w:rsidRPr="00650FF4">
        <w:rPr>
          <w:color w:val="000000"/>
          <w:shd w:val="clear" w:color="auto" w:fill="FFFFFF"/>
        </w:rPr>
        <w:t>Se define la ejecución presupuestaría como la etapa del proceso de gestión presupuestaria que inicia con la recaudación del ingreso que financia conforme a los créditos presupuestarios aprobados, las obligaciones del gasto. Las teorías que fundamentan la ejecución presupuestaria son la teoría de la administración moderna, la teoría de la nueva gestión pública y la teoría de la productividad, ya que el análisis de su eficacia y desempeño es fundamental para evaluar la gestión por resultados que prioriza el uso y aplicación de los recursos públicos vinculado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1A955D03" w:rsidR="00650FF4" w:rsidRDefault="006B4329" w:rsidP="00EF5A0D">
      <w:pPr>
        <w:pStyle w:val="Prrafodelista"/>
        <w:tabs>
          <w:tab w:val="left" w:pos="7740"/>
        </w:tabs>
        <w:spacing w:before="240" w:line="360" w:lineRule="auto"/>
        <w:ind w:left="0"/>
        <w:jc w:val="both"/>
        <w:rPr>
          <w:color w:val="000000"/>
          <w:shd w:val="clear" w:color="auto" w:fill="FFFFFF"/>
        </w:rPr>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la viabilidad financiera y económica de la ganadería caprina extensiva, en el estado de San Luis Potosí, mediante la estimación de costos e ingresos financieros y económicos; así como identificar los factores que determinan la permanencia de esta actividad. La hipótesis que esta investigación plantea es que la ganadería caprina es una actividad aparentemente eficiente, en términos financieros, debido al bajo costo de la alimentación (pastoreo en el agostadero), que es su insumo principal; sin embargo, en términos económicos en realidad se está haciendo una extracción de recursos no sostenible, que agotan el agostadero.</w:t>
      </w:r>
    </w:p>
    <w:p w14:paraId="7E4903CD" w14:textId="082C1BAF" w:rsidR="00650FF4" w:rsidRPr="00650FF4" w:rsidRDefault="00257E71" w:rsidP="00EF5A0D">
      <w:pPr>
        <w:pStyle w:val="Prrafodelista"/>
        <w:tabs>
          <w:tab w:val="left" w:pos="7740"/>
        </w:tabs>
        <w:spacing w:before="240" w:line="360" w:lineRule="auto"/>
        <w:ind w:left="0"/>
        <w:jc w:val="both"/>
        <w:rPr>
          <w:color w:val="000000"/>
          <w:shd w:val="clear" w:color="auto" w:fill="FFFFFF"/>
        </w:rPr>
      </w:pPr>
      <w:r w:rsidRPr="00257E71">
        <w:rPr>
          <w:b/>
          <w:bCs/>
        </w:rPr>
        <w:t>RENDICION DE CUENTAS</w:t>
      </w:r>
      <w:r>
        <w:t xml:space="preserve"> </w:t>
      </w:r>
      <w:r w:rsidR="00F03531">
        <w:rPr>
          <w:noProof/>
        </w:rPr>
        <w:t xml:space="preserve">Tumi, (2020), nos habla sobre la rendicion de </w:t>
      </w:r>
      <w:proofErr w:type="gramStart"/>
      <w:r w:rsidR="00F03531">
        <w:rPr>
          <w:noProof/>
        </w:rPr>
        <w:t xml:space="preserve">cuentas </w:t>
      </w:r>
      <w:r>
        <w:t xml:space="preserve"> </w:t>
      </w:r>
      <w:proofErr w:type="spellStart"/>
      <w:r w:rsidR="00F03531">
        <w:t>en</w:t>
      </w:r>
      <w:r>
        <w:t>n</w:t>
      </w:r>
      <w:proofErr w:type="spellEnd"/>
      <w:proofErr w:type="gramEnd"/>
      <w:r>
        <w:t xml:space="preserve">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46C2CB0E" w14:textId="369A8B79" w:rsidR="00724DB5" w:rsidRDefault="00724DB5" w:rsidP="004B6E8F">
      <w:pPr>
        <w:pStyle w:val="Prrafodelista"/>
        <w:tabs>
          <w:tab w:val="left" w:pos="7740"/>
        </w:tabs>
        <w:spacing w:before="240" w:line="360" w:lineRule="auto"/>
        <w:ind w:left="0"/>
        <w:jc w:val="both"/>
      </w:pPr>
      <w:r w:rsidRPr="001D6A9E">
        <w:rPr>
          <w:b/>
          <w:bCs/>
          <w:noProof/>
          <w:lang w:val="es-ES"/>
        </w:rPr>
        <w:lastRenderedPageBreak/>
        <w:t>INFORMES PUBLICOS</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lang w:val="es-ES"/>
        </w:rPr>
        <w:t>Tutiven &amp; Soledispa (2024)</w:t>
      </w:r>
      <w:r w:rsidRPr="001078CD">
        <w:rPr>
          <w:noProof/>
          <w:lang w:val="es-ES"/>
        </w:rPr>
        <w:t xml:space="preserve">  afirman, </w:t>
      </w:r>
      <w:r w:rsidRPr="001078CD">
        <w:t>la eficiencia en la</w:t>
      </w:r>
      <w:r w:rsidRPr="000E26B8">
        <w:t xml:space="preserve"> recaudación fiscal es un componente fundamental para el desarrollo de políticas tributarias que aseguren una administración pública óptima. Según el Código Orgánico de Organización Territorial</w:t>
      </w:r>
      <w:r>
        <w:t>,</w:t>
      </w:r>
      <w:r w:rsidRPr="000E26B8">
        <w:t xml:space="preserve"> 2019, 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  </w:t>
      </w:r>
    </w:p>
    <w:p w14:paraId="105BB352" w14:textId="77777777" w:rsidR="001B0840" w:rsidRDefault="001B0840" w:rsidP="004B6E8F">
      <w:pPr>
        <w:pStyle w:val="Prrafodelista"/>
        <w:tabs>
          <w:tab w:val="left" w:pos="7740"/>
        </w:tabs>
        <w:spacing w:before="240" w:line="360" w:lineRule="auto"/>
        <w:ind w:left="0"/>
        <w:jc w:val="both"/>
      </w:pPr>
    </w:p>
    <w:p w14:paraId="3906F3EA" w14:textId="4B0EC983" w:rsidR="00724DB5" w:rsidRDefault="00EA3DCD" w:rsidP="004B6E8F">
      <w:pPr>
        <w:pStyle w:val="Prrafodelista"/>
        <w:tabs>
          <w:tab w:val="left" w:pos="7740"/>
        </w:tabs>
        <w:spacing w:before="240" w:line="360" w:lineRule="auto"/>
        <w:ind w:left="0"/>
        <w:jc w:val="both"/>
      </w:pPr>
      <w:r w:rsidRPr="00EA3DCD">
        <w:rPr>
          <w:b/>
          <w:bCs/>
        </w:rPr>
        <w:t>PRESUPUESTO INSTITUCIONAL</w:t>
      </w:r>
      <w:r>
        <w:t xml:space="preserve"> </w:t>
      </w:r>
      <w:r w:rsidR="001B0840">
        <w:rPr>
          <w:noProof/>
        </w:rPr>
        <w:t>SIDALAC, (2020), nos die q</w:t>
      </w:r>
      <w:r>
        <w:rPr>
          <w:noProof/>
        </w:rPr>
        <w:t>u</w:t>
      </w:r>
      <w:r w:rsidR="001B0840">
        <w:rPr>
          <w:noProof/>
        </w:rPr>
        <w:t>e e</w:t>
      </w:r>
      <w:r>
        <w:rPr>
          <w:noProof/>
        </w:rPr>
        <w:t>l</w:t>
      </w:r>
      <w:r w:rsidR="001B0840">
        <w:rPr>
          <w:noProof/>
        </w:rPr>
        <w:t xml:space="preserve"> </w:t>
      </w:r>
      <w:r w:rsidR="001B0840">
        <w:t>presupuesto institucional para el año 2020, cumpliendo instrucciones contenidas en la Ley de Presupuestos de 2020, artículo 15, numeral 11, que dispone: 11) Cada Ministerio y los demás órganos de la Administración del Estado deberán poner a disposición en sus respectivos sitios electrónicos la información relativa al presupuesto asignado por esta ley. Para estos efectos procurarán utilizar un lenguaje claro y comprensible, que permita ser comprendido por la mayor cantidad de personas, utilizando gráficos y cualquier otro mecanismo que permita comprender, de manera sencilla, cómo se compone el presupuesto y los distintos elementos que lo integran.</w:t>
      </w:r>
    </w:p>
    <w:p w14:paraId="62F60420" w14:textId="77777777" w:rsidR="00EA3DCD" w:rsidRDefault="00EA3DCD" w:rsidP="004B6E8F">
      <w:pPr>
        <w:pStyle w:val="Prrafodelista"/>
        <w:tabs>
          <w:tab w:val="left" w:pos="7740"/>
        </w:tabs>
        <w:spacing w:before="240" w:line="360" w:lineRule="auto"/>
        <w:ind w:left="0"/>
        <w:jc w:val="both"/>
      </w:pPr>
    </w:p>
    <w:p w14:paraId="6380E998" w14:textId="08B59FD4"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Peñaherrera y otros (2019), nos dice que en el </w:t>
      </w:r>
      <w:r>
        <w:t>Gobierno central es encargado de generar ingresos en el país, trabajando en conjunto con las diversas actividades que generan entradas en el Ecuador, teniendo como principal fuente los ingresos tributarios y la venta del petróleo en crudo y sus derivados, estos ingresos son destinados a la inversión pública, pagos de endeudamiento y entre otros gastos públicos que se lleve a cabo. El régimen tributario se fundamenta por los principios de generalidad, progresividad, eficiencia, simplicidad administrativa, equidad, transparencia.</w:t>
      </w:r>
    </w:p>
    <w:p w14:paraId="2521FF45" w14:textId="77777777" w:rsidR="00850046" w:rsidRDefault="00850046" w:rsidP="004B6E8F">
      <w:pPr>
        <w:pStyle w:val="Prrafodelista"/>
        <w:tabs>
          <w:tab w:val="left" w:pos="7740"/>
        </w:tabs>
        <w:spacing w:before="240" w:line="360" w:lineRule="auto"/>
        <w:ind w:left="0"/>
        <w:jc w:val="both"/>
      </w:pPr>
    </w:p>
    <w:p w14:paraId="645D0C36" w14:textId="1897ED2E"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Pr="004F4CFF">
        <w:rPr>
          <w:noProof/>
          <w:color w:val="000000"/>
          <w:shd w:val="clear" w:color="auto" w:fill="FFFFFF"/>
          <w:lang w:val="es-ES"/>
        </w:rPr>
        <w:t xml:space="preserve">Almache y otros </w:t>
      </w:r>
      <w:r>
        <w:rPr>
          <w:noProof/>
          <w:color w:val="000000"/>
          <w:shd w:val="clear" w:color="auto" w:fill="FFFFFF"/>
          <w:lang w:val="es-ES"/>
        </w:rPr>
        <w:t>(</w:t>
      </w:r>
      <w:r w:rsidRPr="004F4CFF">
        <w:rPr>
          <w:noProof/>
          <w:color w:val="000000"/>
          <w:shd w:val="clear" w:color="auto" w:fill="FFFFFF"/>
          <w:lang w:val="es-ES"/>
        </w:rPr>
        <w:t>2020)</w:t>
      </w:r>
      <w:r>
        <w:rPr>
          <w:color w:val="000000"/>
          <w:shd w:val="clear" w:color="auto" w:fill="FFFFFF"/>
        </w:rPr>
        <w:t xml:space="preserve"> </w:t>
      </w:r>
      <w:r w:rsidR="00850046" w:rsidRPr="00850046">
        <w:rPr>
          <w:color w:val="000000"/>
          <w:shd w:val="clear" w:color="auto" w:fill="FFFFFF"/>
        </w:rPr>
        <w:t xml:space="preserve">Los gastos de capital se emplean para adquirir bienes de capital y para conservar los bienes ya existentes, también se </w:t>
      </w:r>
      <w:r w:rsidR="00850046" w:rsidRPr="00850046">
        <w:rPr>
          <w:color w:val="000000"/>
          <w:shd w:val="clear" w:color="auto" w:fill="FFFFFF"/>
        </w:rPr>
        <w:lastRenderedPageBreak/>
        <w:t>usan para la compra de bienes inmuebles y para transferir recursos a otros sectores siempre que cumplan con los mismos objetivos. Su devengo produce contablemente modificaciones directas en la composición patrimonial del Estado, aumenta los activos de larga duración (muebles e inmuebles) y el monto de las inversiones financieras</w:t>
      </w:r>
      <w:r>
        <w:rPr>
          <w:color w:val="000000"/>
          <w:shd w:val="clear" w:color="auto" w:fill="FFFFFF"/>
        </w:rPr>
        <w:t>,</w:t>
      </w:r>
      <w:r w:rsidR="00850046" w:rsidRPr="00850046">
        <w:rPr>
          <w:color w:val="000000"/>
          <w:shd w:val="clear" w:color="auto" w:fill="FFFFFF"/>
        </w:rPr>
        <w:t xml:space="preserve"> </w:t>
      </w:r>
      <w:r>
        <w:rPr>
          <w:color w:val="000000"/>
          <w:shd w:val="clear" w:color="auto" w:fill="FFFFFF"/>
        </w:rPr>
        <w:t>l</w:t>
      </w:r>
      <w:r w:rsidR="00850046" w:rsidRPr="00850046">
        <w:rPr>
          <w:color w:val="000000"/>
          <w:shd w:val="clear" w:color="auto" w:fill="FFFFFF"/>
        </w:rPr>
        <w:t xml:space="preserve">os gastos </w:t>
      </w:r>
      <w:r w:rsidRPr="00850046">
        <w:rPr>
          <w:color w:val="000000"/>
          <w:shd w:val="clear" w:color="auto" w:fill="FFFFFF"/>
        </w:rPr>
        <w:t>de inversión</w:t>
      </w:r>
      <w:r w:rsidR="00850046" w:rsidRPr="00850046">
        <w:rPr>
          <w:color w:val="000000"/>
          <w:shd w:val="clear" w:color="auto" w:fill="FFFFFF"/>
        </w:rPr>
        <w:t xml:space="preserve"> financiera se orientan a adquirir acciones, bonos, otros títulos, préstamos a agentes económicos y a otros países. Incluyen aportaciones de capital a las empresas de participación estatal y organismos descentralizados siempre que produzcan bienes o servicios para su venta en el mercado. Y los gastos de inversión implican los gastos corrientes y de capital que forman parte de proyectos de inversión</w:t>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4D470257" w14:textId="78488001" w:rsidR="00724DB5" w:rsidRPr="00811096" w:rsidRDefault="00811096" w:rsidP="004B6E8F">
      <w:pPr>
        <w:pStyle w:val="Prrafodelista"/>
        <w:tabs>
          <w:tab w:val="left" w:pos="7740"/>
        </w:tabs>
        <w:spacing w:before="240" w:line="360" w:lineRule="auto"/>
        <w:ind w:left="0"/>
        <w:jc w:val="both"/>
        <w:rPr>
          <w:color w:val="000000"/>
          <w:shd w:val="clear" w:color="auto" w:fill="FFFFFF"/>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r w:rsidRPr="00811096">
        <w:rPr>
          <w:noProof/>
          <w:color w:val="000000"/>
          <w:shd w:val="clear" w:color="auto" w:fill="FFFFFF"/>
          <w:lang w:val="es-ES"/>
        </w:rPr>
        <w:t xml:space="preserve">Garcia </w:t>
      </w:r>
      <w:r>
        <w:rPr>
          <w:noProof/>
          <w:color w:val="000000"/>
          <w:shd w:val="clear" w:color="auto" w:fill="FFFFFF"/>
          <w:lang w:val="es-ES"/>
        </w:rPr>
        <w:t>y</w:t>
      </w:r>
      <w:r w:rsidRPr="00811096">
        <w:rPr>
          <w:noProof/>
          <w:color w:val="000000"/>
          <w:shd w:val="clear" w:color="auto" w:fill="FFFFFF"/>
          <w:lang w:val="es-ES"/>
        </w:rPr>
        <w:t xml:space="preserve"> Tellez, </w:t>
      </w:r>
      <w:r>
        <w:rPr>
          <w:noProof/>
          <w:color w:val="000000"/>
          <w:shd w:val="clear" w:color="auto" w:fill="FFFFFF"/>
          <w:lang w:val="es-ES"/>
        </w:rPr>
        <w:t>(</w:t>
      </w:r>
      <w:r w:rsidRPr="00811096">
        <w:rPr>
          <w:noProof/>
          <w:color w:val="000000"/>
          <w:shd w:val="clear" w:color="auto" w:fill="FFFFFF"/>
          <w:lang w:val="es-ES"/>
        </w:rPr>
        <w:t>2018)</w:t>
      </w:r>
      <w:r>
        <w:rPr>
          <w:noProof/>
          <w:color w:val="000000"/>
          <w:shd w:val="clear" w:color="auto" w:fill="FFFFFF"/>
          <w:lang w:val="es-ES"/>
        </w:rPr>
        <w:t xml:space="preserve"> nos dice que el presupuesto participativo</w:t>
      </w:r>
      <w:r>
        <w:rPr>
          <w:color w:val="000000"/>
          <w:shd w:val="clear" w:color="auto" w:fill="FFFFFF"/>
        </w:rPr>
        <w:t xml:space="preserve"> nació</w:t>
      </w:r>
      <w:r w:rsidRPr="00811096">
        <w:rPr>
          <w:color w:val="000000"/>
          <w:shd w:val="clear" w:color="auto" w:fill="FFFFFF"/>
        </w:rPr>
        <w:t xml:space="preserve"> en un contexto de democratización y descentralización de los países latinoamericanos, en donde los gobiernos locales comenzaron a experimentar con mecanismos participativos para llevar una gestión pública más democrática. Surgió en el municipio de Porto Alegre, Rio Grande do Sul, Brasil en 1989 con la premisa de implicar a la ciudadanía en los procesos de decisión del gasto público del gobierno local. Aunque no reconocido inicialmente, su éxito fue rotundo, una vez que agrupaciones y organismos, primero nacionales y luego internacionales, dirigieron su mirada hacia dicha experienci</w:t>
      </w:r>
      <w:r>
        <w:rPr>
          <w:color w:val="000000"/>
          <w:shd w:val="clear" w:color="auto" w:fill="FFFFFF"/>
        </w:rPr>
        <w:t>a</w:t>
      </w:r>
      <w:r w:rsidRPr="00811096">
        <w:rPr>
          <w:color w:val="000000"/>
          <w:shd w:val="clear" w:color="auto" w:fill="FFFFFF"/>
        </w:rPr>
        <w:t xml:space="preserve"> y de ahí, a la actualidad, se ha extendido en casi todo el mundo, y no es raro que un buen número de académicos e investigadores tengan su atención sobre él.</w:t>
      </w:r>
    </w:p>
    <w:p w14:paraId="30895D5A" w14:textId="77777777" w:rsidR="00811096" w:rsidRDefault="00811096" w:rsidP="004B6E8F">
      <w:pPr>
        <w:pStyle w:val="Prrafodelista"/>
        <w:tabs>
          <w:tab w:val="left" w:pos="7740"/>
        </w:tabs>
        <w:spacing w:before="240" w:line="360" w:lineRule="auto"/>
        <w:ind w:left="0"/>
        <w:jc w:val="both"/>
        <w:rPr>
          <w:noProof/>
          <w:color w:val="000000"/>
          <w:shd w:val="clear" w:color="auto" w:fill="FFFFFF"/>
          <w:lang w:val="es-ES"/>
        </w:rPr>
      </w:pPr>
    </w:p>
    <w:p w14:paraId="79E637D1" w14:textId="7F746D13" w:rsidR="004B6E8F" w:rsidRDefault="004B6E8F" w:rsidP="004B6E8F">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lang w:val="es-ES"/>
        </w:rPr>
        <w:t xml:space="preserve">          </w:t>
      </w:r>
      <w:r w:rsidRPr="00CD2DA2">
        <w:rPr>
          <w:noProof/>
          <w:color w:val="000000"/>
          <w:shd w:val="clear" w:color="auto" w:fill="FFFFFF"/>
          <w:lang w:val="es-ES"/>
        </w:rPr>
        <w:t xml:space="preserve">Sobre este punto, </w:t>
      </w:r>
      <w:r w:rsidRPr="00CD2DA2">
        <w:rPr>
          <w:noProof/>
          <w:color w:val="000000"/>
          <w:highlight w:val="darkGreen"/>
          <w:shd w:val="clear" w:color="auto" w:fill="FFFFFF"/>
        </w:rPr>
        <w:t>Rosas(2023),</w:t>
      </w:r>
      <w:r w:rsidRPr="000E26B8">
        <w:rPr>
          <w:noProof/>
          <w:color w:val="000000"/>
          <w:shd w:val="clear" w:color="auto" w:fill="FFFFFF"/>
          <w:lang w:val="es-ES"/>
        </w:rPr>
        <w:t xml:space="preserve"> se afirma que </w:t>
      </w:r>
      <w:r w:rsidRPr="000E26B8">
        <w:rPr>
          <w:color w:val="000000"/>
          <w:shd w:val="clear" w:color="auto" w:fill="FFFFFF"/>
        </w:rPr>
        <w:t>los clasificadores e indicadores posibilitan la elaboración de reportes de impacto que evidencian el grado de desarrollo de las políticas públicas. Para mejorar su adopción, implementación y direccionamiento en atención a las necesidades diferenciadas en los sectores afectados por brechas de género. Asimismo, los indicadores determinan el grado de análisis y orientación del gasto público en materia de género.</w:t>
      </w:r>
    </w:p>
    <w:p w14:paraId="1EE0FF2D" w14:textId="77777777" w:rsidR="00EF5A0D" w:rsidRDefault="00EF5A0D" w:rsidP="004B6E8F">
      <w:pPr>
        <w:pStyle w:val="Prrafodelista"/>
        <w:tabs>
          <w:tab w:val="left" w:pos="7740"/>
        </w:tabs>
        <w:spacing w:before="240" w:line="360" w:lineRule="auto"/>
        <w:ind w:left="0"/>
        <w:jc w:val="both"/>
        <w:rPr>
          <w:color w:val="000000"/>
          <w:shd w:val="clear" w:color="auto" w:fill="FFFFFF"/>
        </w:rPr>
      </w:pP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1C401809" w14:textId="7D7BD4B0" w:rsidR="004B6E8F" w:rsidRDefault="004B6E8F" w:rsidP="004B6E8F">
      <w:pPr>
        <w:pStyle w:val="Prrafodelista"/>
        <w:tabs>
          <w:tab w:val="left" w:pos="7740"/>
        </w:tabs>
        <w:spacing w:before="240" w:line="360" w:lineRule="auto"/>
        <w:ind w:left="0"/>
        <w:jc w:val="both"/>
        <w:rPr>
          <w:rStyle w:val="capital"/>
        </w:rPr>
      </w:pPr>
      <w:r w:rsidRPr="000E26B8">
        <w:rPr>
          <w:rStyle w:val="capital"/>
        </w:rPr>
        <w:t xml:space="preserve">            </w:t>
      </w:r>
    </w:p>
    <w:p w14:paraId="5FD7D513" w14:textId="77777777" w:rsidR="004B6E8F" w:rsidRPr="000E26B8" w:rsidRDefault="004B6E8F" w:rsidP="004F48A2">
      <w:pPr>
        <w:tabs>
          <w:tab w:val="left" w:pos="7740"/>
        </w:tabs>
        <w:spacing w:before="240" w:line="360" w:lineRule="auto"/>
        <w:jc w:val="both"/>
      </w:pPr>
    </w:p>
    <w:p w14:paraId="5D242478" w14:textId="4E052649" w:rsidR="00973422" w:rsidRPr="000E26B8" w:rsidRDefault="00507D10" w:rsidP="00973422">
      <w:pPr>
        <w:tabs>
          <w:tab w:val="left" w:pos="7740"/>
        </w:tabs>
        <w:spacing w:before="240" w:line="360" w:lineRule="auto"/>
        <w:jc w:val="both"/>
      </w:pPr>
      <w:r w:rsidRPr="000E26B8">
        <w:rPr>
          <w:noProof/>
          <w:lang w:val="es-ES"/>
        </w:rPr>
        <w:t xml:space="preserve">      </w:t>
      </w:r>
    </w:p>
    <w:p w14:paraId="57DBA678" w14:textId="77777777" w:rsidR="00973422" w:rsidRPr="000E26B8" w:rsidRDefault="00973422" w:rsidP="00973422">
      <w:pPr>
        <w:shd w:val="clear" w:color="auto" w:fill="FFFFFF"/>
        <w:spacing w:after="0" w:line="240" w:lineRule="auto"/>
        <w:jc w:val="both"/>
        <w:rPr>
          <w:b/>
          <w:bCs/>
        </w:rPr>
      </w:pPr>
    </w:p>
    <w:p w14:paraId="1B3C6FB6" w14:textId="77777777" w:rsidR="00724DB5" w:rsidRPr="00724DB5" w:rsidRDefault="00724DB5" w:rsidP="00724DB5">
      <w:pPr>
        <w:shd w:val="clear" w:color="auto" w:fill="FFFFFF"/>
        <w:spacing w:after="0" w:line="360" w:lineRule="auto"/>
        <w:jc w:val="both"/>
        <w:rPr>
          <w:rFonts w:ascii="Times New Roman" w:eastAsia="Times New Roman" w:hAnsi="Times New Roman" w:cs="Times New Roman"/>
        </w:rPr>
      </w:pPr>
    </w:p>
    <w:p w14:paraId="45DD5647" w14:textId="6E20D887" w:rsidR="00507D10" w:rsidRPr="000E26B8" w:rsidRDefault="00507D10" w:rsidP="0027383B">
      <w:pPr>
        <w:spacing w:before="240" w:line="360" w:lineRule="auto"/>
        <w:jc w:val="both"/>
      </w:pPr>
      <w:r w:rsidRPr="000E26B8">
        <w:t xml:space="preserve">            </w:t>
      </w:r>
    </w:p>
    <w:p w14:paraId="251A84FC" w14:textId="77777777" w:rsidR="00507D10" w:rsidRPr="000E26B8" w:rsidRDefault="00507D10" w:rsidP="004F48A2">
      <w:pPr>
        <w:tabs>
          <w:tab w:val="left" w:pos="7740"/>
        </w:tabs>
        <w:spacing w:before="240" w:line="360" w:lineRule="auto"/>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lastRenderedPageBreak/>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w:t>
      </w:r>
      <w:r w:rsidR="0003736D">
        <w:lastRenderedPageBreak/>
        <w:t>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w:t>
      </w:r>
      <w:r w:rsidR="007A0DB7">
        <w:rPr>
          <w:rFonts w:eastAsiaTheme="minorHAnsi"/>
          <w:lang w:eastAsia="en-US"/>
        </w:rPr>
        <w:lastRenderedPageBreak/>
        <w:t>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 xml:space="preserve">El Alfa de Cronbach total, resultante de la combinación de ambas variables, </w:t>
      </w:r>
      <w:r w:rsidR="006C5800" w:rsidRPr="002750F0">
        <w:rPr>
          <w:rFonts w:eastAsia="Times New Roman"/>
        </w:rPr>
        <w:lastRenderedPageBreak/>
        <w:t>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lastRenderedPageBreak/>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lastRenderedPageBreak/>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lastRenderedPageBreak/>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lastRenderedPageBreak/>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w:lastRenderedPageBreak/>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lastRenderedPageBreak/>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lastRenderedPageBreak/>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lastRenderedPageBreak/>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lastRenderedPageBreak/>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lastRenderedPageBreak/>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lastRenderedPageBreak/>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lastRenderedPageBreak/>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lastRenderedPageBreak/>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lastRenderedPageBreak/>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lastRenderedPageBreak/>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proofErr w:type="gramStart"/>
      <w:r>
        <w:rPr>
          <w:rFonts w:eastAsia="Times New Roman"/>
          <w:sz w:val="22"/>
          <w:szCs w:val="22"/>
        </w:rPr>
        <w:t>sig.Bilateral</w:t>
      </w:r>
      <w:proofErr w:type="spellEnd"/>
      <w:proofErr w:type="gram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de tal forma podemos afirmar que entre ambas variables existe una efectividad 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lastRenderedPageBreak/>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1172326"/>
      <w:r>
        <w:lastRenderedPageBreak/>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lastRenderedPageBreak/>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w:t>
      </w:r>
      <w:proofErr w:type="gramStart"/>
      <w:r>
        <w:t>variable presupuesto</w:t>
      </w:r>
      <w:proofErr w:type="gramEnd"/>
      <w:r>
        <w:t>.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1172327"/>
      <w:r>
        <w:lastRenderedPageBreak/>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w:t>
      </w:r>
      <w:proofErr w:type="gramStart"/>
      <w:r w:rsidR="00387056">
        <w:t>apreciación  valorativa</w:t>
      </w:r>
      <w:proofErr w:type="gramEnd"/>
      <w:r w:rsidR="00387056">
        <w:t xml:space="preserve">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w:t>
      </w:r>
      <w:proofErr w:type="gramStart"/>
      <w:r>
        <w:t>variable presupuest</w:t>
      </w:r>
      <w:r w:rsidR="004B743A">
        <w:t>o</w:t>
      </w:r>
      <w:proofErr w:type="gramEnd"/>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72503204" w14:textId="3076545A" w:rsidR="00DF4367" w:rsidRDefault="002E054E" w:rsidP="002E054E">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t>variable presupues</w:t>
      </w:r>
      <w:r w:rsidR="004B743A">
        <w:t>to</w:t>
      </w:r>
      <w:proofErr w:type="gramEnd"/>
      <w:r w:rsidR="000B39A4">
        <w:t xml:space="preserve"> </w:t>
      </w:r>
      <w:r>
        <w:t>en la municipalidad provincial de Tacna,2022. Ya que se obtuvo 0.524 de coeficiente Rho Spearman, con p=0.003, lo cual nos indica que la relación directa media considerable.</w:t>
      </w:r>
    </w:p>
    <w:p w14:paraId="34833A40" w14:textId="77777777" w:rsidR="00DF4367" w:rsidRDefault="00DF4367" w:rsidP="00B60E52">
      <w:pPr>
        <w:spacing w:line="259" w:lineRule="auto"/>
        <w:jc w:val="both"/>
      </w:pPr>
    </w:p>
    <w:p w14:paraId="26C15E98" w14:textId="77777777" w:rsidR="00DF4367" w:rsidRDefault="00DF4367" w:rsidP="00B60E52">
      <w:pPr>
        <w:spacing w:line="259" w:lineRule="auto"/>
        <w:jc w:val="both"/>
      </w:pPr>
    </w:p>
    <w:p w14:paraId="71120F0F" w14:textId="77777777" w:rsidR="002B11F5" w:rsidRDefault="002B11F5" w:rsidP="00B60E52">
      <w:pPr>
        <w:spacing w:line="259" w:lineRule="auto"/>
        <w:jc w:val="both"/>
      </w:pPr>
    </w:p>
    <w:p w14:paraId="0044C2AD" w14:textId="77777777" w:rsidR="002B11F5" w:rsidRDefault="002B11F5" w:rsidP="00B60E52">
      <w:pPr>
        <w:spacing w:line="259" w:lineRule="auto"/>
        <w:jc w:val="both"/>
      </w:pPr>
    </w:p>
    <w:p w14:paraId="6D4DFA59" w14:textId="77777777" w:rsidR="002B11F5" w:rsidRDefault="002B11F5" w:rsidP="00B60E52">
      <w:pPr>
        <w:spacing w:line="259" w:lineRule="auto"/>
        <w:jc w:val="both"/>
      </w:pPr>
    </w:p>
    <w:p w14:paraId="41AA367C" w14:textId="77777777" w:rsidR="002B11F5" w:rsidRDefault="002B11F5" w:rsidP="00B60E52">
      <w:pPr>
        <w:spacing w:line="259" w:lineRule="auto"/>
        <w:jc w:val="both"/>
      </w:pPr>
    </w:p>
    <w:p w14:paraId="2416BF21" w14:textId="77777777" w:rsidR="002B11F5" w:rsidRDefault="002B11F5" w:rsidP="00B60E52">
      <w:pPr>
        <w:spacing w:line="259" w:lineRule="auto"/>
        <w:jc w:val="both"/>
      </w:pPr>
    </w:p>
    <w:p w14:paraId="3206E1D7" w14:textId="77777777" w:rsidR="002B11F5" w:rsidRDefault="002B11F5" w:rsidP="00B60E52">
      <w:pPr>
        <w:spacing w:line="259" w:lineRule="auto"/>
        <w:jc w:val="both"/>
      </w:pPr>
    </w:p>
    <w:p w14:paraId="66660267" w14:textId="77777777" w:rsidR="002B11F5" w:rsidRDefault="002B11F5" w:rsidP="00B60E52">
      <w:pPr>
        <w:spacing w:line="259" w:lineRule="auto"/>
        <w:jc w:val="both"/>
      </w:pPr>
    </w:p>
    <w:p w14:paraId="013097EE" w14:textId="1E0A51B4" w:rsidR="00930C55" w:rsidRDefault="00930C55" w:rsidP="007F3069">
      <w:pPr>
        <w:spacing w:line="259" w:lineRule="auto"/>
      </w:pPr>
    </w:p>
    <w:p w14:paraId="143DC0AE" w14:textId="77777777" w:rsidR="000E539F" w:rsidRDefault="000E539F" w:rsidP="007F3069">
      <w:pPr>
        <w:spacing w:line="259" w:lineRule="auto"/>
      </w:pPr>
    </w:p>
    <w:p w14:paraId="780A5B02" w14:textId="77777777" w:rsidR="000E539F" w:rsidRDefault="000E539F" w:rsidP="007F3069">
      <w:pPr>
        <w:spacing w:line="259" w:lineRule="auto"/>
      </w:pPr>
    </w:p>
    <w:p w14:paraId="303F066C" w14:textId="77777777" w:rsidR="000E539F" w:rsidRDefault="000E539F" w:rsidP="007F3069">
      <w:pPr>
        <w:spacing w:line="259" w:lineRule="auto"/>
      </w:pPr>
    </w:p>
    <w:p w14:paraId="24DEDC78" w14:textId="77777777" w:rsidR="000E539F" w:rsidRDefault="000E539F" w:rsidP="007F3069">
      <w:pPr>
        <w:spacing w:line="259" w:lineRule="auto"/>
      </w:pPr>
    </w:p>
    <w:p w14:paraId="4570F35B" w14:textId="77777777" w:rsidR="000E539F" w:rsidRDefault="000E539F" w:rsidP="007F3069">
      <w:pPr>
        <w:spacing w:line="259" w:lineRule="auto"/>
      </w:pPr>
    </w:p>
    <w:p w14:paraId="391A5B2D" w14:textId="79B13FD2" w:rsidR="00930C55" w:rsidRPr="00930C55" w:rsidRDefault="00930C55" w:rsidP="003C4A1E">
      <w:pPr>
        <w:pStyle w:val="Ttulo1"/>
        <w:numPr>
          <w:ilvl w:val="0"/>
          <w:numId w:val="22"/>
        </w:numPr>
      </w:pPr>
      <w:bookmarkStart w:id="42" w:name="_Toc201172328"/>
      <w:r w:rsidRPr="00930C55">
        <w:lastRenderedPageBreak/>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403DE796" w:rsidR="00F11B53" w:rsidRDefault="00F10D4E" w:rsidP="006E656D">
      <w:pPr>
        <w:spacing w:line="276" w:lineRule="auto"/>
        <w:ind w:firstLine="708"/>
        <w:jc w:val="both"/>
      </w:pPr>
      <w:r>
        <w:t xml:space="preserve">Finalmente, </w:t>
      </w:r>
      <w:r w:rsidR="000F7913">
        <w:t>se puede</w:t>
      </w:r>
      <w:r w:rsidR="006E656D">
        <w:t xml:space="preserve"> recomendar que contabilidad tributaria se refleje en las modificaciones de la base imponible de los ingresos estimados, este procedimiento tiene como punto esencial que lo ingresos tributarios se reflejen en la realidad económica y jurídica de la recaudación, reduciendo el riesgo de sobreestimación en los ingresos, esta práctica se alinea con el principio de veracidad en la contabilidad </w:t>
      </w:r>
      <w:r w:rsidR="000616AE">
        <w:t>pública</w:t>
      </w:r>
      <w:r w:rsidR="006E656D">
        <w:t>.</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1B19F6C6" w14:textId="77777777" w:rsidR="009C4FCD" w:rsidRDefault="009312F8" w:rsidP="009C4FCD">
              <w:pPr>
                <w:pStyle w:val="Bibliografa"/>
                <w:ind w:left="720" w:hanging="720"/>
                <w:rPr>
                  <w:noProof/>
                  <w:lang w:val="es-ES"/>
                </w:rPr>
              </w:pPr>
              <w:r>
                <w:fldChar w:fldCharType="begin"/>
              </w:r>
              <w:r>
                <w:instrText>BIBLIOGRAPHY</w:instrText>
              </w:r>
              <w:r>
                <w:fldChar w:fldCharType="separate"/>
              </w:r>
              <w:r w:rsidR="009C4FCD">
                <w:rPr>
                  <w:noProof/>
                  <w:lang w:val="es-ES"/>
                </w:rPr>
                <w:t xml:space="preserve">Acosta Bermedo, O. A., Tapia Quintanilla, A. d., &amp; Wong Vargas, C. F. (2013). El impuesto predial y su impacto en las finanzas públicas. </w:t>
              </w:r>
              <w:r w:rsidR="009C4FCD">
                <w:rPr>
                  <w:i/>
                  <w:iCs/>
                  <w:noProof/>
                  <w:lang w:val="es-ES"/>
                </w:rPr>
                <w:t>revista</w:t>
              </w:r>
              <w:r w:rsidR="009C4FCD">
                <w:rPr>
                  <w:noProof/>
                  <w:lang w:val="es-ES"/>
                </w:rPr>
                <w:t>. Obtenido de https://revistas.pucp.edu.pe/index.php/themis/article/view/9579</w:t>
              </w:r>
            </w:p>
            <w:p w14:paraId="4E1CDC93" w14:textId="77777777" w:rsidR="009C4FCD" w:rsidRDefault="009C4FCD" w:rsidP="009C4FCD">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4446DAA7" w14:textId="77777777" w:rsidR="009C4FCD" w:rsidRDefault="009C4FCD" w:rsidP="009C4FCD">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6D3F1E0B" w14:textId="77777777" w:rsidR="009C4FCD" w:rsidRDefault="009C4FCD" w:rsidP="009C4FCD">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297082FC" w14:textId="77777777" w:rsidR="009C4FCD" w:rsidRDefault="009C4FCD" w:rsidP="009C4FCD">
              <w:pPr>
                <w:pStyle w:val="Bibliografa"/>
                <w:ind w:left="720" w:hanging="720"/>
                <w:rPr>
                  <w:noProof/>
                  <w:lang w:val="es-ES"/>
                </w:rPr>
              </w:pPr>
              <w:r>
                <w:rPr>
                  <w:noProof/>
                  <w:lang w:val="es-ES"/>
                </w:rPr>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5DC21B" w14:textId="77777777" w:rsidR="009C4FCD" w:rsidRDefault="009C4FCD" w:rsidP="009C4FCD">
              <w:pPr>
                <w:pStyle w:val="Bibliografa"/>
                <w:ind w:left="720" w:hanging="720"/>
                <w:rPr>
                  <w:noProof/>
                  <w:lang w:val="es-ES"/>
                </w:rPr>
              </w:pPr>
              <w:r>
                <w:rPr>
                  <w:noProof/>
                  <w:lang w:val="es-ES"/>
                </w:rPr>
                <w:lastRenderedPageBreak/>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13EC675E" w14:textId="77777777" w:rsidR="009C4FCD" w:rsidRDefault="009C4FCD" w:rsidP="009C4FCD">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6F4647A7" w14:textId="77777777" w:rsidR="009C4FCD" w:rsidRDefault="009C4FCD" w:rsidP="009C4FCD">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7637CEF2" w14:textId="77777777" w:rsidR="009C4FCD" w:rsidRDefault="009C4FCD" w:rsidP="009C4FCD">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560B0EBA" w14:textId="77777777" w:rsidR="009C4FCD" w:rsidRDefault="009C4FCD" w:rsidP="009C4FCD">
              <w:pPr>
                <w:pStyle w:val="Bibliografa"/>
                <w:ind w:left="720" w:hanging="720"/>
                <w:rPr>
                  <w:noProof/>
                  <w:lang w:val="es-ES"/>
                </w:rPr>
              </w:pPr>
              <w:r>
                <w:rPr>
                  <w:noProof/>
                  <w:lang w:val="es-ES"/>
                </w:rPr>
                <w:t xml:space="preserve">Espinoza Farías, J. H., &amp; Mendoza Fernández, V. M. (2022). CULTURA TRIBUTARIA EN EL PAGO DE IMPUESTOS PREDIALES DE LA. </w:t>
              </w:r>
              <w:r>
                <w:rPr>
                  <w:i/>
                  <w:iCs/>
                  <w:noProof/>
                  <w:lang w:val="es-ES"/>
                </w:rPr>
                <w:t>Articulo</w:t>
              </w:r>
              <w:r>
                <w:rPr>
                  <w:noProof/>
                  <w:lang w:val="es-ES"/>
                </w:rPr>
                <w:t>. Obtenido de file:///C:/Users/gyfhe/Downloads/CULTURA_TRIBUTARIA_EN_EL_PAGO_DE_IMPUESTOS_PREDIAL.pdf</w:t>
              </w:r>
            </w:p>
            <w:p w14:paraId="0140D64F" w14:textId="77777777" w:rsidR="009C4FCD" w:rsidRDefault="009C4FCD" w:rsidP="009C4FCD">
              <w:pPr>
                <w:pStyle w:val="Bibliografa"/>
                <w:ind w:left="720" w:hanging="720"/>
                <w:rPr>
                  <w:noProof/>
                  <w:lang w:val="es-ES"/>
                </w:rPr>
              </w:pPr>
              <w:r>
                <w:rPr>
                  <w:noProof/>
                  <w:lang w:val="es-ES"/>
                </w:rPr>
                <w:t xml:space="preserve">Gaspar Santos, M., Zambrano Olvera, M., Castro Nuñez, W. E., &amp; Díaz Basurto, I. (2021). OBLIGACIONES TRIBUTARIAS DEL </w:t>
              </w:r>
              <w:r>
                <w:rPr>
                  <w:noProof/>
                  <w:lang w:val="es-ES"/>
                </w:rPr>
                <w:lastRenderedPageBreak/>
                <w:t xml:space="preserve">CONTRIBUYENTE. ANÁLISIS NEUTROSÓFICO DE LAS CAUSAS DE SU INCUMPLIMIENTO. </w:t>
              </w:r>
              <w:r>
                <w:rPr>
                  <w:i/>
                  <w:iCs/>
                  <w:noProof/>
                  <w:lang w:val="es-ES"/>
                </w:rPr>
                <w:t>Articulo</w:t>
              </w:r>
              <w:r>
                <w:rPr>
                  <w:noProof/>
                  <w:lang w:val="es-ES"/>
                </w:rPr>
                <w:t>. Obtenido de https://fs.unm.edu/ObligacionesNeutrosofia.pdf</w:t>
              </w:r>
            </w:p>
            <w:p w14:paraId="2F6A34EB" w14:textId="77777777" w:rsidR="009C4FCD" w:rsidRDefault="009C4FCD" w:rsidP="009C4FCD">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187CF943" w14:textId="77777777" w:rsidR="009C4FCD" w:rsidRDefault="009C4FCD" w:rsidP="009C4FCD">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0D732ECF" w14:textId="77777777" w:rsidR="009C4FCD" w:rsidRDefault="009C4FCD" w:rsidP="009C4FCD">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16D78485" w14:textId="77777777" w:rsidR="009C4FCD" w:rsidRDefault="009C4FCD" w:rsidP="009C4FCD">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65039ED2" w14:textId="77777777" w:rsidR="009C4FCD" w:rsidRDefault="009C4FCD" w:rsidP="009C4FCD">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56F0BED5" w14:textId="77777777" w:rsidR="009C4FCD" w:rsidRDefault="009C4FCD" w:rsidP="009C4FCD">
              <w:pPr>
                <w:pStyle w:val="Bibliografa"/>
                <w:ind w:left="720" w:hanging="720"/>
                <w:rPr>
                  <w:noProof/>
                  <w:lang w:val="es-ES"/>
                </w:rPr>
              </w:pPr>
              <w:r>
                <w:rPr>
                  <w:noProof/>
                  <w:lang w:val="es-ES"/>
                </w:rPr>
                <w:t xml:space="preserve">Montúfar Sarmiento, G. G., &amp; Silva Villajuán, F. L. (2020). Prevalencia del catastro sobre el registro de predios para corregir inexatitudes registrales. Obtenido de </w:t>
              </w:r>
              <w:r>
                <w:rPr>
                  <w:noProof/>
                  <w:lang w:val="es-ES"/>
                </w:rPr>
                <w:lastRenderedPageBreak/>
                <w:t>https://revistas.ulima.edu.pe/index.php/Ius_et_Praxis/article/view/5219/5059</w:t>
              </w:r>
            </w:p>
            <w:p w14:paraId="6CD5E01F" w14:textId="77777777" w:rsidR="009C4FCD" w:rsidRDefault="009C4FCD" w:rsidP="009C4FCD">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6403F0EF" w14:textId="77777777" w:rsidR="009C4FCD" w:rsidRDefault="009C4FCD" w:rsidP="009C4FCD">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063EDB6B" w14:textId="77777777" w:rsidR="009C4FCD" w:rsidRDefault="009C4FCD" w:rsidP="009C4FCD">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34743C23" w14:textId="77777777" w:rsidR="009C4FCD" w:rsidRDefault="009C4FCD" w:rsidP="009C4FCD">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A33E141" w14:textId="77777777" w:rsidR="009C4FCD" w:rsidRDefault="009C4FCD" w:rsidP="009C4FCD">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gobiernos locales del Perú. </w:t>
              </w:r>
              <w:r>
                <w:rPr>
                  <w:i/>
                  <w:iCs/>
                  <w:noProof/>
                  <w:lang w:val="es-ES"/>
                </w:rPr>
                <w:t>REVISTA</w:t>
              </w:r>
              <w:r>
                <w:rPr>
                  <w:noProof/>
                  <w:lang w:val="es-ES"/>
                </w:rPr>
                <w:t>. Obtenido de https://www.redalyc.org/journal/5885/588569107009/html/</w:t>
              </w:r>
            </w:p>
            <w:p w14:paraId="635572F2" w14:textId="77777777" w:rsidR="009C4FCD" w:rsidRDefault="009C4FCD" w:rsidP="009C4FCD">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6027A32D" w14:textId="77777777" w:rsidR="009C4FCD" w:rsidRDefault="009C4FCD" w:rsidP="009C4FCD">
              <w:pPr>
                <w:pStyle w:val="Bibliografa"/>
                <w:ind w:left="720" w:hanging="720"/>
                <w:rPr>
                  <w:noProof/>
                  <w:lang w:val="es-ES"/>
                </w:rPr>
              </w:pPr>
              <w:r>
                <w:rPr>
                  <w:noProof/>
                  <w:lang w:val="es-ES"/>
                </w:rPr>
                <w:lastRenderedPageBreak/>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6BABD973" w14:textId="77777777" w:rsidR="009C4FCD" w:rsidRDefault="009C4FCD" w:rsidP="009C4FCD">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3AC20464" w14:textId="77777777" w:rsidR="009C4FCD" w:rsidRDefault="009C4FCD" w:rsidP="009C4FCD">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402F54A8" w14:textId="77777777" w:rsidR="009C4FCD" w:rsidRDefault="009C4FCD" w:rsidP="009C4FCD">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72CF932F" w14:textId="77777777" w:rsidR="009C4FCD" w:rsidRDefault="009C4FCD" w:rsidP="009C4FCD">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04E7055" w14:textId="77777777" w:rsidR="009C4FCD" w:rsidRDefault="009C4FCD" w:rsidP="009C4FCD">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7C3822E6" w14:textId="77777777" w:rsidR="009C4FCD" w:rsidRDefault="009C4FCD" w:rsidP="009C4FCD">
              <w:pPr>
                <w:pStyle w:val="Bibliografa"/>
                <w:ind w:left="720" w:hanging="720"/>
                <w:rPr>
                  <w:noProof/>
                  <w:lang w:val="es-ES"/>
                </w:rPr>
              </w:pPr>
              <w:r>
                <w:rPr>
                  <w:noProof/>
                  <w:lang w:val="es-ES"/>
                </w:rPr>
                <w:lastRenderedPageBreak/>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09FD056" w14:textId="77777777" w:rsidR="009C4FCD" w:rsidRDefault="009C4FCD" w:rsidP="009C4FCD">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5E08339B" w14:textId="77777777" w:rsidR="009C4FCD" w:rsidRDefault="009C4FCD" w:rsidP="009C4FCD">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BB09C45" w14:textId="77777777" w:rsidR="009C4FCD" w:rsidRDefault="009C4FCD" w:rsidP="009C4FCD">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Obtenido de http://www.scielo.org.co/scielo.php?script=sci_arttext&amp;pid=S0121-56122022000400089&amp;lang=es</w:t>
              </w:r>
            </w:p>
            <w:p w14:paraId="4167F089" w14:textId="77777777" w:rsidR="009C4FCD" w:rsidRDefault="009C4FCD" w:rsidP="009C4FCD">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49F7B6FB" w14:textId="61682D79" w:rsidR="009312F8" w:rsidRDefault="009312F8" w:rsidP="009C4FCD">
              <w:r>
                <w:rPr>
                  <w:b/>
                  <w:bCs/>
                </w:rPr>
                <w:lastRenderedPageBreak/>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0C0D324" w:rsidR="00B70477" w:rsidRPr="003D0A03" w:rsidRDefault="00262CC8" w:rsidP="000A74EE">
            <w:pPr>
              <w:spacing w:after="0" w:line="240" w:lineRule="auto"/>
              <w:jc w:val="center"/>
              <w:rPr>
                <w:rFonts w:eastAsia="Times New Roman"/>
                <w:sz w:val="22"/>
                <w:szCs w:val="22"/>
              </w:rPr>
            </w:pPr>
            <w:r>
              <w:rPr>
                <w:rFonts w:eastAsia="Times New Roman"/>
                <w:sz w:val="22"/>
                <w:szCs w:val="22"/>
              </w:rPr>
              <w:t>RENDICION DE CUENTAS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757B274E"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Informes públicos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773D10FD"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Publicación presupuestal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77777777" w:rsidR="00B22569" w:rsidRDefault="00B22569" w:rsidP="00B22569">
            <w:pPr>
              <w:pStyle w:val="TableParagraph"/>
              <w:spacing w:before="13"/>
              <w:ind w:left="34"/>
              <w:jc w:val="center"/>
              <w:rPr>
                <w:rFonts w:ascii="Arial" w:hAnsi="Arial" w:cs="Arial"/>
                <w:spacing w:val="-2"/>
                <w:sz w:val="20"/>
                <w:szCs w:val="20"/>
              </w:rPr>
            </w:pP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2C5BDEDE" w:rsidR="00B22569" w:rsidRPr="00837CAC" w:rsidRDefault="00460C9A" w:rsidP="00460C9A">
            <w:pPr>
              <w:pStyle w:val="TableParagraph"/>
              <w:spacing w:before="13"/>
              <w:ind w:left="34"/>
              <w:rPr>
                <w:rFonts w:ascii="Arial" w:hAnsi="Arial" w:cs="Arial"/>
                <w:sz w:val="20"/>
                <w:szCs w:val="20"/>
              </w:rPr>
            </w:pPr>
            <w:r>
              <w:rPr>
                <w:rFonts w:ascii="Arial" w:hAnsi="Arial" w:cs="Arial"/>
                <w:spacing w:val="-2"/>
                <w:sz w:val="20"/>
                <w:szCs w:val="20"/>
              </w:rPr>
              <w:t>RENDICION DE CUENTAS</w:t>
            </w: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619AEA58" w14:textId="464688EF" w:rsidR="00B22569" w:rsidRDefault="00460C9A" w:rsidP="00B22569">
            <w:pPr>
              <w:pStyle w:val="TableParagraph"/>
              <w:spacing w:before="13"/>
              <w:ind w:left="35"/>
              <w:jc w:val="center"/>
              <w:rPr>
                <w:rFonts w:ascii="Arial" w:hAnsi="Arial" w:cs="Arial"/>
                <w:sz w:val="20"/>
                <w:szCs w:val="20"/>
              </w:rPr>
            </w:pPr>
            <w:r>
              <w:rPr>
                <w:rFonts w:ascii="Arial" w:hAnsi="Arial" w:cs="Arial"/>
                <w:sz w:val="20"/>
                <w:szCs w:val="20"/>
              </w:rPr>
              <w:t xml:space="preserve">Informes públicos </w:t>
            </w:r>
          </w:p>
          <w:p w14:paraId="0F1D2284" w14:textId="77777777" w:rsidR="00B22569" w:rsidRDefault="00B22569" w:rsidP="00B22569">
            <w:pPr>
              <w:pStyle w:val="TableParagraph"/>
              <w:spacing w:before="13"/>
              <w:ind w:left="35"/>
              <w:jc w:val="center"/>
              <w:rPr>
                <w:rFonts w:ascii="Arial" w:hAnsi="Arial" w:cs="Arial"/>
                <w:sz w:val="20"/>
                <w:szCs w:val="20"/>
              </w:rPr>
            </w:pP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184FC117" w:rsidR="00B22569" w:rsidRPr="00837CAC" w:rsidRDefault="00460C9A" w:rsidP="00460C9A">
            <w:pPr>
              <w:pStyle w:val="TableParagraph"/>
              <w:spacing w:before="13"/>
              <w:ind w:left="35"/>
              <w:rPr>
                <w:rFonts w:ascii="Arial" w:hAnsi="Arial" w:cs="Arial"/>
                <w:sz w:val="20"/>
                <w:szCs w:val="20"/>
              </w:rPr>
            </w:pPr>
            <w:r>
              <w:rPr>
                <w:rFonts w:ascii="Arial" w:hAnsi="Arial" w:cs="Arial"/>
                <w:sz w:val="20"/>
                <w:szCs w:val="20"/>
              </w:rPr>
              <w:t xml:space="preserve">     Publicación presupuestal </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527F55" w14:paraId="6380DDC1" w14:textId="77777777" w:rsidTr="000A74EE">
        <w:trPr>
          <w:trHeight w:val="436"/>
        </w:trPr>
        <w:tc>
          <w:tcPr>
            <w:tcW w:w="1550" w:type="dxa"/>
            <w:vMerge w:val="restart"/>
          </w:tcPr>
          <w:p w14:paraId="7B0CDE98" w14:textId="372570FB" w:rsidR="00527F55" w:rsidRPr="005A7DB5" w:rsidRDefault="00527F55" w:rsidP="00527F55">
            <w:pPr>
              <w:pStyle w:val="TableParagraph"/>
              <w:spacing w:line="196" w:lineRule="exact"/>
              <w:ind w:left="234"/>
              <w:rPr>
                <w:sz w:val="18"/>
                <w:szCs w:val="18"/>
              </w:rPr>
            </w:pPr>
            <w:r>
              <w:rPr>
                <w:rFonts w:ascii="Arial" w:hAnsi="Arial" w:cs="Arial"/>
                <w:sz w:val="18"/>
              </w:rPr>
              <w:t>Rendición de cuentas</w:t>
            </w:r>
          </w:p>
        </w:tc>
        <w:tc>
          <w:tcPr>
            <w:tcW w:w="1559" w:type="dxa"/>
          </w:tcPr>
          <w:p w14:paraId="37C476B7" w14:textId="7ACB7B38" w:rsidR="00527F55" w:rsidRPr="005A7DB5" w:rsidRDefault="00527F55" w:rsidP="00527F55">
            <w:pPr>
              <w:pStyle w:val="TableParagraph"/>
              <w:spacing w:line="201" w:lineRule="exact"/>
              <w:jc w:val="center"/>
              <w:rPr>
                <w:sz w:val="18"/>
                <w:szCs w:val="18"/>
              </w:rPr>
            </w:pPr>
            <w:r>
              <w:rPr>
                <w:rFonts w:ascii="Arial" w:hAnsi="Arial" w:cs="Arial"/>
                <w:sz w:val="18"/>
              </w:rPr>
              <w:t>Informes públicos</w:t>
            </w:r>
          </w:p>
        </w:tc>
        <w:tc>
          <w:tcPr>
            <w:tcW w:w="1109" w:type="dxa"/>
          </w:tcPr>
          <w:p w14:paraId="070B09F3"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63177720" w14:textId="77777777" w:rsidTr="000A74EE">
        <w:trPr>
          <w:trHeight w:val="433"/>
        </w:trPr>
        <w:tc>
          <w:tcPr>
            <w:tcW w:w="1550" w:type="dxa"/>
            <w:vMerge/>
            <w:tcBorders>
              <w:top w:val="nil"/>
            </w:tcBorders>
          </w:tcPr>
          <w:p w14:paraId="61C81B17" w14:textId="77777777" w:rsidR="00527F55" w:rsidRPr="005A7DB5" w:rsidRDefault="00527F55" w:rsidP="00527F55">
            <w:pPr>
              <w:rPr>
                <w:sz w:val="18"/>
                <w:szCs w:val="18"/>
              </w:rPr>
            </w:pPr>
          </w:p>
        </w:tc>
        <w:tc>
          <w:tcPr>
            <w:tcW w:w="1559" w:type="dxa"/>
          </w:tcPr>
          <w:p w14:paraId="54C4235C" w14:textId="054F2AAF" w:rsidR="00527F55" w:rsidRPr="005A7DB5" w:rsidRDefault="00527F55" w:rsidP="00527F55">
            <w:pPr>
              <w:pStyle w:val="TableParagraph"/>
              <w:ind w:left="282" w:right="32" w:hanging="248"/>
              <w:rPr>
                <w:sz w:val="18"/>
                <w:szCs w:val="18"/>
              </w:rPr>
            </w:pPr>
            <w:r>
              <w:rPr>
                <w:rFonts w:ascii="Arial" w:hAnsi="Arial" w:cs="Arial"/>
                <w:sz w:val="18"/>
              </w:rPr>
              <w:t>Publicación presupuestal</w:t>
            </w:r>
          </w:p>
        </w:tc>
        <w:tc>
          <w:tcPr>
            <w:tcW w:w="1109" w:type="dxa"/>
          </w:tcPr>
          <w:p w14:paraId="038D70BE"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2C0FA4E1" w:rsidR="00527F55" w:rsidRPr="0030667A" w:rsidRDefault="00527F55" w:rsidP="00527F55">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2B101A62" w14:textId="60B6A110" w:rsidR="00527F55" w:rsidRPr="0030667A" w:rsidRDefault="00527F55" w:rsidP="00527F55">
            <w:pPr>
              <w:pStyle w:val="TableParagraph"/>
              <w:spacing w:line="201" w:lineRule="exact"/>
              <w:jc w:val="center"/>
              <w:rPr>
                <w:rFonts w:ascii="Arial" w:hAnsi="Arial" w:cs="Arial"/>
                <w:sz w:val="18"/>
              </w:rPr>
            </w:pPr>
            <w:r>
              <w:rPr>
                <w:rFonts w:ascii="Arial" w:hAnsi="Arial" w:cs="Arial"/>
                <w:sz w:val="18"/>
              </w:rPr>
              <w:t>Informes públicos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150A7127" w:rsidR="00527F55" w:rsidRPr="0030667A" w:rsidRDefault="00527F55" w:rsidP="00527F55">
            <w:pPr>
              <w:pStyle w:val="TableParagraph"/>
              <w:ind w:left="181" w:right="175"/>
              <w:rPr>
                <w:rFonts w:ascii="Arial" w:hAnsi="Arial" w:cs="Arial"/>
                <w:sz w:val="18"/>
              </w:rPr>
            </w:pPr>
            <w:r>
              <w:rPr>
                <w:rFonts w:ascii="Arial" w:hAnsi="Arial" w:cs="Arial"/>
                <w:sz w:val="18"/>
              </w:rPr>
              <w:t>Publicación presupuestal</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133C3E0A" w:rsidR="00557FD1" w:rsidRPr="00480816" w:rsidRDefault="00973752" w:rsidP="00557FD1">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07AA7EBB" w14:textId="0F6D011F" w:rsidR="00557FD1" w:rsidRPr="00480816" w:rsidRDefault="00973752" w:rsidP="00557FD1">
            <w:pPr>
              <w:pStyle w:val="TableParagraph"/>
              <w:spacing w:line="201" w:lineRule="exact"/>
              <w:jc w:val="center"/>
              <w:rPr>
                <w:rFonts w:ascii="Arial" w:hAnsi="Arial" w:cs="Arial"/>
                <w:sz w:val="18"/>
              </w:rPr>
            </w:pPr>
            <w:r>
              <w:rPr>
                <w:rFonts w:ascii="Arial" w:hAnsi="Arial" w:cs="Arial"/>
                <w:sz w:val="18"/>
              </w:rPr>
              <w:t>Informes públicos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3ECB1203" w:rsidR="00557FD1" w:rsidRPr="00480816" w:rsidRDefault="00973752" w:rsidP="00557FD1">
            <w:pPr>
              <w:pStyle w:val="TableParagraph"/>
              <w:ind w:left="282" w:right="32" w:hanging="248"/>
              <w:rPr>
                <w:rFonts w:ascii="Arial" w:hAnsi="Arial" w:cs="Arial"/>
                <w:sz w:val="18"/>
              </w:rPr>
            </w:pPr>
            <w:r>
              <w:rPr>
                <w:rFonts w:ascii="Arial" w:hAnsi="Arial" w:cs="Arial"/>
                <w:sz w:val="18"/>
              </w:rPr>
              <w:t>Publicación presupuestal</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76D63" w14:textId="77777777" w:rsidR="00096DF5" w:rsidRDefault="00096DF5" w:rsidP="00A113F8">
      <w:pPr>
        <w:spacing w:after="0" w:line="240" w:lineRule="auto"/>
      </w:pPr>
      <w:r>
        <w:separator/>
      </w:r>
    </w:p>
  </w:endnote>
  <w:endnote w:type="continuationSeparator" w:id="0">
    <w:p w14:paraId="78D3838E" w14:textId="77777777" w:rsidR="00096DF5" w:rsidRDefault="00096DF5"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E4F37" w14:textId="77777777" w:rsidR="00096DF5" w:rsidRDefault="00096DF5" w:rsidP="00A113F8">
      <w:pPr>
        <w:spacing w:after="0" w:line="240" w:lineRule="auto"/>
      </w:pPr>
      <w:r>
        <w:separator/>
      </w:r>
    </w:p>
  </w:footnote>
  <w:footnote w:type="continuationSeparator" w:id="0">
    <w:p w14:paraId="39190D54" w14:textId="77777777" w:rsidR="00096DF5" w:rsidRDefault="00096DF5"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60C3"/>
    <w:rsid w:val="000D6B1D"/>
    <w:rsid w:val="000D6F4C"/>
    <w:rsid w:val="000D7388"/>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3515"/>
    <w:rsid w:val="001138F3"/>
    <w:rsid w:val="00114112"/>
    <w:rsid w:val="00114491"/>
    <w:rsid w:val="001151CF"/>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D90"/>
    <w:rsid w:val="001364BB"/>
    <w:rsid w:val="00136C64"/>
    <w:rsid w:val="001372A7"/>
    <w:rsid w:val="001374C7"/>
    <w:rsid w:val="00140D7E"/>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6872"/>
    <w:rsid w:val="00156B1E"/>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EA4"/>
    <w:rsid w:val="00282F57"/>
    <w:rsid w:val="002831D4"/>
    <w:rsid w:val="00283667"/>
    <w:rsid w:val="00283C46"/>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6633"/>
    <w:rsid w:val="005267D0"/>
    <w:rsid w:val="00526E08"/>
    <w:rsid w:val="00526F60"/>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82D"/>
    <w:rsid w:val="0059329E"/>
    <w:rsid w:val="005936EF"/>
    <w:rsid w:val="005937A7"/>
    <w:rsid w:val="00593887"/>
    <w:rsid w:val="00594093"/>
    <w:rsid w:val="00595613"/>
    <w:rsid w:val="00595922"/>
    <w:rsid w:val="00595B5C"/>
    <w:rsid w:val="00595F05"/>
    <w:rsid w:val="0059653E"/>
    <w:rsid w:val="0059743C"/>
    <w:rsid w:val="005975D4"/>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5F1"/>
    <w:rsid w:val="005C5924"/>
    <w:rsid w:val="005C59FD"/>
    <w:rsid w:val="005C6207"/>
    <w:rsid w:val="005C62BF"/>
    <w:rsid w:val="005C6468"/>
    <w:rsid w:val="005C659C"/>
    <w:rsid w:val="005C68B6"/>
    <w:rsid w:val="005C6BE6"/>
    <w:rsid w:val="005C7564"/>
    <w:rsid w:val="005C75D7"/>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482D"/>
    <w:rsid w:val="00815276"/>
    <w:rsid w:val="00815378"/>
    <w:rsid w:val="00815438"/>
    <w:rsid w:val="00816489"/>
    <w:rsid w:val="00816A8C"/>
    <w:rsid w:val="00816B04"/>
    <w:rsid w:val="00816C77"/>
    <w:rsid w:val="00816F29"/>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D71"/>
    <w:rsid w:val="00BD614A"/>
    <w:rsid w:val="00BD68DF"/>
    <w:rsid w:val="00BD6BA3"/>
    <w:rsid w:val="00BD6ECF"/>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1</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2</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3</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4</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5</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6</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s>
</file>

<file path=customXml/itemProps1.xml><?xml version="1.0" encoding="utf-8"?>
<ds:datastoreItem xmlns:ds="http://schemas.openxmlformats.org/officeDocument/2006/customXml" ds:itemID="{16E616CB-2F40-4D32-A76F-7977A443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4340</TotalTime>
  <Pages>80</Pages>
  <Words>18302</Words>
  <Characters>100666</Characters>
  <Application>Microsoft Office Word</Application>
  <DocSecurity>0</DocSecurity>
  <Lines>838</Lines>
  <Paragraphs>237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162</cp:revision>
  <cp:lastPrinted>2025-06-13T02:22:00Z</cp:lastPrinted>
  <dcterms:created xsi:type="dcterms:W3CDTF">2025-06-08T21:33:00Z</dcterms:created>
  <dcterms:modified xsi:type="dcterms:W3CDTF">2025-07-02T22:27:00Z</dcterms:modified>
</cp:coreProperties>
</file>