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que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0E26B8">
        <w:t>A nivel mundial, el impuesto Predial y su</w:t>
      </w:r>
      <w:r w:rsidR="00E6505D" w:rsidRPr="000E26B8">
        <w:t xml:space="preserve"> impacto</w:t>
      </w:r>
      <w:r w:rsidR="00FC2C8B" w:rsidRPr="000E26B8">
        <w:t xml:space="preserve"> </w:t>
      </w:r>
      <w:r w:rsidRPr="000E26B8">
        <w:t>con el presupuest</w:t>
      </w:r>
      <w:r w:rsidR="00B37A52" w:rsidRPr="000E26B8">
        <w:t>o municipal son temas de creciente relevancia. Según el Banco Mundial</w:t>
      </w:r>
      <w:r w:rsidR="00EE54B7" w:rsidRPr="000E26B8">
        <w:t>, en 2020, los</w:t>
      </w:r>
      <w:r w:rsidR="00EE54B7">
        <w:t xml:space="preserve"> ingresos</w:t>
      </w:r>
      <w:r w:rsidR="00941BF1">
        <w:t xml:space="preserve"> fiscales en países en desarrollo se situaron en un promedio del 17% del P</w:t>
      </w:r>
      <w:r w:rsidR="006B1B10">
        <w:t>IB,</w:t>
      </w:r>
      <w:r w:rsidR="00BF43A6">
        <w:t xml:space="preserve"> destacando la subutilización</w:t>
      </w:r>
      <w:r w:rsidR="0090235D">
        <w:t xml:space="preserve"> del impuesto predial como fuente de financiamiento</w:t>
      </w:r>
      <w:r w:rsidR="00D76DB2">
        <w:t>.</w:t>
      </w:r>
      <w:r w:rsidR="00CF5E94">
        <w:t xml:space="preserve"> Esta ineficiencia en la </w:t>
      </w:r>
      <w:r w:rsidR="004D1220">
        <w:t xml:space="preserve">recaudación y la administración del tributo impide que </w:t>
      </w:r>
      <w:r w:rsidR="0030401A">
        <w:t>numerosos g</w:t>
      </w:r>
      <w:r w:rsidR="009756D3">
        <w:t>obiernos locales aseguren</w:t>
      </w:r>
      <w:r w:rsidR="00C94F25">
        <w:t xml:space="preserve"> recursos suficientes para la provisión de servicios</w:t>
      </w:r>
      <w:r w:rsidR="000766EF">
        <w:t xml:space="preserve"> básicos, situación que, según datos mundiales,</w:t>
      </w:r>
      <w:r w:rsidR="00563C57">
        <w:t xml:space="preserve"> afecta </w:t>
      </w:r>
      <w:r w:rsidR="003170EA">
        <w:t>el 40% de las ciudades en el mundo reportan dificultades para implementar</w:t>
      </w:r>
      <w:r w:rsidR="000A26BC">
        <w:t xml:space="preserve"> políticas fiscales efectivas que garanticen la sostenibilidad financiera</w:t>
      </w:r>
      <w:r w:rsidR="00E62D61">
        <w:t xml:space="preserve"> y el desarrollo urbano.</w:t>
      </w:r>
    </w:p>
    <w:p w14:paraId="10106157" w14:textId="6FEDD2A1" w:rsidR="004F48A2" w:rsidRPr="000E26B8"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CF604B">
        <w:t>artículo abordamos</w:t>
      </w:r>
      <w:r>
        <w:t xml:space="preserve"> algunos aspectos problemáticos de la institucionalización del cobro del impuesto predial asociados a efectos sociales y tensiones distributivas en contextos de conflicto armado. Para ello analizamos dos poblaciones colombianas que sufrieron niveles extraordinarios de violencia, desplazamiento y despojo: Turbo y El Carmen de Bolívar, desde el 2000 hasta el 2012. Siguiendo el trabajo de, traemos el enfoque de la economía política para enriquecer la mirada institucional del análisis. Usualmente la literatura nacional ha considerado el predial como un asunto administrativo y técnico, cuando es fundamentalmente un proceso político. Por ello, proponemos un abordaje que vincula tanto los aspectos institucionales y rutinarios del recaudo como las relaciones de poder que intervienen en la forma como el impuesto se desarrolla en el contexto local. No nos centramos en los aspectos “extremos” o puramente delincuenciales del cobro del predial. Por el contrario, nuestro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w:t>
      </w:r>
      <w:r w:rsidR="00CF604B">
        <w:lastRenderedPageBreak/>
        <w:t xml:space="preserve">diferentes municipios. Esto se explica, en parte, porque los estudios por lo </w:t>
      </w:r>
      <w:r w:rsidR="00CF604B" w:rsidRPr="000E26B8">
        <w:t>general privilegian análisis agregados que no distinguen entre lo urbano y lo rural.</w:t>
      </w:r>
    </w:p>
    <w:p w14:paraId="101AF966" w14:textId="6E288A09" w:rsidR="001B4E5F" w:rsidRDefault="002B046C" w:rsidP="002B046C">
      <w:pPr>
        <w:tabs>
          <w:tab w:val="left" w:pos="7740"/>
        </w:tabs>
        <w:spacing w:before="240" w:line="360" w:lineRule="auto"/>
        <w:jc w:val="both"/>
      </w:pPr>
      <w:r w:rsidRPr="000E26B8">
        <w:t xml:space="preserve">       </w:t>
      </w:r>
      <w:r w:rsidR="00E62D61" w:rsidRPr="000E26B8">
        <w:t>En el ámbito nacional</w:t>
      </w:r>
      <w:r w:rsidR="008F5FBC" w:rsidRPr="000E26B8">
        <w:t xml:space="preserve"> Perú</w:t>
      </w:r>
      <w:r w:rsidR="00ED058E" w:rsidRPr="000E26B8">
        <w:t>, la Superinten</w:t>
      </w:r>
      <w:r w:rsidR="005F2918" w:rsidRPr="000E26B8">
        <w:t xml:space="preserve">dencia Nacional de Aduanas y de Administración </w:t>
      </w:r>
      <w:r w:rsidR="004267C3" w:rsidRPr="000E26B8">
        <w:t>Tributaria</w:t>
      </w:r>
      <w:r w:rsidR="00811346" w:rsidRPr="000E26B8">
        <w:t xml:space="preserve"> </w:t>
      </w:r>
      <w:r w:rsidR="007956AB" w:rsidRPr="000E26B8">
        <w:t>(SUNAT</w:t>
      </w:r>
      <w:r w:rsidR="00811346" w:rsidRPr="000E26B8">
        <w:t>) revelo en 2021 que solo el 54</w:t>
      </w:r>
      <w:r w:rsidR="007956AB" w:rsidRPr="000E26B8">
        <w:t xml:space="preserve">% </w:t>
      </w:r>
      <w:r w:rsidR="005A2C22" w:rsidRPr="000E26B8">
        <w:t>de los municipios recaudan efectivamente el impuesto predial,</w:t>
      </w:r>
      <w:r w:rsidR="00DA1119" w:rsidRPr="000E26B8">
        <w:t xml:space="preserve"> restando</w:t>
      </w:r>
      <w:r w:rsidR="002E0542" w:rsidRPr="000E26B8">
        <w:t xml:space="preserve"> capacidad de inversión en infraestructura </w:t>
      </w:r>
      <w:r w:rsidR="00EC791E" w:rsidRPr="000E26B8">
        <w:t xml:space="preserve">y servicios </w:t>
      </w:r>
      <w:r w:rsidR="00C3474A" w:rsidRPr="000E26B8">
        <w:t>públicos.</w:t>
      </w:r>
      <w:r w:rsidR="005A2C22" w:rsidRPr="000E26B8">
        <w:t xml:space="preserve"> Esta situación</w:t>
      </w:r>
      <w:r w:rsidR="00FE1924" w:rsidRPr="000E26B8">
        <w:t xml:space="preserve"> se agrava por la informalidad y la evasión fiscal, que alcanzan niveles del 30% en algunas regiones.</w:t>
      </w:r>
      <w:r w:rsidR="00D303C9" w:rsidRPr="000E26B8">
        <w:t xml:space="preserve"> La ca</w:t>
      </w:r>
      <w:r w:rsidR="00872EEA" w:rsidRPr="000E26B8">
        <w:t>rencia de educación tributaria y la desconfianza</w:t>
      </w:r>
      <w:r w:rsidR="00CF482B" w:rsidRPr="000E26B8">
        <w:t xml:space="preserve"> ciudadana en las instituciones.</w:t>
      </w:r>
    </w:p>
    <w:p w14:paraId="39AEE9C9" w14:textId="11991BA2" w:rsidR="00A201B4" w:rsidRPr="000E26B8"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0E26B8">
        <w:t>A nivel local,</w:t>
      </w:r>
      <w:r w:rsidR="00DD10DA" w:rsidRPr="000E26B8">
        <w:t xml:space="preserve"> en dicha </w:t>
      </w:r>
      <w:r w:rsidR="001B4E5F" w:rsidRPr="000E26B8">
        <w:t>Municipalidad Provincial de Tacna</w:t>
      </w:r>
      <w:r w:rsidR="006B7C50" w:rsidRPr="000E26B8">
        <w:t>, enfrenta grave crisis</w:t>
      </w:r>
      <w:r w:rsidR="0009345C" w:rsidRPr="000E26B8">
        <w:t xml:space="preserve"> financiera</w:t>
      </w:r>
      <w:r w:rsidR="001B4E5F" w:rsidRPr="000E26B8">
        <w:t xml:space="preserve">. Datos del Instituto Nacional </w:t>
      </w:r>
      <w:r w:rsidR="008E665C" w:rsidRPr="000E26B8">
        <w:t>de Estadística e Informática (INEI)</w:t>
      </w:r>
      <w:r w:rsidR="001151CF" w:rsidRPr="000E26B8">
        <w:t>, la recaudación del impuesto predial</w:t>
      </w:r>
      <w:r w:rsidR="00D4521C" w:rsidRPr="000E26B8">
        <w:t xml:space="preserve"> 2022 llego al </w:t>
      </w:r>
      <w:r w:rsidR="00F17EE6" w:rsidRPr="000E26B8">
        <w:t>45% d</w:t>
      </w:r>
      <w:r w:rsidR="00D4521C" w:rsidRPr="000E26B8">
        <w:t>e la meta</w:t>
      </w:r>
      <w:r w:rsidR="001C4B4E" w:rsidRPr="000E26B8">
        <w:t>, lo que representa una</w:t>
      </w:r>
      <w:r w:rsidR="007C5783" w:rsidRPr="000E26B8">
        <w:t xml:space="preserve"> </w:t>
      </w:r>
      <w:r w:rsidR="0093057D" w:rsidRPr="000E26B8">
        <w:t>pérdida</w:t>
      </w:r>
      <w:r w:rsidR="007C5783" w:rsidRPr="000E26B8">
        <w:t xml:space="preserve"> de aproximadamente 2 millones de soles.</w:t>
      </w:r>
      <w:r w:rsidR="0083388E" w:rsidRPr="000E26B8">
        <w:t xml:space="preserve"> Este déficit presupuestario merma considerablemente</w:t>
      </w:r>
      <w:r w:rsidR="00E27347" w:rsidRPr="000E26B8">
        <w:t xml:space="preserve"> la capacidad de la municipalidad para llevar a cabo proyectos</w:t>
      </w:r>
      <w:r w:rsidR="00CF66D9" w:rsidRPr="000E26B8">
        <w:t xml:space="preserve"> de desarrollo social y urbano. A esto se suma la</w:t>
      </w:r>
      <w:r w:rsidR="00015CFE" w:rsidRPr="000E26B8">
        <w:t xml:space="preserve"> percepción </w:t>
      </w:r>
      <w:r w:rsidR="00192460" w:rsidRPr="000E26B8">
        <w:t>pública</w:t>
      </w:r>
      <w:r w:rsidR="00015CFE" w:rsidRPr="000E26B8">
        <w:t xml:space="preserve"> de corrupción y opacidad en la gestión</w:t>
      </w:r>
      <w:r w:rsidR="00465D99" w:rsidRPr="000E26B8">
        <w:t xml:space="preserve"> de los fondos públicos, lo que erosiona la</w:t>
      </w:r>
      <w:r w:rsidR="00014065" w:rsidRPr="000E26B8">
        <w:t xml:space="preserve"> credibilidad</w:t>
      </w:r>
      <w:r w:rsidR="004729B8" w:rsidRPr="000E26B8">
        <w:t xml:space="preserve"> institucional y deteriora la relación entre el gobierno local y la</w:t>
      </w:r>
      <w:r w:rsidR="00667FED" w:rsidRPr="000E26B8">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w:t>
      </w:r>
      <w:r w:rsidR="00DA73D0" w:rsidRPr="000E26B8">
        <w:lastRenderedPageBreak/>
        <w:t>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000E6220" w14:textId="288CB2D8" w:rsidR="007536DF" w:rsidRPr="000E26B8" w:rsidRDefault="007536DF" w:rsidP="009564D5">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w:t>
      </w:r>
      <w:r w:rsidR="007254A7" w:rsidRPr="00E64221">
        <w:rPr>
          <w:noProof/>
        </w:rPr>
        <w:t>,</w:t>
      </w:r>
      <w:r w:rsidRPr="00E64221">
        <w:rPr>
          <w:noProof/>
        </w:rPr>
        <w:t xml:space="preserve"> </w:t>
      </w:r>
      <w:r w:rsidR="007254A7" w:rsidRPr="00E64221">
        <w:rPr>
          <w:noProof/>
          <w:highlight w:val="darkGreen"/>
        </w:rPr>
        <w:t>Martínez &amp; Cano(2023),</w:t>
      </w:r>
      <w:r w:rsidR="007254A7">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rsidR="001A6CDF">
        <w:t xml:space="preserve">en busca de contribuir a un mejor entendimiento en la relación de las capacidades  locales y los recursos que perciben ayuntamiento por transferencias federales, con el propósito de ayudar a comprender los mecanismos que ayudan a fortalecer las haciendas publica local, mediante la generación de ingresos propios y mediante un mayor manejo de los recursos existentes. </w:t>
      </w:r>
    </w:p>
    <w:p w14:paraId="69530BEE" w14:textId="7E52BBD7" w:rsidR="004F48A2" w:rsidRDefault="00954B6E" w:rsidP="000E26B8">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r w:rsidRPr="00E64221">
        <w:rPr>
          <w:sz w:val="25"/>
          <w:szCs w:val="25"/>
          <w:highlight w:val="darkGreen"/>
        </w:rPr>
        <w:t>Varga  y otros (2022)</w:t>
      </w:r>
      <w:r w:rsidRPr="000E26B8">
        <w:rPr>
          <w:sz w:val="25"/>
          <w:szCs w:val="25"/>
        </w:rPr>
        <w:t xml:space="preserve"> afirma que, e</w:t>
      </w:r>
      <w:r w:rsidR="00E063E4" w:rsidRPr="000E26B8">
        <w:rPr>
          <w:sz w:val="25"/>
          <w:szCs w:val="25"/>
        </w:rPr>
        <w:t xml:space="preserv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w:t>
      </w:r>
      <w:r w:rsidR="00351937" w:rsidRPr="000E26B8">
        <w:rPr>
          <w:sz w:val="25"/>
          <w:szCs w:val="25"/>
        </w:rPr>
        <w:t>asociados</w:t>
      </w:r>
      <w:r w:rsidR="000E26B8">
        <w:rPr>
          <w:sz w:val="25"/>
          <w:szCs w:val="25"/>
        </w:rPr>
        <w:t>.</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66BC09D1" w14:textId="77777777" w:rsidR="00724DB5" w:rsidRPr="000E26B8" w:rsidRDefault="00724DB5" w:rsidP="00724DB5">
      <w:pPr>
        <w:pStyle w:val="Prrafodelista"/>
        <w:tabs>
          <w:tab w:val="left" w:pos="7740"/>
        </w:tabs>
        <w:spacing w:before="240" w:line="360" w:lineRule="auto"/>
        <w:ind w:left="0"/>
        <w:jc w:val="both"/>
      </w:pPr>
      <w:r w:rsidRPr="000E26B8">
        <w:t xml:space="preserve">      </w:t>
      </w:r>
      <w:r w:rsidRPr="001D6A9E">
        <w:rPr>
          <w:b/>
          <w:bCs/>
        </w:rPr>
        <w:t>PRESUPUESTO</w:t>
      </w: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 xml:space="preserve">el estudio y el contexto de la investigación, permite descubrir el grado de apropiación profesional contable de la sostenibilidad desde la perspectiva de </w:t>
      </w:r>
      <w:r w:rsidRPr="000E26B8">
        <w:lastRenderedPageBreak/>
        <w:t>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1855F72C" w14:textId="43E412AA" w:rsidR="0027383B" w:rsidRDefault="0027383B" w:rsidP="0027383B">
      <w:pPr>
        <w:spacing w:before="240" w:line="360" w:lineRule="auto"/>
        <w:jc w:val="both"/>
      </w:pPr>
      <w:r w:rsidRPr="0027383B">
        <w:t xml:space="preserve">Sobre este punto </w:t>
      </w:r>
      <w:r w:rsidRPr="0027383B">
        <w:rPr>
          <w:noProof/>
        </w:rPr>
        <w:t xml:space="preserve">Espinoza  &amp; Mendoza  (2022),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relaciones presentadas. El cumplimiento de este objetivo generará una herramienta de toma de decisiones a nivel de gobiernos municipales en cuanto a niveles de recaudo por impuesto predial y uso adecuado de los ingresos corrientes.</w:t>
      </w:r>
    </w:p>
    <w:p w14:paraId="752CEB67" w14:textId="77777777"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1078CD">
        <w:rPr>
          <w:noProof/>
          <w:highlight w:val="red"/>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092BECED" w14:textId="3CD1D8C5" w:rsidR="00CD1967" w:rsidRPr="00687EBA" w:rsidRDefault="00687EBA" w:rsidP="0027383B">
      <w:pPr>
        <w:spacing w:before="240" w:line="360" w:lineRule="auto"/>
        <w:jc w:val="both"/>
      </w:pPr>
      <w:r>
        <w:rPr>
          <w:shd w:val="clear" w:color="auto" w:fill="FFFFFF"/>
        </w:rPr>
        <w:t xml:space="preserve">           </w:t>
      </w:r>
      <w:r w:rsidR="00370A29">
        <w:rPr>
          <w:shd w:val="clear" w:color="auto" w:fill="FFFFFF"/>
        </w:rPr>
        <w:t>Este es</w:t>
      </w:r>
      <w:r>
        <w:rPr>
          <w:shd w:val="clear" w:color="auto" w:fill="FFFFFF"/>
        </w:rPr>
        <w:t xml:space="preserve">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considera a la contabilidad como el registro sistemático de las operaciones financieras mediante el principio de devengado, que </w:t>
      </w:r>
      <w:r w:rsidRPr="00687EBA">
        <w:rPr>
          <w:shd w:val="clear" w:color="auto" w:fill="FFFFFF"/>
        </w:rPr>
        <w:lastRenderedPageBreak/>
        <w:t>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lastRenderedPageBreak/>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w:t>
      </w:r>
      <w:r w:rsidR="004F48A2" w:rsidRPr="00464F29">
        <w:rPr>
          <w:highlight w:val="lightGray"/>
        </w:rPr>
        <w:lastRenderedPageBreak/>
        <w:t xml:space="preserve">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w:t>
      </w:r>
      <w:r w:rsidRPr="00827D50">
        <w:lastRenderedPageBreak/>
        <w:t>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w:t>
      </w:r>
      <w:r w:rsidRPr="000E26B8">
        <w:rPr>
          <w:lang w:val="es-ES"/>
        </w:rPr>
        <w:lastRenderedPageBreak/>
        <w:t>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w:t>
      </w:r>
      <w:r w:rsidRPr="000E26B8">
        <w:rPr>
          <w:bCs/>
          <w:szCs w:val="28"/>
          <w:shd w:val="clear" w:color="auto" w:fill="FFFFFF"/>
        </w:rPr>
        <w:lastRenderedPageBreak/>
        <w:t>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 xml:space="preserve">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w:t>
      </w:r>
      <w:r w:rsidRPr="000E26B8">
        <w:lastRenderedPageBreak/>
        <w:t>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1B40704D" w:rsidR="00724DB5" w:rsidRPr="005362CE" w:rsidRDefault="005362CE" w:rsidP="004B6E8F">
      <w:pPr>
        <w:spacing w:before="240" w:line="360" w:lineRule="auto"/>
        <w:jc w:val="both"/>
        <w:rPr>
          <w:b/>
          <w:bCs/>
          <w:sz w:val="28"/>
          <w:szCs w:val="28"/>
        </w:rPr>
      </w:pPr>
      <w:r w:rsidRPr="005362CE">
        <w:rPr>
          <w:b/>
          <w:bCs/>
        </w:rPr>
        <w:lastRenderedPageBreak/>
        <w:t>DETERMINACION TRIBUTARIA</w:t>
      </w:r>
      <w:r>
        <w:t xml:space="preserve"> </w:t>
      </w:r>
      <w:r>
        <w:rPr>
          <w:noProof/>
        </w:rPr>
        <w:t xml:space="preserve">Vilca, (2021) nos dice que 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w:t>
      </w:r>
      <w:r w:rsidRPr="000E26B8">
        <w:rPr>
          <w:bCs/>
        </w:rPr>
        <w:lastRenderedPageBreak/>
        <w:t>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w:t>
      </w:r>
      <w:r w:rsidRPr="000E26B8">
        <w:rPr>
          <w:shd w:val="clear" w:color="auto" w:fill="FFFFFF"/>
        </w:rPr>
        <w:lastRenderedPageBreak/>
        <w:t>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lastRenderedPageBreak/>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cuentas </w:t>
      </w:r>
      <w:r>
        <w:t xml:space="preserve"> </w:t>
      </w:r>
      <w:r w:rsidR="00F03531">
        <w:t>en</w:t>
      </w:r>
      <w:r>
        <w:t xml:space="preserve">n la gestión de los gobiernos municipales, el acceso a información y transparencia sobre inversión pública y ejecución presupuestal es muy </w:t>
      </w:r>
      <w:r>
        <w:lastRenderedPageBreak/>
        <w:t>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 xml:space="preserve">Gobierno central es encargado de generar ingresos en el país, trabajando en conjunto con las diversas actividades que generan entradas en el Ecuador, teniendo como principal fuente los ingresos tributarios y la venta del petróleo en crudo y sus </w:t>
      </w:r>
      <w:r>
        <w:lastRenderedPageBreak/>
        <w:t>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 xml:space="preserve">los clasificadores e indicadores posibilitan la elaboración de reportes de impacto que evidencian el grado de desarrollo de las políticas públicas. Para mejorar su adopción, </w:t>
      </w:r>
      <w:r w:rsidRPr="000E26B8">
        <w:rPr>
          <w:color w:val="000000"/>
          <w:shd w:val="clear" w:color="auto" w:fill="FFFFFF"/>
        </w:rPr>
        <w:lastRenderedPageBreak/>
        <w:t>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 xml:space="preserve">us resultados </w:t>
      </w:r>
      <w:r w:rsidR="00B33FEF">
        <w:lastRenderedPageBreak/>
        <w:t>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Huachez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o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lastRenderedPageBreak/>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lastRenderedPageBreak/>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lastRenderedPageBreak/>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lastRenderedPageBreak/>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lastRenderedPageBreak/>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lastRenderedPageBreak/>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Kolmogorov-Smirnov</w:t>
            </w:r>
            <w:r w:rsidRPr="00F078CD">
              <w:rPr>
                <w:rFonts w:eastAsiaTheme="minorHAnsi"/>
                <w:sz w:val="18"/>
                <w:szCs w:val="18"/>
                <w:vertAlign w:val="superscript"/>
                <w:lang w:eastAsia="en-US"/>
              </w:rPr>
              <w:t>a</w:t>
            </w:r>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gl</w:t>
            </w:r>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gl</w:t>
            </w:r>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a. Corrección de significación de Lilliefors</w:t>
            </w:r>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Como parte de una análisis estadístico previo y observando que la muestra es menor igual a 50 se optara por la prueba de normalidad para las variables Impuesto predial y Presupuesto la de shapiro wilk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 xml:space="preserve">Al evidenciar en la tabla de frecuencia el p-valor “sig.Bilateral”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“sig.Bilateral”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 xml:space="preserve">Al evidenciar en la tabla de frecuencia el p-valor “sig.Bilateral”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“sig.Bilateral”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“sig.Bilateral”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215878">
      <w:pPr>
        <w:pStyle w:val="Ttulo1"/>
        <w:jc w:val="center"/>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variable presupuesto.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porciento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215878">
      <w:pPr>
        <w:pStyle w:val="Ttulo1"/>
        <w:jc w:val="center"/>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hallo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r w:rsidR="00243836">
        <w:t>variable presupuest</w:t>
      </w:r>
      <w:r w:rsidR="002B11F5">
        <w:t>o</w:t>
      </w:r>
      <w:r>
        <w:t xml:space="preserve"> en la municipalidad provincial de Tacna, 2022. Ya que se logro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r w:rsidR="00243836">
        <w:t>variable presupuest</w:t>
      </w:r>
      <w:r w:rsidR="002B11F5">
        <w:t>o</w:t>
      </w:r>
      <w:r>
        <w:t xml:space="preserve"> en la municipalidad provincial de Tacna, 2022. Ya que se logro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apreciación  valorativa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variable presupuest</w:t>
      </w:r>
      <w:r w:rsidR="004B743A">
        <w:t>o</w:t>
      </w:r>
      <w:r>
        <w:t xml:space="preserve"> en la municipalidad provincial de Tacna,2022. Ya que se logro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t>variable presupues</w:t>
      </w:r>
      <w:r w:rsidR="004B743A">
        <w:t>to</w:t>
      </w:r>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73846">
      <w:pPr>
        <w:pStyle w:val="Ttulo1"/>
        <w:numPr>
          <w:ilvl w:val="0"/>
          <w:numId w:val="22"/>
        </w:numPr>
        <w:jc w:val="cente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METODOLOGíA</w:t>
            </w:r>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eficiencia y</w:t>
            </w:r>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Estimado Juez: leer con detenimiento los ítems y calificar en una escala de 0 ó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r w:rsidRPr="008C1D8B">
              <w:rPr>
                <w:rFonts w:ascii="Arial" w:hAnsi="Arial" w:cs="Arial"/>
                <w:sz w:val="18"/>
                <w:szCs w:val="18"/>
              </w:rPr>
              <w:t>Suficien</w:t>
            </w:r>
            <w:r w:rsidRPr="008C1D8B">
              <w:rPr>
                <w:rFonts w:ascii="Arial" w:hAnsi="Arial" w:cs="Arial"/>
                <w:spacing w:val="-5"/>
                <w:sz w:val="18"/>
                <w:szCs w:val="18"/>
              </w:rPr>
              <w:t xml:space="preserve"> cia</w:t>
            </w:r>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r w:rsidRPr="008C1D8B">
              <w:rPr>
                <w:rFonts w:ascii="Arial" w:hAnsi="Arial" w:cs="Arial"/>
                <w:sz w:val="18"/>
                <w:szCs w:val="18"/>
              </w:rPr>
              <w:t>Coheren</w:t>
            </w:r>
            <w:r w:rsidRPr="008C1D8B">
              <w:rPr>
                <w:rFonts w:ascii="Arial" w:hAnsi="Arial" w:cs="Arial"/>
                <w:spacing w:val="-13"/>
                <w:sz w:val="18"/>
                <w:szCs w:val="18"/>
              </w:rPr>
              <w:t xml:space="preserve"> </w:t>
            </w:r>
            <w:r w:rsidRPr="008C1D8B">
              <w:rPr>
                <w:rFonts w:ascii="Arial" w:hAnsi="Arial" w:cs="Arial"/>
                <w:spacing w:val="-5"/>
                <w:sz w:val="18"/>
                <w:szCs w:val="18"/>
              </w:rPr>
              <w:t>cia</w:t>
            </w:r>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r w:rsidRPr="008C1D8B">
              <w:rPr>
                <w:rFonts w:ascii="Arial" w:hAnsi="Arial" w:cs="Arial"/>
                <w:spacing w:val="-5"/>
                <w:sz w:val="18"/>
                <w:szCs w:val="18"/>
              </w:rPr>
              <w:t>cia</w:t>
            </w:r>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r w:rsidRPr="00FF2361">
              <w:rPr>
                <w:rFonts w:ascii="Arial" w:hAnsi="Arial" w:cs="Arial"/>
                <w:sz w:val="18"/>
              </w:rPr>
              <w:t>Deltron</w:t>
            </w:r>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Estimado Juez: leer con detenimiento los ítems y calificar en una escala de 0 ó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Estimado Juez: leer con detenimiento los ítems y calificar en una escala de 0 ó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r w:rsidRPr="00480816">
              <w:rPr>
                <w:rFonts w:ascii="Arial" w:hAnsi="Arial" w:cs="Arial"/>
                <w:sz w:val="18"/>
              </w:rPr>
              <w:t>Suficien</w:t>
            </w:r>
            <w:r w:rsidRPr="00480816">
              <w:rPr>
                <w:rFonts w:ascii="Arial" w:hAnsi="Arial" w:cs="Arial"/>
                <w:spacing w:val="-5"/>
                <w:sz w:val="18"/>
              </w:rPr>
              <w:t xml:space="preserve"> cia</w:t>
            </w:r>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r w:rsidRPr="00480816">
              <w:rPr>
                <w:rFonts w:ascii="Arial" w:hAnsi="Arial" w:cs="Arial"/>
                <w:sz w:val="18"/>
              </w:rPr>
              <w:t>Coheren</w:t>
            </w:r>
            <w:r w:rsidRPr="00480816">
              <w:rPr>
                <w:rFonts w:ascii="Arial" w:hAnsi="Arial" w:cs="Arial"/>
                <w:spacing w:val="-13"/>
                <w:sz w:val="18"/>
              </w:rPr>
              <w:t xml:space="preserve"> </w:t>
            </w:r>
            <w:r w:rsidRPr="00480816">
              <w:rPr>
                <w:rFonts w:ascii="Arial" w:hAnsi="Arial" w:cs="Arial"/>
                <w:spacing w:val="-5"/>
                <w:sz w:val="18"/>
              </w:rPr>
              <w:t>cia</w:t>
            </w:r>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r w:rsidRPr="00480816">
              <w:rPr>
                <w:rFonts w:ascii="Arial" w:hAnsi="Arial" w:cs="Arial"/>
                <w:spacing w:val="-5"/>
                <w:sz w:val="18"/>
              </w:rPr>
              <w:t>cia</w:t>
            </w:r>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81F8" w14:textId="77777777" w:rsidR="0063274F" w:rsidRDefault="0063274F" w:rsidP="00A113F8">
      <w:pPr>
        <w:spacing w:after="0" w:line="240" w:lineRule="auto"/>
      </w:pPr>
      <w:r>
        <w:separator/>
      </w:r>
    </w:p>
  </w:endnote>
  <w:endnote w:type="continuationSeparator" w:id="0">
    <w:p w14:paraId="21A5363B" w14:textId="77777777" w:rsidR="0063274F" w:rsidRDefault="0063274F"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3327" w14:textId="77777777" w:rsidR="0063274F" w:rsidRDefault="0063274F" w:rsidP="00A113F8">
      <w:pPr>
        <w:spacing w:after="0" w:line="240" w:lineRule="auto"/>
      </w:pPr>
      <w:r>
        <w:separator/>
      </w:r>
    </w:p>
  </w:footnote>
  <w:footnote w:type="continuationSeparator" w:id="0">
    <w:p w14:paraId="2D259630" w14:textId="77777777" w:rsidR="0063274F" w:rsidRDefault="0063274F"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Jor22</b:Tag>
    <b:SourceType>JournalArticle</b:SourceType>
    <b:Guid>{F995D9E5-25AC-4D92-A9DE-3EBE7D5B40CA}</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b:Title>
    <b:JournalName>Articulo</b:JournalName>
    <b:Year>2022</b:Year>
    <b:URL>file:///C:/Users/gyfhe/Downloads/CULTURA_TRIBUTARIA_EN_EL_PAGO_DE_IMPUESTOS_PREDIAL.pdf</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1</b:RefOrder>
  </b:Source>
</b:Sources>
</file>

<file path=customXml/itemProps1.xml><?xml version="1.0" encoding="utf-8"?>
<ds:datastoreItem xmlns:ds="http://schemas.openxmlformats.org/officeDocument/2006/customXml" ds:itemID="{FF3D781A-DC95-4490-ABDA-447FC9623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79</Pages>
  <Words>18110</Words>
  <Characters>99611</Characters>
  <Application>Microsoft Office Word</Application>
  <DocSecurity>0</DocSecurity>
  <Lines>830</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156</cp:revision>
  <cp:lastPrinted>2025-06-13T02:22:00Z</cp:lastPrinted>
  <dcterms:created xsi:type="dcterms:W3CDTF">2025-06-08T21:33:00Z</dcterms:created>
  <dcterms:modified xsi:type="dcterms:W3CDTF">2025-07-01T04:38:00Z</dcterms:modified>
</cp:coreProperties>
</file>