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 Antiqua" w:cs="Book Antiqua" w:eastAsia="Book Antiqua" w:hAnsi="Book Antiqua"/>
          <w:b w:val="1"/>
          <w:sz w:val="32"/>
          <w:szCs w:val="32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2"/>
          <w:szCs w:val="32"/>
          <w:u w:val="single"/>
          <w:rtl w:val="0"/>
        </w:rPr>
        <w:t xml:space="preserve">Calendario de lecturas Grupo 13</w:t>
      </w:r>
    </w:p>
    <w:p w:rsidR="00000000" w:rsidDel="00000000" w:rsidP="00000000" w:rsidRDefault="00000000" w:rsidRPr="00000000" w14:paraId="00000002">
      <w:pPr>
        <w:jc w:val="center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Martes de 9 a 10:30h</w:t>
      </w:r>
    </w:p>
    <w:p w:rsidR="00000000" w:rsidDel="00000000" w:rsidP="00000000" w:rsidRDefault="00000000" w:rsidRPr="00000000" w14:paraId="00000003">
      <w:pPr>
        <w:jc w:val="center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Miércoles de 9 a 10:30h</w:t>
      </w:r>
    </w:p>
    <w:p w:rsidR="00000000" w:rsidDel="00000000" w:rsidP="00000000" w:rsidRDefault="00000000" w:rsidRPr="00000000" w14:paraId="00000004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Introducción</w:t>
            </w:r>
          </w:p>
        </w:tc>
      </w:tr>
    </w:tbl>
    <w:p w:rsidR="00000000" w:rsidDel="00000000" w:rsidP="00000000" w:rsidRDefault="00000000" w:rsidRPr="00000000" w14:paraId="00000007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 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27 de febrero (sin </w:t>
            </w:r>
            <w:r w:rsidDel="00000000" w:rsidR="00000000" w:rsidRPr="00000000">
              <w:rPr>
                <w:rFonts w:ascii="Book Antiqua" w:cs="Book Antiqua" w:eastAsia="Book Antiqua" w:hAnsi="Book Antiqua"/>
                <w:i w:val="1"/>
                <w:sz w:val="22"/>
                <w:szCs w:val="22"/>
                <w:rtl w:val="0"/>
              </w:rPr>
              <w:t xml:space="preserve">quiz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1, 2, 3 y 4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Presentación del curso - ¿Qué estudia la economía? - Economía como ciencia - Usando gráficos - Explorando datos - Pensando con modelos - Correlación y causalidad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Teoría del consumidor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de febrero 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2"/>
                <w:szCs w:val="22"/>
                <w:rtl w:val="0"/>
              </w:rPr>
              <w:t xml:space="preserve">QUIZ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5 y 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Escasez - </w:t>
            </w:r>
            <w:r w:rsidDel="00000000" w:rsidR="00000000" w:rsidRPr="00000000">
              <w:rPr>
                <w:rFonts w:ascii="Book Antiqua" w:cs="Book Antiqua" w:eastAsia="Book Antiqua" w:hAnsi="Book Antiqua"/>
                <w:i w:val="1"/>
                <w:sz w:val="22"/>
                <w:szCs w:val="22"/>
                <w:rtl w:val="0"/>
              </w:rPr>
              <w:t xml:space="preserve">Ceteris paribus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 - Restricción presupuestaria - Costo de oportunidad - Tasa marginal de transformación</w:t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61"/>
        <w:gridCol w:w="2764"/>
        <w:gridCol w:w="2765"/>
        <w:tblGridChange w:id="0">
          <w:tblGrid>
            <w:gridCol w:w="2761"/>
            <w:gridCol w:w="2764"/>
            <w:gridCol w:w="2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3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5 de marzo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7 y 8 + Video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Preferencias - Tasa marginales de sustitución - Elegir con escasez – Maximización de la utilidad – Efecto ingreso y sustitución  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4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6 de marzo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8, 9 y 10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Modelo Consumo-Ocio - Curva precio-consumo - Curva de demanda del consumidor - La demanda de mercado: agregación de las curvas de demanda de los consumidores - Disposición a pagar – Determinantes de la curva de demanda y desplazamientos 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Teoría de la firma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65"/>
        <w:gridCol w:w="2560"/>
        <w:gridCol w:w="2765"/>
        <w:tblGridChange w:id="0">
          <w:tblGrid>
            <w:gridCol w:w="2965"/>
            <w:gridCol w:w="2560"/>
            <w:gridCol w:w="2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5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11 y 13                                                                                                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12 de marzo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Maximización de beneficios - Costo de oportunidad - Costo medio y marginal - Función de costos de corto 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6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13 de marzo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13 y 14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Función de costos de corto y largo plazo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7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19 de marzo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13 y 14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Curva de oferta de la firma - La oferta de mercado: agregación de las curvas de oferta de las empresas del mercado - Disposición a cobrar 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Interacciones sociales</w:t>
            </w:r>
          </w:p>
        </w:tc>
      </w:tr>
    </w:tbl>
    <w:p w:rsidR="00000000" w:rsidDel="00000000" w:rsidP="00000000" w:rsidRDefault="00000000" w:rsidRPr="00000000" w14:paraId="00000051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25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63"/>
        <w:gridCol w:w="2732"/>
        <w:gridCol w:w="2764"/>
        <w:tblGridChange w:id="0">
          <w:tblGrid>
            <w:gridCol w:w="2763"/>
            <w:gridCol w:w="2732"/>
            <w:gridCol w:w="2764"/>
          </w:tblGrid>
        </w:tblGridChange>
      </w:tblGrid>
      <w:tr>
        <w:trPr>
          <w:cantSplit w:val="0"/>
          <w:trHeight w:val="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8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20 de marzo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Capítulo 18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Ventaja absoluta y comparativa - División de trabajo y especialización - Modelo ricardiano - Dilemas sociales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9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26 de marzo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 20 </w:t>
            </w:r>
          </w:p>
        </w:tc>
      </w:tr>
      <w:tr>
        <w:trPr>
          <w:cantSplit w:val="0"/>
          <w:trHeight w:val="718" w:hRule="atLeast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Teoría de juegos - Mejor respuesta - Coordinación - Juegos de Suma Cero - Equilibrio de Nash - Interacción repetida - Juego del ultimátum - Dilema del prisionero – Altruismo – Cooperación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10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27 de marzo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 19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Instituciones - Poder de negociación - Asignaciones - Criterio de pareto - Eficiencia de Pareto - Justicia - Rawls y el velo de la ignorancia </w:t>
            </w:r>
          </w:p>
        </w:tc>
      </w:tr>
    </w:tbl>
    <w:p w:rsidR="00000000" w:rsidDel="00000000" w:rsidP="00000000" w:rsidRDefault="00000000" w:rsidRPr="00000000" w14:paraId="0000006F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Mercado y equilibrio </w:t>
            </w:r>
          </w:p>
        </w:tc>
      </w:tr>
    </w:tbl>
    <w:p w:rsidR="00000000" w:rsidDel="00000000" w:rsidP="00000000" w:rsidRDefault="00000000" w:rsidRPr="00000000" w14:paraId="00000071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11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3 de abril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 15 </w:t>
            </w:r>
          </w:p>
        </w:tc>
      </w:tr>
      <w:tr>
        <w:trPr>
          <w:cantSplit w:val="0"/>
          <w:trHeight w:val="185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Oferta y demanda – Determinantes de cada curva – Desplazamientos sobre las curvas y desplazamientos de las curvas – Equilibrio de mercado</w:t>
            </w:r>
          </w:p>
        </w:tc>
      </w:tr>
    </w:tbl>
    <w:p w:rsidR="00000000" w:rsidDel="00000000" w:rsidP="00000000" w:rsidRDefault="00000000" w:rsidRPr="00000000" w14:paraId="0000007B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61"/>
        <w:gridCol w:w="2764"/>
        <w:gridCol w:w="2765"/>
        <w:tblGridChange w:id="0">
          <w:tblGrid>
            <w:gridCol w:w="2761"/>
            <w:gridCol w:w="2764"/>
            <w:gridCol w:w="2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12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9 de abril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16 y 17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Elasticidad de la demanda y de la oferta - Excedentes y pérdida de peso muerto 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Mercado  </w:t>
            </w:r>
          </w:p>
        </w:tc>
      </w:tr>
    </w:tbl>
    <w:p w:rsidR="00000000" w:rsidDel="00000000" w:rsidP="00000000" w:rsidRDefault="00000000" w:rsidRPr="00000000" w14:paraId="00000087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13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10 de abril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 21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Competencia perfecta – Características del mercado – Corto y largo plazo 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14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16 de abril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 22</w:t>
            </w:r>
          </w:p>
        </w:tc>
      </w:tr>
    </w:tbl>
    <w:p w:rsidR="00000000" w:rsidDel="00000000" w:rsidP="00000000" w:rsidRDefault="00000000" w:rsidRPr="00000000" w14:paraId="00000098">
      <w:pPr>
        <w:ind w:left="18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Concentración y descentralización de poder económico - Poder de mercado - Fallas de mercado - Monopolio - Competencia monopolística - Oligopolio </w:t>
      </w:r>
    </w:p>
    <w:p w:rsidR="00000000" w:rsidDel="00000000" w:rsidP="00000000" w:rsidRDefault="00000000" w:rsidRPr="00000000" w14:paraId="00000099">
      <w:pPr>
        <w:ind w:left="18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15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16 de abril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REPASO</w:t>
            </w:r>
          </w:p>
        </w:tc>
      </w:tr>
    </w:tbl>
    <w:p w:rsidR="00000000" w:rsidDel="00000000" w:rsidP="00000000" w:rsidRDefault="00000000" w:rsidRPr="00000000" w14:paraId="000000A0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RECESO DE EXAMENES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DESDE EL LUNES 22 DE ABRIL AL VIERNES 3 DE MAYO</w:t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8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Distorsiones al equilibrio de mercado</w:t>
            </w:r>
          </w:p>
        </w:tc>
      </w:tr>
    </w:tbl>
    <w:p w:rsidR="00000000" w:rsidDel="00000000" w:rsidP="00000000" w:rsidRDefault="00000000" w:rsidRPr="00000000" w14:paraId="000000A6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16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7 de mayo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17 y 24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Mercado versus planificación - Distorsiones al equilibrio de mercado – Impuestos al consumo y a la producción - Incidencia impositiva </w:t>
            </w:r>
          </w:p>
        </w:tc>
      </w:tr>
    </w:tbl>
    <w:p w:rsidR="00000000" w:rsidDel="00000000" w:rsidP="00000000" w:rsidRDefault="00000000" w:rsidRPr="00000000" w14:paraId="000000B0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17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8 de mayo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 24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Precios máximos y mínimos – Monopolio Natural - Regulación de monopolios</w:t>
            </w:r>
          </w:p>
        </w:tc>
      </w:tr>
    </w:tbl>
    <w:p w:rsidR="00000000" w:rsidDel="00000000" w:rsidP="00000000" w:rsidRDefault="00000000" w:rsidRPr="00000000" w14:paraId="000000BA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18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14 de mayo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25 y 27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Externalidades – Teorema de Coase – Impuestos pigouvianos – Bienes públicos</w:t>
            </w:r>
          </w:p>
        </w:tc>
      </w:tr>
    </w:tbl>
    <w:p w:rsidR="00000000" w:rsidDel="00000000" w:rsidP="00000000" w:rsidRDefault="00000000" w:rsidRPr="00000000" w14:paraId="000000C4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19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15 de mayo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 26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El problema del principal-agente - Asimetrías de información - Selección adversa – Mercados faltantes – Riesgo moral </w:t>
            </w:r>
          </w:p>
        </w:tc>
      </w:tr>
    </w:tbl>
    <w:p w:rsidR="00000000" w:rsidDel="00000000" w:rsidP="00000000" w:rsidRDefault="00000000" w:rsidRPr="00000000" w14:paraId="000000CE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Definiciones de la macroeconomía</w:t>
            </w:r>
          </w:p>
        </w:tc>
      </w:tr>
    </w:tbl>
    <w:p w:rsidR="00000000" w:rsidDel="00000000" w:rsidP="00000000" w:rsidRDefault="00000000" w:rsidRPr="00000000" w14:paraId="000000D0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20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D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3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21 de mayo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29 y 32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Flujo circular de la riqueza - PBI nominal y real – Medición del PBI – Medición de la inflación - El deflactor del PBI - Ciclo y tendencia - Estacionalidad y arrastre estadístico</w:t>
            </w:r>
          </w:p>
          <w:p w:rsidR="00000000" w:rsidDel="00000000" w:rsidP="00000000" w:rsidRDefault="00000000" w:rsidRPr="00000000" w14:paraId="000000D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21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22 de mayo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30 y 31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Crecimiento económico - Desigualdad del ingreso – Gini y curva de Lorenz – El futuro de la desigualdad </w:t>
            </w:r>
          </w:p>
        </w:tc>
      </w:tr>
    </w:tbl>
    <w:p w:rsidR="00000000" w:rsidDel="00000000" w:rsidP="00000000" w:rsidRDefault="00000000" w:rsidRPr="00000000" w14:paraId="000000E4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85"/>
        <w:gridCol w:w="2739"/>
        <w:gridCol w:w="2766"/>
        <w:tblGridChange w:id="0">
          <w:tblGrid>
            <w:gridCol w:w="2785"/>
            <w:gridCol w:w="2739"/>
            <w:gridCol w:w="27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22 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de mayo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E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 33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Mecano de la Economía.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 Presentando el mercado de bienes, el mercado de trabajo, el mercado de crédito y el mercado monetario – Ley de Say – Keynesianos versus clásicos - Demanda agregada - Oferta Agregada - Shock de oferta y demanda - Ciclos para clásicos y keynesianos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Definiciones de la macroeconomía</w:t>
            </w:r>
          </w:p>
        </w:tc>
      </w:tr>
    </w:tbl>
    <w:p w:rsidR="00000000" w:rsidDel="00000000" w:rsidP="00000000" w:rsidRDefault="00000000" w:rsidRPr="00000000" w14:paraId="000000F0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85"/>
        <w:gridCol w:w="2739"/>
        <w:gridCol w:w="2766"/>
        <w:tblGridChange w:id="0">
          <w:tblGrid>
            <w:gridCol w:w="2785"/>
            <w:gridCol w:w="2739"/>
            <w:gridCol w:w="27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F1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23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F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F3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29 de mayo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34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Mercado laboral.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 Oferta y demanda de trabajo – Salarios, beneficios y desempleo – Indicadores básicos del mercado laboral </w:t>
            </w:r>
          </w:p>
        </w:tc>
      </w:tr>
    </w:tbl>
    <w:p w:rsidR="00000000" w:rsidDel="00000000" w:rsidP="00000000" w:rsidRDefault="00000000" w:rsidRPr="00000000" w14:paraId="000000FA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75"/>
        <w:gridCol w:w="2649"/>
        <w:gridCol w:w="2766"/>
        <w:tblGridChange w:id="0">
          <w:tblGrid>
            <w:gridCol w:w="2875"/>
            <w:gridCol w:w="2649"/>
            <w:gridCol w:w="27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24 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FE">
            <w:pPr>
              <w:ind w:left="-105" w:firstLine="0"/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4 de junio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35 y 36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jc w:val="both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Crédito, dinero y bancos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. Ingreso y riqueza – Consumo, ahorro e inversión – Tasa de interés – Impaciencia – Restricción intertemporal – Almacenar, invertir, prestar – Demanda y oferta de crédito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75"/>
        <w:gridCol w:w="2649"/>
        <w:gridCol w:w="2766"/>
        <w:tblGridChange w:id="0">
          <w:tblGrid>
            <w:gridCol w:w="2875"/>
            <w:gridCol w:w="2649"/>
            <w:gridCol w:w="27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0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25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08">
            <w:pPr>
              <w:ind w:left="-105" w:firstLine="0"/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09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5 de junio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</w:t>
            </w:r>
          </w:p>
          <w:p w:rsidR="00000000" w:rsidDel="00000000" w:rsidP="00000000" w:rsidRDefault="00000000" w:rsidRPr="00000000" w14:paraId="0000010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Capítulos 37 y 38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Mercado monetario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. Funciones y tipos de dinero - Intercambio y demanda de dinero – Oferta de dinero - Bancos comerciales y Banco Central – Tipo de dinero - Multiplicador monetario </w:t>
            </w:r>
          </w:p>
        </w:tc>
      </w:tr>
    </w:tbl>
    <w:p w:rsidR="00000000" w:rsidDel="00000000" w:rsidP="00000000" w:rsidRDefault="00000000" w:rsidRPr="00000000" w14:paraId="00000111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Política monetaria</w:t>
            </w:r>
          </w:p>
        </w:tc>
      </w:tr>
    </w:tbl>
    <w:p w:rsidR="00000000" w:rsidDel="00000000" w:rsidP="00000000" w:rsidRDefault="00000000" w:rsidRPr="00000000" w14:paraId="00000113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85"/>
        <w:gridCol w:w="2880"/>
        <w:gridCol w:w="2625"/>
        <w:tblGridChange w:id="0">
          <w:tblGrid>
            <w:gridCol w:w="2785"/>
            <w:gridCol w:w="2880"/>
            <w:gridCol w:w="2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26 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16">
            <w:pPr>
              <w:jc w:val="both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11 de junio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1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</w:t>
            </w:r>
          </w:p>
          <w:p w:rsidR="00000000" w:rsidDel="00000000" w:rsidP="00000000" w:rsidRDefault="00000000" w:rsidRPr="00000000" w14:paraId="0000011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Capítulos 39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Mercado monetario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. Demanda y oferta de dinero - Teoría cuantitativa del dinero - Mercado de dinero e inflación – Mercado de dinero y tasa de interés</w:t>
            </w:r>
          </w:p>
          <w:p w:rsidR="00000000" w:rsidDel="00000000" w:rsidP="00000000" w:rsidRDefault="00000000" w:rsidRPr="00000000" w14:paraId="0000011C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290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85"/>
        <w:gridCol w:w="2740"/>
        <w:gridCol w:w="2765"/>
        <w:tblGridChange w:id="0">
          <w:tblGrid>
            <w:gridCol w:w="2785"/>
            <w:gridCol w:w="2740"/>
            <w:gridCol w:w="2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20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27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21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2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 12 de junio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23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</w:t>
            </w:r>
          </w:p>
          <w:p w:rsidR="00000000" w:rsidDel="00000000" w:rsidP="00000000" w:rsidRDefault="00000000" w:rsidRPr="00000000" w14:paraId="0000012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Capítulos 40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Política Monetaria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. El dinero en el mundo keynesiano – La aritmética monetaria desagradable </w:t>
            </w:r>
          </w:p>
        </w:tc>
      </w:tr>
    </w:tbl>
    <w:p w:rsidR="00000000" w:rsidDel="00000000" w:rsidP="00000000" w:rsidRDefault="00000000" w:rsidRPr="00000000" w14:paraId="0000012A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Política fiscal</w:t>
            </w:r>
          </w:p>
        </w:tc>
      </w:tr>
    </w:tbl>
    <w:p w:rsidR="00000000" w:rsidDel="00000000" w:rsidP="00000000" w:rsidRDefault="00000000" w:rsidRPr="00000000" w14:paraId="0000012C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290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85"/>
        <w:gridCol w:w="2740"/>
        <w:gridCol w:w="2765"/>
        <w:tblGridChange w:id="0">
          <w:tblGrid>
            <w:gridCol w:w="2785"/>
            <w:gridCol w:w="2740"/>
            <w:gridCol w:w="2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2D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28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2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2F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 18 de junio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30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</w:t>
            </w:r>
          </w:p>
          <w:p w:rsidR="00000000" w:rsidDel="00000000" w:rsidP="00000000" w:rsidRDefault="00000000" w:rsidRPr="00000000" w14:paraId="00000131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Capítulos 41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Rol de la Política Fiscal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. La efectividad de la política fiscal – Impuestos versus deuda – Equivalencia Ricardiana – Evidencia empírica </w:t>
            </w:r>
          </w:p>
        </w:tc>
      </w:tr>
    </w:tbl>
    <w:p w:rsidR="00000000" w:rsidDel="00000000" w:rsidP="00000000" w:rsidRDefault="00000000" w:rsidRPr="00000000" w14:paraId="00000137">
      <w:pPr>
        <w:rPr>
          <w:rFonts w:ascii="Book Antiqua" w:cs="Book Antiqua" w:eastAsia="Book Antiqua" w:hAnsi="Book Antiqu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290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85"/>
        <w:gridCol w:w="2740"/>
        <w:gridCol w:w="2765"/>
        <w:tblGridChange w:id="0">
          <w:tblGrid>
            <w:gridCol w:w="2785"/>
            <w:gridCol w:w="2740"/>
            <w:gridCol w:w="2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3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29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39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3A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 19 de junio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3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REPASO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RECESO DE EXAMENES</w:t>
            </w:r>
          </w:p>
          <w:p w:rsidR="00000000" w:rsidDel="00000000" w:rsidP="00000000" w:rsidRDefault="00000000" w:rsidRPr="00000000" w14:paraId="00000144">
            <w:pPr>
              <w:jc w:val="both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DESDE EL LUNES 24 DE JUNIO AL VIERNES 6 DE JULIO</w:t>
            </w:r>
          </w:p>
          <w:p w:rsidR="00000000" w:rsidDel="00000000" w:rsidP="00000000" w:rsidRDefault="00000000" w:rsidRPr="00000000" w14:paraId="00000145">
            <w:pPr>
              <w:jc w:val="both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RECUPERATORIOS </w:t>
            </w:r>
          </w:p>
          <w:p w:rsidR="00000000" w:rsidDel="00000000" w:rsidP="00000000" w:rsidRDefault="00000000" w:rsidRPr="00000000" w14:paraId="00000146">
            <w:pPr>
              <w:jc w:val="both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DESDE EL 8 DE JULIO AL 13 DE JULLIO</w:t>
            </w:r>
          </w:p>
        </w:tc>
      </w:tr>
    </w:tbl>
    <w:p w:rsidR="00000000" w:rsidDel="00000000" w:rsidP="00000000" w:rsidRDefault="00000000" w:rsidRPr="00000000" w14:paraId="00000147">
      <w:pPr>
        <w:rPr>
          <w:rFonts w:ascii="Book Antiqua" w:cs="Book Antiqua" w:eastAsia="Book Antiqua" w:hAnsi="Book Antiqu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0" w:orient="portrait"/>
      <w:pgMar w:bottom="1440" w:top="1440" w:left="1800" w:right="180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8"/>
      <w:tblW w:w="830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151"/>
      <w:gridCol w:w="4149"/>
      <w:tblGridChange w:id="0">
        <w:tblGrid>
          <w:gridCol w:w="4151"/>
          <w:gridCol w:w="4149"/>
        </w:tblGrid>
      </w:tblGridChange>
    </w:tblGrid>
    <w:tr>
      <w:trPr>
        <w:cantSplit w:val="0"/>
        <w:trHeight w:val="224" w:hRule="atLeast"/>
        <w:tblHeader w:val="0"/>
      </w:trPr>
      <w:tc>
        <w:tcPr/>
        <w:p w:rsidR="00000000" w:rsidDel="00000000" w:rsidP="00000000" w:rsidRDefault="00000000" w:rsidRPr="00000000" w14:paraId="0000015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rFonts w:ascii="Century Schoolbook" w:cs="Century Schoolbook" w:eastAsia="Century Schoolbook" w:hAnsi="Century Schoolbook"/>
              <w:color w:val="404040"/>
              <w:sz w:val="24"/>
              <w:szCs w:val="24"/>
            </w:rPr>
          </w:pPr>
          <w:r w:rsidDel="00000000" w:rsidR="00000000" w:rsidRPr="00000000">
            <w:rPr>
              <w:rFonts w:ascii="Century Schoolbook" w:cs="Century Schoolbook" w:eastAsia="Century Schoolbook" w:hAnsi="Century Schoolbook"/>
              <w:color w:val="404040"/>
              <w:sz w:val="24"/>
              <w:szCs w:val="24"/>
              <w:u w:val="single"/>
              <w:rtl w:val="0"/>
            </w:rPr>
            <w:t xml:space="preserve">Esta versión: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color w:val="404040"/>
              <w:sz w:val="24"/>
              <w:szCs w:val="24"/>
              <w:rtl w:val="0"/>
            </w:rPr>
            <w:t xml:space="preserve"> 23 de enero de 2023</w:t>
          </w:r>
        </w:p>
      </w:tc>
      <w:tc>
        <w:tcPr/>
        <w:p w:rsidR="00000000" w:rsidDel="00000000" w:rsidP="00000000" w:rsidRDefault="00000000" w:rsidRPr="00000000" w14:paraId="000001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rFonts w:ascii="Century Schoolbook" w:cs="Century Schoolbook" w:eastAsia="Century Schoolbook" w:hAnsi="Century Schoolbook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Century Schoolbook" w:cs="Century Schoolbook" w:eastAsia="Century Schoolbook" w:hAnsi="Century Schoolbook"/>
        <w:color w:val="000000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7"/>
      <w:tblW w:w="9333.0" w:type="dxa"/>
      <w:jc w:val="left"/>
      <w:tblInd w:w="-72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31"/>
      <w:gridCol w:w="3402"/>
      <w:tblGridChange w:id="0">
        <w:tblGrid>
          <w:gridCol w:w="5931"/>
          <w:gridCol w:w="34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rFonts w:ascii="Century Schoolbook" w:cs="Century Schoolbook" w:eastAsia="Century Schoolbook" w:hAnsi="Century Schoolbook"/>
              <w:color w:val="40404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rFonts w:ascii="Century Schoolbook" w:cs="Century Schoolbook" w:eastAsia="Century Schoolbook" w:hAnsi="Century Schoolbook"/>
              <w:color w:val="40404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left="709" w:hanging="284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F7273"/>
  </w:style>
  <w:style w:type="paragraph" w:styleId="Ttulo1">
    <w:name w:val="heading 1"/>
    <w:basedOn w:val="Normal"/>
    <w:next w:val="Normal"/>
    <w:link w:val="Ttulo1Car"/>
    <w:uiPriority w:val="9"/>
    <w:qFormat w:val="1"/>
    <w:rsid w:val="00D56F67"/>
    <w:pPr>
      <w:keepNext w:val="1"/>
      <w:spacing w:after="60" w:before="240" w:line="276" w:lineRule="auto"/>
      <w:ind w:left="709" w:hanging="284"/>
      <w:outlineLvl w:val="0"/>
    </w:pPr>
    <w:rPr>
      <w:rFonts w:cs="Times New Roman" w:eastAsia="Times New Roman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0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0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D56F67"/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character" w:styleId="Hipervnculo">
    <w:name w:val="Hyperlink"/>
    <w:basedOn w:val="Fuentedeprrafopredeter"/>
    <w:uiPriority w:val="99"/>
    <w:rsid w:val="00D56F67"/>
    <w:rPr>
      <w:color w:val="0000ff"/>
      <w:u w:val="single"/>
    </w:rPr>
  </w:style>
  <w:style w:type="table" w:styleId="Tablaconcuadrcula">
    <w:name w:val="Table Grid"/>
    <w:basedOn w:val="Tablanormal"/>
    <w:rsid w:val="00D56F67"/>
    <w:rPr>
      <w:rFonts w:ascii="Times New Roman" w:cs="Times New Roman" w:eastAsia="Times New Roman" w:hAnsi="Times New Roman"/>
      <w:sz w:val="20"/>
      <w:szCs w:val="20"/>
      <w:lang w:eastAsia="it-IT" w:val="it-IT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D56F67"/>
    <w:pPr>
      <w:spacing w:after="200" w:line="276" w:lineRule="auto"/>
      <w:ind w:left="720" w:hanging="284"/>
      <w:contextualSpacing w:val="1"/>
    </w:pPr>
    <w:rPr>
      <w:rFonts w:ascii="Calibri" w:cs="Times New Roman" w:eastAsia="Calibri" w:hAnsi="Calibri"/>
      <w:sz w:val="22"/>
      <w:szCs w:val="22"/>
    </w:rPr>
  </w:style>
  <w:style w:type="paragraph" w:styleId="Encabezado">
    <w:name w:val="header"/>
    <w:basedOn w:val="Normal"/>
    <w:link w:val="EncabezadoCar"/>
    <w:unhideWhenUsed w:val="1"/>
    <w:rsid w:val="00D56F67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56F67"/>
  </w:style>
  <w:style w:type="paragraph" w:styleId="Piedepgina">
    <w:name w:val="footer"/>
    <w:basedOn w:val="Normal"/>
    <w:link w:val="PiedepginaCar"/>
    <w:uiPriority w:val="99"/>
    <w:unhideWhenUsed w:val="1"/>
    <w:rsid w:val="00D56F67"/>
    <w:pPr>
      <w:tabs>
        <w:tab w:val="center" w:pos="4320"/>
        <w:tab w:val="right" w:pos="864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56F67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046B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96367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96367"/>
    <w:rPr>
      <w:rFonts w:ascii="Lucida Grande" w:cs="Lucida Grande" w:hAnsi="Lucida Grande"/>
      <w:sz w:val="18"/>
      <w:szCs w:val="18"/>
    </w:rPr>
  </w:style>
  <w:style w:type="paragraph" w:styleId="Textonotapie">
    <w:name w:val="footnote text"/>
    <w:basedOn w:val="Normal"/>
    <w:link w:val="TextonotapieCar"/>
    <w:semiHidden w:val="1"/>
    <w:rsid w:val="004D3B85"/>
    <w:rPr>
      <w:rFonts w:ascii="Times New Roman" w:cs="Times New Roman" w:eastAsia="Times New Roman" w:hAnsi="Times New Roman"/>
      <w:sz w:val="20"/>
      <w:szCs w:val="20"/>
      <w:lang w:eastAsia="it-IT"/>
    </w:rPr>
  </w:style>
  <w:style w:type="character" w:styleId="TextonotapieCar" w:customStyle="1">
    <w:name w:val="Texto nota pie Car"/>
    <w:basedOn w:val="Fuentedeprrafopredeter"/>
    <w:link w:val="Textonotapie"/>
    <w:semiHidden w:val="1"/>
    <w:rsid w:val="004D3B85"/>
    <w:rPr>
      <w:rFonts w:ascii="Times New Roman" w:cs="Times New Roman" w:eastAsia="Times New Roman" w:hAnsi="Times New Roman"/>
      <w:sz w:val="20"/>
      <w:szCs w:val="20"/>
      <w:lang w:eastAsia="it-IT"/>
    </w:rPr>
  </w:style>
  <w:style w:type="character" w:styleId="Refdenotaalpie">
    <w:name w:val="footnote reference"/>
    <w:basedOn w:val="Fuentedeprrafopredeter"/>
    <w:uiPriority w:val="99"/>
    <w:unhideWhenUsed w:val="1"/>
    <w:rsid w:val="004D3B85"/>
    <w:rPr>
      <w:vertAlign w:val="superscript"/>
    </w:rPr>
  </w:style>
  <w:style w:type="paragraph" w:styleId="NormalWeb">
    <w:name w:val="Normal (Web)"/>
    <w:basedOn w:val="Normal"/>
    <w:uiPriority w:val="99"/>
    <w:semiHidden w:val="1"/>
    <w:unhideWhenUsed w:val="1"/>
    <w:rsid w:val="00CA643E"/>
    <w:pPr>
      <w:spacing w:after="100" w:afterAutospacing="1" w:before="100" w:beforeAutospacing="1"/>
    </w:pPr>
    <w:rPr>
      <w:rFonts w:ascii="Times New Roman" w:cs="Times New Roman" w:hAnsi="Times New Roman"/>
    </w:rPr>
  </w:style>
  <w:style w:type="character" w:styleId="UnresolvedMention1" w:customStyle="1">
    <w:name w:val="Unresolved Mention1"/>
    <w:basedOn w:val="Fuentedeprrafopredeter"/>
    <w:uiPriority w:val="99"/>
    <w:rsid w:val="00B40AB1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90" w:customStyle="1">
    <w:name w:val="90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9" w:customStyle="1">
    <w:name w:val="89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8" w:customStyle="1">
    <w:name w:val="88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7" w:customStyle="1">
    <w:name w:val="87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6" w:customStyle="1">
    <w:name w:val="86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5" w:customStyle="1">
    <w:name w:val="85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4" w:customStyle="1">
    <w:name w:val="84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3" w:customStyle="1">
    <w:name w:val="83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2" w:customStyle="1">
    <w:name w:val="82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1" w:customStyle="1">
    <w:name w:val="81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0" w:customStyle="1">
    <w:name w:val="80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9" w:customStyle="1">
    <w:name w:val="79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8" w:customStyle="1">
    <w:name w:val="78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7" w:customStyle="1">
    <w:name w:val="77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6" w:customStyle="1">
    <w:name w:val="76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5" w:customStyle="1">
    <w:name w:val="75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4" w:customStyle="1">
    <w:name w:val="74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3" w:customStyle="1">
    <w:name w:val="73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2" w:customStyle="1">
    <w:name w:val="72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1" w:customStyle="1">
    <w:name w:val="71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0" w:customStyle="1">
    <w:name w:val="70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9" w:customStyle="1">
    <w:name w:val="69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8" w:customStyle="1">
    <w:name w:val="68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7" w:customStyle="1">
    <w:name w:val="67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6" w:customStyle="1">
    <w:name w:val="66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5" w:customStyle="1">
    <w:name w:val="65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4" w:customStyle="1">
    <w:name w:val="64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3" w:customStyle="1">
    <w:name w:val="63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2" w:customStyle="1">
    <w:name w:val="62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1" w:customStyle="1">
    <w:name w:val="61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0" w:customStyle="1">
    <w:name w:val="60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9" w:customStyle="1">
    <w:name w:val="59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8" w:customStyle="1">
    <w:name w:val="58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7" w:customStyle="1">
    <w:name w:val="57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6" w:customStyle="1">
    <w:name w:val="56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5" w:customStyle="1">
    <w:name w:val="55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4" w:customStyle="1">
    <w:name w:val="54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3" w:customStyle="1">
    <w:name w:val="53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2" w:customStyle="1">
    <w:name w:val="52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1" w:customStyle="1">
    <w:name w:val="51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0" w:customStyle="1">
    <w:name w:val="50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9" w:customStyle="1">
    <w:name w:val="49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8" w:customStyle="1">
    <w:name w:val="48"/>
    <w:basedOn w:val="TableNormal1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47" w:customStyle="1">
    <w:name w:val="47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6" w:customStyle="1">
    <w:name w:val="46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5" w:customStyle="1">
    <w:name w:val="45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4" w:customStyle="1">
    <w:name w:val="44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3" w:customStyle="1">
    <w:name w:val="43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2" w:customStyle="1">
    <w:name w:val="42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1" w:customStyle="1">
    <w:name w:val="41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0" w:customStyle="1">
    <w:name w:val="40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9" w:customStyle="1">
    <w:name w:val="39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8" w:customStyle="1">
    <w:name w:val="38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7" w:customStyle="1">
    <w:name w:val="37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6" w:customStyle="1">
    <w:name w:val="36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5" w:customStyle="1">
    <w:name w:val="35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4" w:customStyle="1">
    <w:name w:val="34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3" w:customStyle="1">
    <w:name w:val="33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2" w:customStyle="1">
    <w:name w:val="32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1" w:customStyle="1">
    <w:name w:val="31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0" w:customStyle="1">
    <w:name w:val="30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9" w:customStyle="1">
    <w:name w:val="29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8" w:customStyle="1">
    <w:name w:val="28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7" w:customStyle="1">
    <w:name w:val="27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6" w:customStyle="1">
    <w:name w:val="26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5" w:customStyle="1">
    <w:name w:val="25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4" w:customStyle="1">
    <w:name w:val="24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3" w:customStyle="1">
    <w:name w:val="23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2" w:customStyle="1">
    <w:name w:val="22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1" w:customStyle="1">
    <w:name w:val="21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0" w:customStyle="1">
    <w:name w:val="20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9" w:customStyle="1">
    <w:name w:val="19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8" w:customStyle="1">
    <w:name w:val="18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7" w:customStyle="1">
    <w:name w:val="17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6" w:customStyle="1">
    <w:name w:val="16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5" w:customStyle="1">
    <w:name w:val="15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4" w:customStyle="1">
    <w:name w:val="14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3" w:customStyle="1">
    <w:name w:val="13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2" w:customStyle="1">
    <w:name w:val="12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1" w:customStyle="1">
    <w:name w:val="11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0" w:customStyle="1">
    <w:name w:val="10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9" w:customStyle="1">
    <w:name w:val="9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" w:customStyle="1">
    <w:name w:val="8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" w:customStyle="1">
    <w:name w:val="7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" w:customStyle="1">
    <w:name w:val="6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" w:customStyle="1">
    <w:name w:val="5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" w:customStyle="1">
    <w:name w:val="4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" w:customStyle="1">
    <w:name w:val="3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" w:customStyle="1">
    <w:name w:val="2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" w:customStyle="1">
    <w:name w:val="1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2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639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6399A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639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6399A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6399A"/>
    <w:rPr>
      <w:b w:val="1"/>
      <w:bCs w:val="1"/>
      <w:sz w:val="20"/>
      <w:szCs w:val="20"/>
    </w:rPr>
  </w:style>
  <w:style w:type="paragraph" w:styleId="Revisin">
    <w:name w:val="Revision"/>
    <w:hidden w:val="1"/>
    <w:uiPriority w:val="99"/>
    <w:semiHidden w:val="1"/>
    <w:rsid w:val="0026399A"/>
  </w:style>
  <w:style w:type="table" w:styleId="a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d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d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d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d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d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d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d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d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0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c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d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e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0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1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2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3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4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5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6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7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8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9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a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b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c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d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e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0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1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2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3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4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5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6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7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8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9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a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b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c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d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e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0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1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2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3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4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5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6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7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8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9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a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b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c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d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e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0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1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2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3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4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5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6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7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8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9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a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b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c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d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e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0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1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2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3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4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5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6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7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8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9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a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b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c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d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e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0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1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2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3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4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5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6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7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8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9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a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b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c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d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e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0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1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2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3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4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5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6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7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8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9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a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b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c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d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e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0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1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2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3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4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5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6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7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8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9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a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b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c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d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e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0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1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2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3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4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5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6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7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8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9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a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b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c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d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e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d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d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Bc9j+6K0yhpNOUMMRt24Av8Pw==">CgMxLjAyCWguMzBqMHpsbDgAciExZi16cXFaeVRLTEVWZVhqbGFxeDVQY205UE9BMU1QY1g=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2024-01-23T14:42:00Z</dcterms:created>
  <dc:creator>Tommy Murphy</dc:creator>
</cp:coreProperties>
</file>