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Georgia" w:cs="Georgia" w:eastAsia="Georgia" w:hAnsi="Georgia"/>
          <w:b/>
          <w:bCs/>
          <w:spacing w:val="120"/>
          <w:sz w:val="56"/>
          <w:szCs w:val="56"/>
        </w:rPr>
        <w:t xml:space="preserve">INDIGO AI</w:t>
      </w:r>
    </w:p>
    <w:p>
      <w:pPr>
        <w:spacing w:after="120" w:before="0"/>
        <w:jc w:val="center"/>
      </w:pPr>
      <w:r>
        <w:rPr>
          <w:rFonts w:ascii="Georgia" w:cs="Georgia" w:eastAsia="Georgia" w:hAnsi="Georgia"/>
          <w:i/>
          <w:iCs/>
          <w:sz w:val="22"/>
          <w:szCs w:val="22"/>
        </w:rPr>
        <w:t xml:space="preserve">— un portafolio administrado por agentes —</w:t>
      </w:r>
    </w:p>
    <w:p>
      <w:pPr>
        <w:spacing w:after="1200" w:before="0"/>
        <w:jc w:val="center"/>
      </w:pPr>
      <w:r>
        <w:rPr>
          <w:rFonts w:ascii="Georgia" w:cs="Georgia" w:eastAsia="Georgia" w:hAnsi="Georgia"/>
          <w:spacing w:val="100"/>
          <w:sz w:val="20"/>
          <w:szCs w:val="20"/>
        </w:rPr>
        <w:t xml:space="preserve">DOCUMENTO DE DISEÑO  ·  v1</w:t>
      </w:r>
    </w:p>
    <w:p>
      <w:pPr>
        <w:spacing w:after="200" w:before="0"/>
        <w:jc w:val="center"/>
      </w:pPr>
      <w:r>
        <w:rPr>
          <w:rFonts w:ascii="Georgia" w:cs="Georgia" w:eastAsia="Georgia" w:hAnsi="Georgia"/>
          <w:i/>
          <w:iCs/>
          <w:sz w:val="24"/>
          <w:szCs w:val="24"/>
        </w:rPr>
        <w:t xml:space="preserve">Un experimento público, separado de Indigo Star,</w:t>
      </w:r>
    </w:p>
    <w:p>
      <w:pPr>
        <w:spacing w:after="200" w:before="0"/>
        <w:jc w:val="center"/>
      </w:pPr>
      <w:r>
        <w:rPr>
          <w:rFonts w:ascii="Georgia" w:cs="Georgia" w:eastAsia="Georgia" w:hAnsi="Georgia"/>
          <w:i/>
          <w:iCs/>
          <w:sz w:val="24"/>
          <w:szCs w:val="24"/>
        </w:rPr>
        <w:t xml:space="preserve">para construir, en doce meses, el primer track record</w:t>
      </w:r>
    </w:p>
    <w:p>
      <w:pPr>
        <w:spacing w:after="200" w:before="0"/>
        <w:jc w:val="center"/>
      </w:pPr>
      <w:r>
        <w:rPr>
          <w:rFonts w:ascii="Georgia" w:cs="Georgia" w:eastAsia="Georgia" w:hAnsi="Georgia"/>
          <w:i/>
          <w:iCs/>
          <w:sz w:val="24"/>
          <w:szCs w:val="24"/>
        </w:rPr>
        <w:t xml:space="preserve">verificable de un portafolio 100% manejado por IA</w:t>
      </w:r>
    </w:p>
    <w:p>
      <w:pPr>
        <w:spacing w:after="1600" w:before="0"/>
        <w:jc w:val="center"/>
      </w:pPr>
      <w:r>
        <w:rPr>
          <w:rFonts w:ascii="Georgia" w:cs="Georgia" w:eastAsia="Georgia" w:hAnsi="Georgia"/>
          <w:i/>
          <w:iCs/>
          <w:sz w:val="24"/>
          <w:szCs w:val="24"/>
        </w:rPr>
        <w:t xml:space="preserve">en el mercado hispanohablante.</w:t>
      </w:r>
    </w:p>
    <w:p>
      <w:pPr>
        <w:spacing w:after="120" w:before="0"/>
        <w:jc w:val="center"/>
      </w:pPr>
      <w:r>
        <w:rPr>
          <w:rFonts w:ascii="Georgia" w:cs="Georgia" w:eastAsia="Georgia" w:hAnsi="Georgia"/>
          <w:b/>
          <w:bCs/>
          <w:sz w:val="24"/>
          <w:szCs w:val="24"/>
        </w:rPr>
        <w:t xml:space="preserve">Franco  ·  Felipe</w:t>
      </w:r>
    </w:p>
    <w:p>
      <w:pPr>
        <w:spacing w:after="160" w:before="0"/>
        <w:jc w:val="center"/>
      </w:pPr>
      <w:r>
        <w:rPr>
          <w:rFonts w:ascii="Georgia" w:cs="Georgia" w:eastAsia="Georgia" w:hAnsi="Georgia"/>
          <w:sz w:val="22"/>
          <w:szCs w:val="22"/>
        </w:rPr>
        <w:t xml:space="preserve">Buenos Aires  ·  abril de 2026</w:t>
      </w:r>
    </w:p>
    <w:p>
      <w:r>
        <w:br w:type="page"/>
      </w:r>
    </w:p>
    <w:p>
      <w:pPr>
        <w:spacing w:after="120" w:before="320"/>
        <w:jc w:val="center"/>
      </w:pPr>
      <w:r>
        <w:rPr>
          <w:rFonts w:ascii="Georgia" w:cs="Georgia" w:eastAsia="Georgia" w:hAnsi="Georgia"/>
          <w:b/>
          <w:bCs/>
          <w:spacing w:val="80"/>
          <w:sz w:val="22"/>
          <w:szCs w:val="22"/>
        </w:rPr>
        <w:t xml:space="preserve">APERTURA</w:t>
      </w:r>
    </w:p>
    <w:p>
      <w:pPr>
        <w:spacing w:after="360" w:before="0"/>
        <w:jc w:val="center"/>
      </w:pPr>
      <w:r>
        <w:rPr>
          <w:rFonts w:ascii="Georgia" w:cs="Georgia" w:eastAsia="Georgia" w:hAnsi="Georgia"/>
          <w:b/>
          <w:bCs/>
          <w:i/>
          <w:iCs/>
          <w:sz w:val="36"/>
          <w:szCs w:val="36"/>
        </w:rPr>
        <w:t xml:space="preserve">La tesis, en pocas líneas</w:t>
      </w:r>
    </w:p>
    <w:p>
      <w:pPr>
        <w:spacing w:after="200" w:before="0" w:line="320"/>
        <w:jc w:val="both"/>
      </w:pPr>
      <w:r>
        <w:rPr>
          <w:rFonts w:ascii="Georgia" w:cs="Georgia" w:eastAsia="Georgia" w:hAnsi="Georgia"/>
          <w:b/>
          <w:bCs/>
          <w:sz w:val="28"/>
          <w:szCs w:val="28"/>
        </w:rPr>
        <w:t xml:space="preserve">L</w:t>
      </w:r>
      <w:r>
        <w:rPr>
          <w:rFonts w:ascii="Georgia" w:cs="Georgia" w:eastAsia="Georgia" w:hAnsi="Georgia"/>
          <w:sz w:val="22"/>
          <w:szCs w:val="22"/>
        </w:rPr>
        <w:t xml:space="preserve">o que importa no es que manejemos un portafolio con IA. Lo que importa es que vamos a ser los primeros en hacerlo en público, en castellano, y con un rigor de divulgación que ningún actor local ha intentado todavía. Indigo AI no es un producto comercial. Es un experimento con track record verificable, corrido al margen de Indigo Star, cuyo único objetivo durante los primeros doce meses es uno y uno solo: acumular reputación técnica. Si el sistema rinde, capitalizamos esa reputación como diferencial cuando Indigo Star escale. Si no rinde, capitalizamos las lecciones y publicamos honestamente qué aprendimos. En cualquiera de los dos escenarios ganamos autoridad.</w:t>
      </w:r>
    </w:p>
    <w:p>
      <w:pPr>
        <w:spacing w:after="160" w:before="0" w:line="320"/>
        <w:jc w:val="both"/>
      </w:pPr>
      <w:r>
        <w:rPr>
          <w:rFonts w:ascii="Georgia" w:cs="Georgia" w:eastAsia="Georgia" w:hAnsi="Georgia"/>
          <w:sz w:val="22"/>
          <w:szCs w:val="22"/>
        </w:rPr>
        <w:t xml:space="preserve">El modelo de referencia lo conocemos. A principios de abril de 2026, una cuenta en X llamada @theaiportfolios le entregó cincuenta mil dólares reales a un agente Claude sin ninguna supervisión humana, lo puso a competir contra el S&amp;P 500, y publicó cada trade con su rationale. La historia se volvió viral entre fintech, funcionó razonablemente bien en sus primeras semanas, y — sobre todo — inauguró una categoría nueva: el portafolio-espectáculo, donde lo que se vende no es el retorno, sino la transparencia radical del proceso. Ese lugar, en la región, está completamente vacío.</w:t>
      </w:r>
    </w:p>
    <w:p>
      <w:pPr>
        <w:spacing w:after="160" w:before="0" w:line="320"/>
        <w:jc w:val="both"/>
      </w:pPr>
      <w:r>
        <w:rPr>
          <w:rFonts w:ascii="Georgia" w:cs="Georgia" w:eastAsia="Georgia" w:hAnsi="Georgia"/>
          <w:sz w:val="22"/>
          <w:szCs w:val="22"/>
        </w:rPr>
        <w:t xml:space="preserve">Indigo AI ocupa ese lugar. La apuesta es deliberada: corremos el experimento con el dinero mínimo necesario para que sea real, lo mostramos todo, y dejamos que el contenido se escriba solo. Cada rebalanceo es un post. Cada tesis comprada o vendida es un thread. Cada mes malo es un estudio de caso sobre el propio sistema. Durante doce meses, Indigo AI no busca clientes; busca lectores. Y al final de ese período, el efecto compuesto de haber mostrado el proceso sin filtro va a haber construido algo que no se compra con ningún presupuesto de marketing: un historial auditable.</w:t>
      </w:r>
    </w:p>
    <w:p>
      <w:pPr>
        <w:spacing w:after="360" w:before="360" w:line="360"/>
        <w:ind w:left="720" w:right="720"/>
        <w:jc w:val="center"/>
      </w:pPr>
      <w:r>
        <w:rPr>
          <w:rFonts w:ascii="Georgia" w:cs="Georgia" w:eastAsia="Georgia" w:hAnsi="Georgia"/>
          <w:i/>
          <w:iCs/>
          <w:sz w:val="26"/>
          <w:szCs w:val="26"/>
        </w:rPr>
        <w:t xml:space="preserve">"  La ventaja no está en que la IA invierta mejor. Está en que la IA permite mostrar el proceso entero sin que nadie tenga miedo de exhibirse.  "</w:t>
      </w:r>
    </w:p>
    <w:p>
      <w:r>
        <w:br w:type="page"/>
      </w:r>
    </w:p>
    <w:p>
      <w:pPr>
        <w:spacing w:after="120" w:before="480"/>
        <w:jc w:val="center"/>
      </w:pPr>
      <w:r>
        <w:rPr>
          <w:rFonts w:ascii="Georgia" w:cs="Georgia" w:eastAsia="Georgia" w:hAnsi="Georgia"/>
          <w:b/>
          <w:bCs/>
          <w:spacing w:val="80"/>
          <w:sz w:val="22"/>
          <w:szCs w:val="22"/>
        </w:rPr>
        <w:t xml:space="preserve">CAPÍTULO I</w:t>
      </w:r>
    </w:p>
    <w:p>
      <w:pPr>
        <w:spacing w:after="360" w:before="0"/>
        <w:jc w:val="center"/>
      </w:pPr>
      <w:r>
        <w:rPr>
          <w:rFonts w:ascii="Georgia" w:cs="Georgia" w:eastAsia="Georgia" w:hAnsi="Georgia"/>
          <w:b/>
          <w:bCs/>
          <w:i/>
          <w:iCs/>
          <w:sz w:val="36"/>
          <w:szCs w:val="36"/>
        </w:rPr>
        <w:t xml:space="preserve">Por qué va separado de Indigo Star</w:t>
      </w:r>
    </w:p>
    <w:p>
      <w:pPr>
        <w:spacing w:after="200" w:before="0" w:line="320"/>
        <w:jc w:val="both"/>
      </w:pPr>
      <w:r>
        <w:rPr>
          <w:rFonts w:ascii="Georgia" w:cs="Georgia" w:eastAsia="Georgia" w:hAnsi="Georgia"/>
          <w:b/>
          <w:bCs/>
          <w:sz w:val="28"/>
          <w:szCs w:val="28"/>
        </w:rPr>
        <w:t xml:space="preserve">I</w:t>
      </w:r>
      <w:r>
        <w:rPr>
          <w:rFonts w:ascii="Georgia" w:cs="Georgia" w:eastAsia="Georgia" w:hAnsi="Georgia"/>
          <w:sz w:val="22"/>
          <w:szCs w:val="22"/>
        </w:rPr>
        <w:t xml:space="preserve">ndigo Star es, y va a seguir siendo, una firma de asesoramiento financiero construida sobre autoridad humana. Franco firma sus reports. Felipe firma los suyos. Las tesis se defienden con nombre propio. Esa lógica es sagrada para la marca madre y no se toca. Meter un portafolio autónomo manejado por agentes debajo del mismo paraguas editorial generaría exactamente la confusión que queremos evitar: los clientes de asesoramiento humano no quieren preguntarse, cada vez que leen un research, si el texto salió de nuestra cabeza o de una máquina.</w:t>
      </w:r>
    </w:p>
    <w:p>
      <w:pPr>
        <w:spacing w:after="160" w:before="0" w:line="320"/>
        <w:jc w:val="both"/>
      </w:pPr>
      <w:r>
        <w:rPr>
          <w:rFonts w:ascii="Georgia" w:cs="Georgia" w:eastAsia="Georgia" w:hAnsi="Georgia"/>
          <w:sz w:val="22"/>
          <w:szCs w:val="22"/>
        </w:rPr>
        <w:t xml:space="preserve">Por eso Indigo AI vive en su propio espacio. Tiene nombre propio, cuenta propia en X, cuenta propia en Instagram, página propia dentro del dominio raíz — algo del tipo ai.indigostar.com o indigostar.com/ai — y una identidad visual hermana pero diferenciada. El vínculo con la marca madre existe, es explícito, y se comunica desde el primer día como "un laboratorio de Indigo Star". Ese encuadre es el que nos permite capturar la atención sin canibalizar al producto principal. Indigo Star provee la credibilidad institucional; Indigo AI provee la narrativa de vanguardia. Ambas marcas se retroalimentan sin pisarse.</w:t>
      </w:r>
    </w:p>
    <w:p>
      <w:pPr>
        <w:spacing w:after="160" w:before="0" w:line="320"/>
        <w:jc w:val="both"/>
      </w:pPr>
      <w:r>
        <w:rPr>
          <w:rFonts w:ascii="Georgia" w:cs="Georgia" w:eastAsia="Georgia" w:hAnsi="Georgia"/>
          <w:sz w:val="22"/>
          <w:szCs w:val="22"/>
        </w:rPr>
        <w:t xml:space="preserve">La separación también tiene una razón regulatoria práctica. Mientras Indigo AI corra exclusivamente en paper trading con dinero nuestro, la exposición normativa es nula. No hay clientes, no hay custodia de terceros, no hay oferta pública, no hay administración de fondos ajenos. Es un proyecto editorial con un back-end cuantitativo. Si en algún momento el experimento escala a dinero real de terceros, esa escalada se diseña recién cuando los datos de doce meses estén en la mano y la CNV tenga una postura clara sobre portafolios algorítmicos asesorados — discusión que todavía no está resuelta en Argentina y que no necesitamos forzar ahora.</w:t>
      </w:r>
    </w:p>
    <w:p>
      <w:pPr>
        <w:spacing w:after="160" w:before="0" w:line="320"/>
        <w:jc w:val="both"/>
      </w:pPr>
      <w:r>
        <w:rPr>
          <w:rFonts w:ascii="Georgia" w:cs="Georgia" w:eastAsia="Georgia" w:hAnsi="Georgia"/>
          <w:sz w:val="22"/>
          <w:szCs w:val="22"/>
        </w:rPr>
        <w:t xml:space="preserve">La tercera razón es la más simple: si algo sale mal, Indigo Star no se contagia. Un drawdown severo, un bug en la pipeline, una decisión absurda del agente que se viralice en el peor sentido, no pueden tener la capacidad de dañar la marca madre. El arreglo de entidades distintas, por más simbólico que sea al principio, nos da la libertad psicológica de correr el experimento hasta su límite sin miedo a perjudicar lo que ya construimos.</w:t>
      </w:r>
    </w:p>
    <w:p>
      <w:r>
        <w:br w:type="page"/>
      </w:r>
    </w:p>
    <w:p>
      <w:pPr>
        <w:spacing w:after="120" w:before="480"/>
        <w:jc w:val="center"/>
      </w:pPr>
      <w:r>
        <w:rPr>
          <w:rFonts w:ascii="Georgia" w:cs="Georgia" w:eastAsia="Georgia" w:hAnsi="Georgia"/>
          <w:b/>
          <w:bCs/>
          <w:spacing w:val="80"/>
          <w:sz w:val="22"/>
          <w:szCs w:val="22"/>
        </w:rPr>
        <w:t xml:space="preserve">CAPÍTULO II</w:t>
      </w:r>
    </w:p>
    <w:p>
      <w:pPr>
        <w:spacing w:after="360" w:before="0"/>
        <w:jc w:val="center"/>
      </w:pPr>
      <w:r>
        <w:rPr>
          <w:rFonts w:ascii="Georgia" w:cs="Georgia" w:eastAsia="Georgia" w:hAnsi="Georgia"/>
          <w:b/>
          <w:bCs/>
          <w:i/>
          <w:iCs/>
          <w:sz w:val="36"/>
          <w:szCs w:val="36"/>
        </w:rPr>
        <w:t xml:space="preserve">La filosofía cargada</w:t>
      </w:r>
    </w:p>
    <w:p>
      <w:pPr>
        <w:spacing w:after="200" w:before="0" w:line="320"/>
        <w:jc w:val="both"/>
      </w:pPr>
      <w:r>
        <w:rPr>
          <w:rFonts w:ascii="Georgia" w:cs="Georgia" w:eastAsia="Georgia" w:hAnsi="Georgia"/>
          <w:b/>
          <w:bCs/>
          <w:sz w:val="28"/>
          <w:szCs w:val="28"/>
        </w:rPr>
        <w:t xml:space="preserve">E</w:t>
      </w:r>
      <w:r>
        <w:rPr>
          <w:rFonts w:ascii="Georgia" w:cs="Georgia" w:eastAsia="Georgia" w:hAnsi="Georgia"/>
          <w:sz w:val="22"/>
          <w:szCs w:val="22"/>
        </w:rPr>
        <w:t xml:space="preserve">l corazón de Indigo AI no es el código, es la doctrina. Un agente de IA sin una filosofía de inversión explícita se comporta como un pasante leído: repite el consenso del día, se entusiasma con lo que los medios destacan, compra lo que está de moda y vende lo que cae. Un agente con una doctrina bien instalada, en cambio, tiene un criterio estable para rechazar tesis mediocres y para defender posiciones impopulares durante el tiempo que haga falta. La diferencia entre un sistema que imita y un sistema que piensa está exactamente ahí.</w:t>
      </w:r>
    </w:p>
    <w:p>
      <w:pPr>
        <w:spacing w:after="160" w:before="0" w:line="320"/>
        <w:jc w:val="both"/>
      </w:pPr>
      <w:r>
        <w:rPr>
          <w:rFonts w:ascii="Georgia" w:cs="Georgia" w:eastAsia="Georgia" w:hAnsi="Georgia"/>
          <w:sz w:val="22"/>
          <w:szCs w:val="22"/>
        </w:rPr>
        <w:t xml:space="preserve">Lo que nosotros aportamos — y este es nuestro verdadero valor agregado al proyecto, más importante que cualquier decisión técnica de arquitectura — es escribir y mantener esa doctrina. No la inventamos desde cero; la curamos a partir de los maestros. Arrancamos cargando, como contexto permanente del sistema, un corpus riguroso de textos fundacionales: las cartas anuales de Warren Buffett desde 1977 hasta la última publicada, los dos libros de Peter Lynch sobre selección de acciones retail, los memos públicos de Howard Marks, el marco de value investing clásico de Benjamin Graham, las cartas trimestrales de Terry Smith en Fundsmith, los ensayos de Charlie Munger sobre modelos mentales, las reflexiones de Phil Fisher sobre crecimiento cualitativo, y los escritos de Seth Klarman sobre margen de seguridad. Todo eso es material público, se descarga gratis, y constituye probablemente el canon mejor documentado de la historia de la inversión.</w:t>
      </w:r>
    </w:p>
    <w:p>
      <w:pPr>
        <w:spacing w:after="160" w:before="0" w:line="320"/>
        <w:jc w:val="both"/>
      </w:pPr>
      <w:r>
        <w:rPr>
          <w:rFonts w:ascii="Georgia" w:cs="Georgia" w:eastAsia="Georgia" w:hAnsi="Georgia"/>
          <w:sz w:val="22"/>
          <w:szCs w:val="22"/>
        </w:rPr>
        <w:t xml:space="preserve">Ese corpus no se le pasa al agente como un adjunto que lee y olvida. Se instala como filosofía fundacional en el prompt del sistema, permanentemente cacheado, y se le exige que cada decisión — cada compra, cada venta, cada rebalanceo — venga acompañada de una justificación explícita contra al menos dos principios del canon. Si el agente quiere comprar una empresa con múltiplo alto, tiene que explicar cómo concilia esa decisión con la disciplina de margen de seguridad de Graham o con el criterio de calidad sostenible de Fisher. Si quiere vender, tiene que justificar qué del thesis original se rompió, siguiendo el tipo de análisis post-mortem que Buffett aplica a sus propios errores en las cartas. Esa obligación de cita hace que el sistema razone dentro de un marco coherente, en vez de improvisar.</w:t>
      </w:r>
    </w:p>
    <w:p>
      <w:pPr>
        <w:spacing w:after="160" w:before="0" w:line="320"/>
        <w:jc w:val="both"/>
      </w:pPr>
      <w:r>
        <w:rPr>
          <w:rFonts w:ascii="Georgia" w:cs="Georgia" w:eastAsia="Georgia" w:hAnsi="Georgia"/>
          <w:sz w:val="22"/>
          <w:szCs w:val="22"/>
        </w:rPr>
        <w:t xml:space="preserve">Por encima de los autores, escribimos nosotros — Franco y Felipe — un documento propio, corto, de no más de dos páginas, que funciona como la constitución del sistema. Ahí van las reglas duras que preceden a cualquier razonamiento del agente: concentración máxima por posición, concentración máxima por sector, umbrales de stop implícitos, duración mínima esperada de cada tesis (para evitar que el sistema opere como day-trader), exclusiones explícitas (armas, tabaco, criptomonedas puras, lo que decidamos), y el mandato primario del portafolio escrito con claridad — superar al S&amp;P 500 con una volatilidad no mayor a 1.2x la del índice, en una ventana rodante de doce meses. Esa constitución es versionada, cada cambio queda registrado con fecha, y se publica entera en el sitio. Parte del pacto con la audiencia es que ellos pueden leer cada línea de las reglas bajo las que opera el sistema.</w:t>
      </w:r>
    </w:p>
    <w:p>
      <w:pPr>
        <w:spacing w:after="360" w:before="360" w:line="360"/>
        <w:ind w:left="720" w:right="720"/>
        <w:jc w:val="center"/>
      </w:pPr>
      <w:r>
        <w:rPr>
          <w:rFonts w:ascii="Georgia" w:cs="Georgia" w:eastAsia="Georgia" w:hAnsi="Georgia"/>
          <w:i/>
          <w:iCs/>
          <w:sz w:val="26"/>
          <w:szCs w:val="26"/>
        </w:rPr>
        <w:t xml:space="preserve">"  El agente no decide solo. Decide dentro de un marco que escribimos nosotros. La IA es el ejecutor; la filosofía es humana.  "</w:t>
      </w:r>
    </w:p>
    <w:p>
      <w:r>
        <w:br w:type="page"/>
      </w:r>
    </w:p>
    <w:p>
      <w:pPr>
        <w:spacing w:after="120" w:before="480"/>
        <w:jc w:val="center"/>
      </w:pPr>
      <w:r>
        <w:rPr>
          <w:rFonts w:ascii="Georgia" w:cs="Georgia" w:eastAsia="Georgia" w:hAnsi="Georgia"/>
          <w:b/>
          <w:bCs/>
          <w:spacing w:val="80"/>
          <w:sz w:val="22"/>
          <w:szCs w:val="22"/>
        </w:rPr>
        <w:t xml:space="preserve">CAPÍTULO III</w:t>
      </w:r>
    </w:p>
    <w:p>
      <w:pPr>
        <w:spacing w:after="360" w:before="0"/>
        <w:jc w:val="center"/>
      </w:pPr>
      <w:r>
        <w:rPr>
          <w:rFonts w:ascii="Georgia" w:cs="Georgia" w:eastAsia="Georgia" w:hAnsi="Georgia"/>
          <w:b/>
          <w:bCs/>
          <w:i/>
          <w:iCs/>
          <w:sz w:val="36"/>
          <w:szCs w:val="36"/>
        </w:rPr>
        <w:t xml:space="preserve">Cómo piensa el sistema</w:t>
      </w:r>
    </w:p>
    <w:p>
      <w:pPr>
        <w:spacing w:after="200" w:before="0" w:line="320"/>
        <w:jc w:val="both"/>
      </w:pPr>
      <w:r>
        <w:rPr>
          <w:rFonts w:ascii="Georgia" w:cs="Georgia" w:eastAsia="Georgia" w:hAnsi="Georgia"/>
          <w:b/>
          <w:bCs/>
          <w:sz w:val="28"/>
          <w:szCs w:val="28"/>
        </w:rPr>
        <w:t xml:space="preserve">A</w:t>
      </w:r>
      <w:r>
        <w:rPr>
          <w:rFonts w:ascii="Georgia" w:cs="Georgia" w:eastAsia="Georgia" w:hAnsi="Georgia"/>
          <w:sz w:val="22"/>
          <w:szCs w:val="22"/>
        </w:rPr>
        <w:t xml:space="preserve">ntes de describir la pipeline conviene tener presente cómo la estructuró Autopilot en Estados Unidos, porque es el único antecedente comparable que existe y porque cualquier lector técnico va a buscar las diferencias. El modelo de ellos, según ha sido documentado en divulgación pública del proyecto y en la prensa que lo cubrió, funciona así: el sistema rankea el universo entero del Russell 1000 combinando fundamentals, noticias y cobertura de analistas, se queda con los cincuenta nombres mejor puntuados, y sobre esa lista corta lanza treinta agentes en paralelo — quince argumentando a favor de cada candidata y quince argumentando en contra. Después, otros quince agentes modelan escenarios bull, base y bear con probabilidades asignadas, y un constructor final arma una cartera concentrada de quince posiciones respetando límites sectoriales duros. Rebalancean una o dos veces por semana y publican el rationale de cada movimiento.</w:t>
      </w:r>
    </w:p>
    <w:p>
      <w:pPr>
        <w:spacing w:after="160" w:before="0" w:line="320"/>
        <w:jc w:val="both"/>
      </w:pPr>
      <w:r>
        <w:rPr>
          <w:rFonts w:ascii="Georgia" w:cs="Georgia" w:eastAsia="Georgia" w:hAnsi="Georgia"/>
          <w:sz w:val="22"/>
          <w:szCs w:val="22"/>
        </w:rPr>
        <w:t xml:space="preserve">El diseño es elegante, pero está optimizado para un contexto con recursos casi ilimitados. Nosotros necesitamos un esquema que sea intelectualmente parecido pero computacionalmente mucho más barato, porque la diferencia entre ejecutar cinco mil llamadas a la API por ciclo y ejecutar doscientas es, literalmente, dos órdenes de magnitud de costo mensual. La buena noticia es que, para un universo inicial razonable, no necesitamos escanear mil nombres: podemos empezar mucho más chicos y expandir si los datos piden.</w:t>
      </w:r>
    </w:p>
    <w:p>
      <w:pPr>
        <w:spacing w:after="180" w:before="280"/>
        <w:jc w:val="center"/>
      </w:pPr>
      <w:r>
        <w:rPr>
          <w:rFonts w:ascii="Georgia" w:cs="Georgia" w:eastAsia="Georgia" w:hAnsi="Georgia"/>
          <w:b/>
          <w:bCs/>
          <w:i/>
          <w:iCs/>
          <w:sz w:val="24"/>
          <w:szCs w:val="24"/>
        </w:rPr>
        <w:t xml:space="preserve">Paso uno: filtro cuantitativo, sin IA</w:t>
      </w:r>
    </w:p>
    <w:p>
      <w:pPr>
        <w:spacing w:after="160" w:before="0" w:line="320"/>
        <w:jc w:val="both"/>
      </w:pPr>
      <w:r>
        <w:rPr>
          <w:rFonts w:ascii="Georgia" w:cs="Georgia" w:eastAsia="Georgia" w:hAnsi="Georgia"/>
          <w:sz w:val="22"/>
          <w:szCs w:val="22"/>
        </w:rPr>
        <w:t xml:space="preserve">Antes de que cualquier agente lea un nombre, un screener tradicional — un script de Python con pandas, que corre contra los datos de Alpaca y Yahoo Finance, y que es gratis — reduce el universo de partida a unos sesenta candidatos elegibles. El universo inicial propuesto es el S&amp;P 500: quinientos nombres líquidos, buena cobertura de datos, comisiones cero en Alpaca, y un benchmark natural contra el que medirse. Los filtros cuantitativos que aplicamos antes de que entre la IA son deliberadamente conservadores: capitalización mínima para evitar micro-caps, liquidez mínima medida en volumen diario, métricas financieras básicas (márgenes no negativos de forma sostenida, endeudamiento dentro de rangos razonables para el sector, crecimiento de ingresos positivo en los últimos tres años). Este primer filtro es determinístico, auditable, y gratis. Y es la diferencia más grande contra el esquema de Autopilot: ellos le hacen leer a la IA el universo entero; nosotros le hacemos leer un subuniverso ya prefiltrado.</w:t>
      </w:r>
    </w:p>
    <w:p>
      <w:pPr>
        <w:spacing w:after="180" w:before="280"/>
        <w:jc w:val="center"/>
      </w:pPr>
      <w:r>
        <w:rPr>
          <w:rFonts w:ascii="Georgia" w:cs="Georgia" w:eastAsia="Georgia" w:hAnsi="Georgia"/>
          <w:b/>
          <w:bCs/>
          <w:i/>
          <w:iCs/>
          <w:sz w:val="24"/>
          <w:szCs w:val="24"/>
        </w:rPr>
        <w:t xml:space="preserve">Paso dos: análisis profundo, un nombre a la vez</w:t>
      </w:r>
    </w:p>
    <w:p>
      <w:pPr>
        <w:spacing w:after="160" w:before="0" w:line="320"/>
        <w:jc w:val="both"/>
      </w:pPr>
      <w:r>
        <w:rPr>
          <w:rFonts w:ascii="Georgia" w:cs="Georgia" w:eastAsia="Georgia" w:hAnsi="Georgia"/>
          <w:sz w:val="22"/>
          <w:szCs w:val="22"/>
        </w:rPr>
        <w:t xml:space="preserve">Sobre los sesenta candidatos que quedaron, el sistema levanta un único agente de análisis — no treinta, uno solo — que recorre cada nombre con un prompt extenso y bien estructurado. Ese prompt contiene la filosofía cargada, los datos financieros actuales del nombre, el contexto de noticias recientes (traído por una búsqueda web puntual), y una pregunta terminante: ¿esta empresa es comprable hoy, bajo nuestro marco, y por qué? La respuesta tiene un formato obligatorio: tesis de inversión en tres párrafos, tres riesgos concretos, un precio objetivo con método de valuación, y un puntaje de convicción del uno al diez. Usamos Claude Sonnet 4.6 para esta capa, porque es el punto óptimo entre calidad y costo: a tres dólares por millón de tokens de entrada y quince de salida, analizar sesenta nombres con prompts generosos nos sale, con prompt caching agresivo de la filosofía, en el orden de los dos a cuatro dólares por ciclo.</w:t>
      </w:r>
    </w:p>
    <w:p>
      <w:pPr>
        <w:spacing w:after="180" w:before="280"/>
        <w:jc w:val="center"/>
      </w:pPr>
      <w:r>
        <w:rPr>
          <w:rFonts w:ascii="Georgia" w:cs="Georgia" w:eastAsia="Georgia" w:hAnsi="Georgia"/>
          <w:b/>
          <w:bCs/>
          <w:i/>
          <w:iCs/>
          <w:sz w:val="24"/>
          <w:szCs w:val="24"/>
        </w:rPr>
        <w:t xml:space="preserve">Paso tres: debate estructurado, solo para los finalistas</w:t>
      </w:r>
    </w:p>
    <w:p>
      <w:pPr>
        <w:spacing w:after="160" w:before="0" w:line="320"/>
        <w:jc w:val="both"/>
      </w:pPr>
      <w:r>
        <w:rPr>
          <w:rFonts w:ascii="Georgia" w:cs="Georgia" w:eastAsia="Georgia" w:hAnsi="Georgia"/>
          <w:sz w:val="22"/>
          <w:szCs w:val="22"/>
        </w:rPr>
        <w:t xml:space="preserve">De los sesenta candidatos analizados, el sistema se queda con los veinte de mayor convicción y sobre ellos activa el único momento en el que justifica usar el modelo más caro. Para cada finalista, se lanzan dos agentes en paralelo — un bull y un bear — ambos corridos sobre Claude Opus 4.7 con extended thinking activado. El bull busca la razón más fuerte para comprar; el bear, la razón más fuerte para no comprar. Ambos tienen acceso al análisis previo y a búsquedas web adicionales. Sus salidas se cruzan y se condensan en un dossier de cada nombre. Cuarenta llamadas a Opus por ciclo es caro — del orden de quince a treinta dólares por ciclo, dependiendo de la longitud del razonamiento — pero está acotado al momento en que el razonamiento profundo vale cada centavo.</w:t>
      </w:r>
    </w:p>
    <w:p>
      <w:pPr>
        <w:spacing w:after="180" w:before="280"/>
        <w:jc w:val="center"/>
      </w:pPr>
      <w:r>
        <w:rPr>
          <w:rFonts w:ascii="Georgia" w:cs="Georgia" w:eastAsia="Georgia" w:hAnsi="Georgia"/>
          <w:b/>
          <w:bCs/>
          <w:i/>
          <w:iCs/>
          <w:sz w:val="24"/>
          <w:szCs w:val="24"/>
        </w:rPr>
        <w:t xml:space="preserve">Paso cuatro: construcción de cartera</w:t>
      </w:r>
    </w:p>
    <w:p>
      <w:pPr>
        <w:spacing w:after="160" w:before="0" w:line="320"/>
        <w:jc w:val="both"/>
      </w:pPr>
      <w:r>
        <w:rPr>
          <w:rFonts w:ascii="Georgia" w:cs="Georgia" w:eastAsia="Georgia" w:hAnsi="Georgia"/>
          <w:sz w:val="22"/>
          <w:szCs w:val="22"/>
        </w:rPr>
        <w:t xml:space="preserve">El último agente es el constructor. Recibe los dossieres de los veinte finalistas y la constitución del sistema, y produce una cartera de doce a quince posiciones que maximiza convicción agregada bajo las restricciones duras que escribimos: ninguna posición por encima del diez por ciento, ningún sector por encima del treinta por ciento, exposición cash entre el cero y el quince por ciento según su lectura del régimen macro. Esta llamada es una sola, en Opus 4.7, y produce tanto la cartera como el rationale completo del movimiento. El output del constructor es exactamente lo que se publica al mundo: holdings nuevos, holdings cerrados, rebalanceos dentro de holdings existentes, y el texto narrativo que explica por qué.</w:t>
      </w:r>
    </w:p>
    <w:p>
      <w:pPr>
        <w:spacing w:after="180" w:before="280"/>
        <w:jc w:val="center"/>
      </w:pPr>
      <w:r>
        <w:rPr>
          <w:rFonts w:ascii="Georgia" w:cs="Georgia" w:eastAsia="Georgia" w:hAnsi="Georgia"/>
          <w:b/>
          <w:bCs/>
          <w:i/>
          <w:iCs/>
          <w:sz w:val="24"/>
          <w:szCs w:val="24"/>
        </w:rPr>
        <w:t xml:space="preserve">Cadencia y drift</w:t>
      </w:r>
    </w:p>
    <w:p>
      <w:pPr>
        <w:spacing w:after="160" w:before="0" w:line="320"/>
        <w:jc w:val="both"/>
      </w:pPr>
      <w:r>
        <w:rPr>
          <w:rFonts w:ascii="Georgia" w:cs="Georgia" w:eastAsia="Georgia" w:hAnsi="Georgia"/>
          <w:sz w:val="22"/>
          <w:szCs w:val="22"/>
        </w:rPr>
        <w:t xml:space="preserve">La pipeline entera corre una vez por semana, los domingos por la noche, para que los movimientos ejecuten el lunes a la apertura. Esa cadencia es clave desde el punto de vista económico — nos deja en cincuenta y dos ciclos al año en vez de doscientos cincuenta — y también desde el punto de vista filosófico: obliga al sistema a pensar en horizontes semanales o superiores, lo cual está alineado con el canon value que le estamos cargando. Entre corrida y corrida, una pequeña pipeline de monitoreo liviano — sin IA, puramente cuantitativa — verifica que ningún holding se rompa de manera catastrófica (caída intradía mayor al diez por ciento, suspensión de cotización, hecho material público) y, si algo se dispara, activa un ciclo extraordinario con un prompt focal sobre ese nombre. Todo lo demás espera al domingo.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6"/>
              <w:left w:val="single" w:color="222222" w:sz="6"/>
              <w:bottom w:val="single" w:color="222222" w:sz="6"/>
              <w:right w:val="single" w:color="222222" w:sz="6"/>
            </w:tcBorders>
            <w:shd w:fill="F3F1EC" w:val="clear"/>
            <w:tcMar>
              <w:top w:type="dxa" w:w="240"/>
              <w:left w:type="dxa" w:w="360"/>
              <w:bottom w:type="dxa" w:w="240"/>
              <w:right w:type="dxa" w:w="360"/>
            </w:tcMar>
          </w:tcPr>
          <w:p>
            <w:pPr>
              <w:spacing w:after="160"/>
              <w:jc w:val="center"/>
            </w:pPr>
            <w:r>
              <w:rPr>
                <w:rFonts w:ascii="Georgia" w:cs="Georgia" w:eastAsia="Georgia" w:hAnsi="Georgia"/>
                <w:b/>
                <w:bCs/>
                <w:spacing w:val="80"/>
                <w:sz w:val="22"/>
                <w:szCs w:val="22"/>
              </w:rPr>
              <w:t xml:space="preserve">EL INSIGHT TÉCNICO</w:t>
            </w:r>
          </w:p>
          <w:p>
            <w:pPr>
              <w:spacing w:after="120" w:line="320"/>
              <w:jc w:val="center"/>
            </w:pPr>
            <w:r>
              <w:rPr>
                <w:rFonts w:ascii="Georgia" w:cs="Georgia" w:eastAsia="Georgia" w:hAnsi="Georgia"/>
                <w:i/>
                <w:iCs/>
                <w:sz w:val="22"/>
                <w:szCs w:val="22"/>
              </w:rPr>
              <w:t xml:space="preserve">Autopilot probó que la IA puede correr un portafolio sin intervención humana.</w:t>
            </w:r>
          </w:p>
          <w:p>
            <w:pPr>
              <w:spacing w:after="120" w:line="320"/>
              <w:jc w:val="center"/>
            </w:pPr>
            <w:r>
              <w:rPr>
                <w:rFonts w:ascii="Georgia" w:cs="Georgia" w:eastAsia="Georgia" w:hAnsi="Georgia"/>
                <w:i/>
                <w:iCs/>
                <w:sz w:val="22"/>
                <w:szCs w:val="22"/>
              </w:rPr>
              <w:t xml:space="preserve">Pero lo probó con la infraestructura de una startup de Silicon Valley.</w:t>
            </w:r>
          </w:p>
          <w:p>
            <w:pPr>
              <w:spacing w:after="120" w:line="320"/>
              <w:jc w:val="center"/>
            </w:pPr>
            <w:r>
              <w:rPr>
                <w:rFonts w:ascii="Georgia" w:cs="Georgia" w:eastAsia="Georgia" w:hAnsi="Georgia"/>
                <w:i/>
                <w:iCs/>
                <w:sz w:val="22"/>
                <w:szCs w:val="22"/>
              </w:rPr>
              <w:t xml:space="preserve">Lo interesante, ahora, es probar que se puede hacer igual de bien con un décimo del presupuesto si el pre-filtro es bueno y el modelo caro se usa solo cuando hace falta.</w:t>
            </w:r>
          </w:p>
        </w:tc>
      </w:tr>
    </w:tbl>
    <w:p>
      <w:r>
        <w:br w:type="page"/>
      </w:r>
    </w:p>
    <w:p>
      <w:pPr>
        <w:spacing w:after="120" w:before="480"/>
        <w:jc w:val="center"/>
      </w:pPr>
      <w:r>
        <w:rPr>
          <w:rFonts w:ascii="Georgia" w:cs="Georgia" w:eastAsia="Georgia" w:hAnsi="Georgia"/>
          <w:b/>
          <w:bCs/>
          <w:spacing w:val="80"/>
          <w:sz w:val="22"/>
          <w:szCs w:val="22"/>
        </w:rPr>
        <w:t xml:space="preserve">CAPÍTULO IV</w:t>
      </w:r>
    </w:p>
    <w:p>
      <w:pPr>
        <w:spacing w:after="360" w:before="0"/>
        <w:jc w:val="center"/>
      </w:pPr>
      <w:r>
        <w:rPr>
          <w:rFonts w:ascii="Georgia" w:cs="Georgia" w:eastAsia="Georgia" w:hAnsi="Georgia"/>
          <w:b/>
          <w:bCs/>
          <w:i/>
          <w:iCs/>
          <w:sz w:val="36"/>
          <w:szCs w:val="36"/>
        </w:rPr>
        <w:t xml:space="preserve">Cómo se mueven los activos</w:t>
      </w:r>
    </w:p>
    <w:p>
      <w:pPr>
        <w:spacing w:after="200" w:before="0" w:line="320"/>
        <w:jc w:val="both"/>
      </w:pPr>
      <w:r>
        <w:rPr>
          <w:rFonts w:ascii="Georgia" w:cs="Georgia" w:eastAsia="Georgia" w:hAnsi="Georgia"/>
          <w:b/>
          <w:bCs/>
          <w:sz w:val="28"/>
          <w:szCs w:val="28"/>
        </w:rPr>
        <w:t xml:space="preserve">L</w:t>
      </w:r>
      <w:r>
        <w:rPr>
          <w:rFonts w:ascii="Georgia" w:cs="Georgia" w:eastAsia="Georgia" w:hAnsi="Georgia"/>
          <w:sz w:val="22"/>
          <w:szCs w:val="22"/>
        </w:rPr>
        <w:t xml:space="preserve">a parte menos glamorosa del proyecto, y la que más fácil se rompe, es la ejecución. Un portafolio autónomo que produce rationales hermosos pero no ejecuta trades no existe. Un portafolio que ejecuta trades pero no guarda registros auditables es un fraude en potencia. Un portafolio que pierde sincronización entre lo que dice que hizo y lo que efectivamente hizo pierde toda su credibilidad en un solo evento. La infraestructura de ejecución, por eso, es el lugar donde no se escatima en rigor, aunque sí en dinero.</w:t>
      </w:r>
    </w:p>
    <w:p>
      <w:pPr>
        <w:spacing w:after="160" w:before="0" w:line="320"/>
        <w:jc w:val="both"/>
      </w:pPr>
      <w:r>
        <w:rPr>
          <w:rFonts w:ascii="Georgia" w:cs="Georgia" w:eastAsia="Georgia" w:hAnsi="Georgia"/>
          <w:sz w:val="22"/>
          <w:szCs w:val="22"/>
        </w:rPr>
        <w:t xml:space="preserve">La elección de broker es directa: Alpaca Markets. Es una API-first brokerage de Estados Unidos, tiene comisiones cero en equities y ETFs, ofrece paper trading gratuito con datos reales, y su API es lo suficientemente limpia como para que toda la capa de ejecución se escriba en doscientas líneas de Python. Las alternativas que evaluamos — Interactive Brokers vía su TWS API, y brokers argentinos vía integración manual — pierden en simplicidad, en costo, o en las dos cosas. Alpaca nos deja arrancar mañana con cuenta paper, y nos deja migrar a cuenta real con el mismo código y una sola variable de configuración cambiada.</w:t>
      </w:r>
    </w:p>
    <w:p>
      <w:pPr>
        <w:spacing w:after="160" w:before="0" w:line="320"/>
        <w:jc w:val="both"/>
      </w:pPr>
      <w:r>
        <w:rPr>
          <w:rFonts w:ascii="Georgia" w:cs="Georgia" w:eastAsia="Georgia" w:hAnsi="Georgia"/>
          <w:sz w:val="22"/>
          <w:szCs w:val="22"/>
        </w:rPr>
        <w:t xml:space="preserve">El flujo de ejecución es el siguiente. El constructor produce la cartera objetivo con pesos en porcentaje. Una capa de traducción convierte esos porcentajes a órdenes concretas, leyendo el estado actual del portafolio vía API de Alpaca — qué tenemos hoy, a qué precio, con qué peso. Calcula los deltas y genera la lista de órdenes de compra y venta necesarias para pasar del estado actual al objetivo. Cada orden se envía como market order al inicio del horario de negociación del lunes, se registra en nuestra base de datos con su identificador de Alpaca, y se verifica su ejecución efectiva dentro de los primeros quince minutos. Si alguna orden falla — rechazo por liquidez, rechazo por restricción, lo que sea — se loggea el fallo y el sistema decide si reintenta o abandona, según una regla predefinida.</w:t>
      </w:r>
    </w:p>
    <w:p>
      <w:pPr>
        <w:spacing w:after="160" w:before="0" w:line="320"/>
        <w:jc w:val="both"/>
      </w:pPr>
      <w:r>
        <w:rPr>
          <w:rFonts w:ascii="Georgia" w:cs="Georgia" w:eastAsia="Georgia" w:hAnsi="Georgia"/>
          <w:sz w:val="22"/>
          <w:szCs w:val="22"/>
        </w:rPr>
        <w:t xml:space="preserve">Toda la traza del sistema — desde el pre-filtro hasta la ejecución — se guarda en una base de datos relacional simple, probablemente PostgreSQL en un plan chico de Railway o de Neon, que es prácticamente gratis para nuestros volúmenes. Cada prompt enviado, cada respuesta recibida, cada dossier, cada orden, cada fill, con timestamp UTC. Esa tabla es sagrada y es lo que nos permite, llegado el caso, reconstruir qué decidió el sistema y por qué. También es lo que nos permite, cuando salgan artículos escépticos de "¿cómo sé que no están haciendo cherry-picking de los trades buenos?", contestar con una captura de base de datos y listo.</w:t>
      </w:r>
    </w:p>
    <w:p>
      <w:pPr>
        <w:spacing w:after="160" w:before="0" w:line="320"/>
        <w:jc w:val="both"/>
      </w:pPr>
      <w:r>
        <w:rPr>
          <w:rFonts w:ascii="Georgia" w:cs="Georgia" w:eastAsia="Georgia" w:hAnsi="Georgia"/>
          <w:sz w:val="22"/>
          <w:szCs w:val="22"/>
        </w:rPr>
        <w:t xml:space="preserve">Durante los primeros doce meses el trading es cien por ciento paper. No hay dinero real ejecutando nada. Esto no es una limitación, es una decisión estratégica. El paper trading en Alpaca usa precios reales de mercado, órdenes reales con ejecuciones realistas, y los únicos factores que deja de modelar — slippage agresivo, rechazo por liquidez extrema — son irrelevantes para nuestro universo de S&amp;P 500 líquido y tamaños pequeños. El paper trading nos da un track record verificable sin exponernos a ningún riesgo de capital y sin introducirnos en ninguna discusión regulatoria prematura. Al cabo de un año, con doce meses de performance real paper y todos los rationales públicos, la conversación sobre activar dinero real se da con datos, no con especulaciones.</w:t>
      </w:r>
    </w:p>
    <w:p>
      <w:r>
        <w:br w:type="page"/>
      </w:r>
    </w:p>
    <w:p>
      <w:pPr>
        <w:spacing w:after="120" w:before="480"/>
        <w:jc w:val="center"/>
      </w:pPr>
      <w:r>
        <w:rPr>
          <w:rFonts w:ascii="Georgia" w:cs="Georgia" w:eastAsia="Georgia" w:hAnsi="Georgia"/>
          <w:b/>
          <w:bCs/>
          <w:spacing w:val="80"/>
          <w:sz w:val="22"/>
          <w:szCs w:val="22"/>
        </w:rPr>
        <w:t xml:space="preserve">CAPÍTULO V</w:t>
      </w:r>
    </w:p>
    <w:p>
      <w:pPr>
        <w:spacing w:after="360" w:before="0"/>
        <w:jc w:val="center"/>
      </w:pPr>
      <w:r>
        <w:rPr>
          <w:rFonts w:ascii="Georgia" w:cs="Georgia" w:eastAsia="Georgia" w:hAnsi="Georgia"/>
          <w:b/>
          <w:bCs/>
          <w:i/>
          <w:iCs/>
          <w:sz w:val="36"/>
          <w:szCs w:val="36"/>
        </w:rPr>
        <w:t xml:space="preserve">La economía al hueso</w:t>
      </w:r>
    </w:p>
    <w:p>
      <w:pPr>
        <w:spacing w:after="200" w:before="0" w:line="320"/>
        <w:jc w:val="both"/>
      </w:pPr>
      <w:r>
        <w:rPr>
          <w:rFonts w:ascii="Georgia" w:cs="Georgia" w:eastAsia="Georgia" w:hAnsi="Georgia"/>
          <w:b/>
          <w:bCs/>
          <w:sz w:val="28"/>
          <w:szCs w:val="28"/>
        </w:rPr>
        <w:t xml:space="preserve">C</w:t>
      </w:r>
      <w:r>
        <w:rPr>
          <w:rFonts w:ascii="Georgia" w:cs="Georgia" w:eastAsia="Georgia" w:hAnsi="Georgia"/>
          <w:sz w:val="22"/>
          <w:szCs w:val="22"/>
        </w:rPr>
        <w:t xml:space="preserve">ualquier proyecto de IA aplicada que no empieza conversando sobre costos termina consumido por ellos. El número importa no porque Indigo AI vaya a quebrar por un recibo de la API — no va a quebrar porque los valores absolutos son chicos — sino porque la disciplina de minimización en esta etapa es la que nos permite sostener el experimento indefinidamente sin presión financiera y, sobre todo, escalarlo sin sorpresas cuando llegue el momento de hacerlo.</w:t>
      </w:r>
    </w:p>
    <w:p>
      <w:pPr>
        <w:spacing w:after="160" w:before="0" w:line="320"/>
        <w:jc w:val="both"/>
      </w:pPr>
      <w:r>
        <w:rPr>
          <w:rFonts w:ascii="Georgia" w:cs="Georgia" w:eastAsia="Georgia" w:hAnsi="Georgia"/>
          <w:sz w:val="22"/>
          <w:szCs w:val="22"/>
        </w:rPr>
        <w:t xml:space="preserve">El costo recurrente se descompone en cuatro líneas. La primera es la API de Claude, donde el cálculo razonable — para un ciclo semanal sobre sesenta candidatos filtrados, con Sonnet 4.6 haciendo el análisis profundo y Opus 4.7 apareciendo solo para los veinte finalistas y el constructor final — se ubica en el orden de los veinte a cuarenta dólares por ciclo. Cincuenta y dos ciclos al año, más algunas corridas extraordinarias, más el contenido editorial generado a partir de los rationales, totaliza una factura anual estimada entre mil quinientos y dos mil quinientos dólares. Con prompt caching agresivo del corpus de filosofía — que es el bloque más grande del input y que se reutiliza en cada llamada — esa cifra baja cerca del treinta por ciento. Con batch API para la parte del análisis que no necesita respuesta inmediata, baja otro cincuenta por ciento sobre la porción batchable. Hablamos, realistamente, de menos de ciento cincuenta dólares por mes en API.</w:t>
      </w:r>
    </w:p>
    <w:p>
      <w:pPr>
        <w:spacing w:after="160" w:before="0" w:line="320"/>
        <w:jc w:val="both"/>
      </w:pPr>
      <w:r>
        <w:rPr>
          <w:rFonts w:ascii="Georgia" w:cs="Georgia" w:eastAsia="Georgia" w:hAnsi="Georgia"/>
          <w:sz w:val="22"/>
          <w:szCs w:val="22"/>
        </w:rPr>
        <w:t xml:space="preserve">La segunda línea es datos de mercado. Alpaca tiene un plan gratuito que sirve para casi todo lo que necesitamos durante los primeros meses. Si en algún momento queremos acceso a datos intradía de mayor resolución o a fundamentals históricos extensos, Polygon.io tiene un plan de nueve a veintinueve dólares mensuales que cubre nuestras necesidades sin heroicidades. Yahoo Finance, vía la librería yfinance de Python, es una fuente secundaria gratuita que usamos para validar y rellenar huecos. Presupuesto razonable de datos: cero durante los primeros seis meses, entre diez y treinta dólares al mes después.</w:t>
      </w:r>
    </w:p>
    <w:p>
      <w:pPr>
        <w:spacing w:after="160" w:before="0" w:line="320"/>
        <w:jc w:val="both"/>
      </w:pPr>
      <w:r>
        <w:rPr>
          <w:rFonts w:ascii="Georgia" w:cs="Georgia" w:eastAsia="Georgia" w:hAnsi="Georgia"/>
          <w:sz w:val="22"/>
          <w:szCs w:val="22"/>
        </w:rPr>
        <w:t xml:space="preserve">La tercera línea es la infraestructura de ejecución. Un pequeño servicio backend que corre la pipeline semanal, más una base de datos, más una página estática que sirve el dashboard público. Railway, Fly.io o Render cubren lo primero por cinco a veinte dólares al mes. Neon o Supabase cubren la base de datos gratis hasta volúmenes que tardaríamos años en superar. Vercel o Cloudflare Pages sirven el front-end gratis. El dominio — sea un subdominio de indigostar.com o uno nuevo específico de Indigo AI — cuesta quince dólares al año. La línea infra, realistamente, es menos de treinta dólares al mes en régimen, y cero los primeros dos meses mientras usamos los niveles gratuitos.</w:t>
      </w:r>
    </w:p>
    <w:p>
      <w:pPr>
        <w:spacing w:after="160" w:before="0" w:line="320"/>
        <w:jc w:val="both"/>
      </w:pPr>
      <w:r>
        <w:rPr>
          <w:rFonts w:ascii="Georgia" w:cs="Georgia" w:eastAsia="Georgia" w:hAnsi="Georgia"/>
          <w:sz w:val="22"/>
          <w:szCs w:val="22"/>
        </w:rPr>
        <w:t xml:space="preserve">La cuarta línea es el capital en paper trading, que por definición es ficción: Alpaca nos da una cuenta paper con cien mil dólares virtuales y nosotros fijamos el tamaño base del portafolio en los cincuenta mil que usa Autopilot, para que la comparación sea limpia. No sale nada. Cuando en el mes doce evaluemos pasar a dinero real, la conversación va a ser otra — desde pagar el capital inicial hasta preguntarnos si ese capital es nuestro o se busca fondeo externo — pero durante la fase experimental no hay ningún desembolso.</w:t>
      </w:r>
    </w:p>
    <w:p>
      <w:pPr>
        <w:spacing w:after="160" w:before="0" w:line="320"/>
        <w:jc w:val="both"/>
      </w:pPr>
      <w:r>
        <w:rPr>
          <w:rFonts w:ascii="Georgia" w:cs="Georgia" w:eastAsia="Georgia" w:hAnsi="Georgia"/>
          <w:sz w:val="22"/>
          <w:szCs w:val="22"/>
        </w:rPr>
        <w:t xml:space="preserve">Sumado todo y tomando el escenario medio, Indigo AI corre en régimen estable por menos de doscientos dólares mensuales. Es un costo que entra en un presupuesto personal. No depende de financiamiento, no depende de clientes, no depende de que nada externo suceda para sostenerse. Esa autosuficiencia es la que nos permite hablar del experimento como una apuesta a doce meses sin angustia operativa. Si el experimento no despega como narrativa, cortamos el mes trece y listo. Si despega, el costo marginal de sostenerlo es despreciable al lado del valor de marca que genera.</w:t>
      </w:r>
    </w:p>
    <w:p>
      <w:pPr>
        <w:spacing w:after="360" w:before="360" w:line="360"/>
        <w:ind w:left="720" w:right="720"/>
        <w:jc w:val="center"/>
      </w:pPr>
      <w:r>
        <w:rPr>
          <w:rFonts w:ascii="Georgia" w:cs="Georgia" w:eastAsia="Georgia" w:hAnsi="Georgia"/>
          <w:i/>
          <w:iCs/>
          <w:sz w:val="26"/>
          <w:szCs w:val="26"/>
        </w:rPr>
        <w:t xml:space="preserve">"  Un proyecto público de IA que cuesta menos que un gimnasio por mes se termina cuando uno quiere, no cuando se termina la plata.  "</w:t>
      </w:r>
    </w:p>
    <w:p>
      <w:r>
        <w:br w:type="page"/>
      </w:r>
    </w:p>
    <w:p>
      <w:pPr>
        <w:spacing w:after="120" w:before="480"/>
        <w:jc w:val="center"/>
      </w:pPr>
      <w:r>
        <w:rPr>
          <w:rFonts w:ascii="Georgia" w:cs="Georgia" w:eastAsia="Georgia" w:hAnsi="Georgia"/>
          <w:b/>
          <w:bCs/>
          <w:spacing w:val="80"/>
          <w:sz w:val="22"/>
          <w:szCs w:val="22"/>
        </w:rPr>
        <w:t xml:space="preserve">CAPÍTULO VI</w:t>
      </w:r>
    </w:p>
    <w:p>
      <w:pPr>
        <w:spacing w:after="360" w:before="0"/>
        <w:jc w:val="center"/>
      </w:pPr>
      <w:r>
        <w:rPr>
          <w:rFonts w:ascii="Georgia" w:cs="Georgia" w:eastAsia="Georgia" w:hAnsi="Georgia"/>
          <w:b/>
          <w:bCs/>
          <w:i/>
          <w:iCs/>
          <w:sz w:val="36"/>
          <w:szCs w:val="36"/>
        </w:rPr>
        <w:t xml:space="preserve">Cómo se comunica</w:t>
      </w:r>
    </w:p>
    <w:p>
      <w:pPr>
        <w:spacing w:after="200" w:before="0" w:line="320"/>
        <w:jc w:val="both"/>
      </w:pPr>
      <w:r>
        <w:rPr>
          <w:rFonts w:ascii="Georgia" w:cs="Georgia" w:eastAsia="Georgia" w:hAnsi="Georgia"/>
          <w:b/>
          <w:bCs/>
          <w:sz w:val="28"/>
          <w:szCs w:val="28"/>
        </w:rPr>
        <w:t xml:space="preserve">S</w:t>
      </w:r>
      <w:r>
        <w:rPr>
          <w:rFonts w:ascii="Georgia" w:cs="Georgia" w:eastAsia="Georgia" w:hAnsi="Georgia"/>
          <w:sz w:val="22"/>
          <w:szCs w:val="22"/>
        </w:rPr>
        <w:t xml:space="preserve">i el experimento técnico es el cuerpo del proyecto, la comunicación es la piel. Todo lo que el sistema hace tiene que volverse visible; lo que no se muestra no existe. Y la buena noticia es que el portafolio autónomo tiene una propiedad estructural muy conveniente desde el punto de vista editorial: genera contenido por diseño. Cada decisión del constructor es, automáticamente, un texto narrativo. La tarea de comunicación no es inventar qué decir, sino ordenar y presentar lo que el sistema ya produjo.</w:t>
      </w:r>
    </w:p>
    <w:p>
      <w:pPr>
        <w:spacing w:after="180" w:before="280"/>
        <w:jc w:val="center"/>
      </w:pPr>
      <w:r>
        <w:rPr>
          <w:rFonts w:ascii="Georgia" w:cs="Georgia" w:eastAsia="Georgia" w:hAnsi="Georgia"/>
          <w:b/>
          <w:bCs/>
          <w:i/>
          <w:iCs/>
          <w:sz w:val="24"/>
          <w:szCs w:val="24"/>
        </w:rPr>
        <w:t xml:space="preserve">El canal principal: X</w:t>
      </w:r>
    </w:p>
    <w:p>
      <w:pPr>
        <w:spacing w:after="160" w:before="0" w:line="320"/>
        <w:jc w:val="both"/>
      </w:pPr>
      <w:r>
        <w:rPr>
          <w:rFonts w:ascii="Georgia" w:cs="Georgia" w:eastAsia="Georgia" w:hAnsi="Georgia"/>
          <w:sz w:val="22"/>
          <w:szCs w:val="22"/>
        </w:rPr>
        <w:t xml:space="preserve">El canal primario de Indigo AI es X, por analogía directa con @theaiportfolios. Ahí vive la audiencia fintech internacional, los traders activos, los medios de cobertura tecnológica, y la prensa especializada que va a ser la primera en cubrirnos si hacemos las cosas bien. La cuenta se llama algo como @indigoaiport o @theindigoportfolio; la elección exacta depende de disponibilidad. El formato de publicación tiene tres ritmos bien definidos. Los lunes, un thread de siete a diez tweets anunciando la cartera nueva: qué compró, qué vendió, qué mantuvo, y uno o dos párrafos por cada movimiento importante extraídos directamente del rationale del constructor. Durante la semana, micro-updates en tiempo real cuando algún holding reporta resultados, recibe noticias relevantes, o el sistema activa un ciclo extraordinario. Los viernes, un post de balance semanal con performance contra el S&amp;P 500 y un chart de la equity curve.</w:t>
      </w:r>
    </w:p>
    <w:p>
      <w:pPr>
        <w:spacing w:after="160" w:before="0" w:line="320"/>
        <w:jc w:val="both"/>
      </w:pPr>
      <w:r>
        <w:rPr>
          <w:rFonts w:ascii="Georgia" w:cs="Georgia" w:eastAsia="Georgia" w:hAnsi="Georgia"/>
          <w:sz w:val="22"/>
          <w:szCs w:val="22"/>
        </w:rPr>
        <w:t xml:space="preserve">El tono es deliberadamente descriptivo, no triunfalista. Si la semana fue buena, se informa con números y se explica a qué se debe. Si fue mala, se informa igual y se explica con el mismo nivel de detalle. Esa asimetría inversa — publicar las pérdidas con la misma ceremonia que las ganancias — es el diferencial más grande que podemos ofrecer versus los traders retail que pueblan el resto de X. La audiencia siente la diferencia en la segunda semana mala.</w:t>
      </w:r>
    </w:p>
    <w:p>
      <w:pPr>
        <w:spacing w:after="180" w:before="280"/>
        <w:jc w:val="center"/>
      </w:pPr>
      <w:r>
        <w:rPr>
          <w:rFonts w:ascii="Georgia" w:cs="Georgia" w:eastAsia="Georgia" w:hAnsi="Georgia"/>
          <w:b/>
          <w:bCs/>
          <w:i/>
          <w:iCs/>
          <w:sz w:val="24"/>
          <w:szCs w:val="24"/>
        </w:rPr>
        <w:t xml:space="preserve">Instagram: el canal visual</w:t>
      </w:r>
    </w:p>
    <w:p>
      <w:pPr>
        <w:spacing w:after="160" w:before="0" w:line="320"/>
        <w:jc w:val="both"/>
      </w:pPr>
      <w:r>
        <w:rPr>
          <w:rFonts w:ascii="Georgia" w:cs="Georgia" w:eastAsia="Georgia" w:hAnsi="Georgia"/>
          <w:sz w:val="22"/>
          <w:szCs w:val="22"/>
        </w:rPr>
        <w:t xml:space="preserve">Instagram no es para el público experto sino para el argentino joven con interés financiero naciente. Ahí el contenido se traduce a otro código: carousels de diseño cuidado, nunca más de seis pantallas, tipografía consistente, paleta idéntica a la de Indigo Star pero con un acento distinto — un azul más saturado, más frío — que señala que es un proyecto del ecosistema sin ser idéntico. Los tres formatos recurrentes son el holdings snapshot semanal los lunes, un chart explicado los miércoles (performance, exposición sectorial, comparativa con el S&amp;P), y un behind-the-scenes los viernes donde contamos algo sobre el sistema — una regla de la constitución, un paso de la pipeline, una decisión que el agente tomó y sorprendió. Instagram no busca convertir; busca construir awareness. La conversión ocurre cuando esos mismos usuarios llegan a la edad de tener plata para invertir y Indigo Star ya les suena.</w:t>
      </w:r>
    </w:p>
    <w:p>
      <w:pPr>
        <w:spacing w:after="180" w:before="280"/>
        <w:jc w:val="center"/>
      </w:pPr>
      <w:r>
        <w:rPr>
          <w:rFonts w:ascii="Georgia" w:cs="Georgia" w:eastAsia="Georgia" w:hAnsi="Georgia"/>
          <w:b/>
          <w:bCs/>
          <w:i/>
          <w:iCs/>
          <w:sz w:val="24"/>
          <w:szCs w:val="24"/>
        </w:rPr>
        <w:t xml:space="preserve">El dashboard público</w:t>
      </w:r>
    </w:p>
    <w:p>
      <w:pPr>
        <w:spacing w:after="160" w:before="0" w:line="320"/>
        <w:jc w:val="both"/>
      </w:pPr>
      <w:r>
        <w:rPr>
          <w:rFonts w:ascii="Georgia" w:cs="Georgia" w:eastAsia="Georgia" w:hAnsi="Georgia"/>
          <w:sz w:val="22"/>
          <w:szCs w:val="22"/>
        </w:rPr>
        <w:t xml:space="preserve">La pieza más importante de la comunicación, y la que más va a diferenciarnos, no es ningún posteo: es el dashboard público. Una página en vivo, accesible desde indigostar.com/ai o equivalente, que muestra sin filtro la equity curve desde el día uno, el portafolio actual con sus pesos, todos los trades históricos con sus rationales completos, la comparación contra el S&amp;P 500, y los indicadores de riesgo básicos — drawdown máximo, volatilidad anualizada, sharpe ratio, beta estimada contra el benchmark. Todo actualizado automáticamente desde nuestra base de datos, sin intervención humana diaria. Esa página es la que referencia cada tweet. Esa página es la que los periodistas revisan antes de escribir sobre nosotros. Esa página es la que, al cabo de seis meses de existir, convierte a Indigo AI de curiosidad en institución.</w:t>
      </w:r>
    </w:p>
    <w:p>
      <w:pPr>
        <w:spacing w:after="180" w:before="280"/>
        <w:jc w:val="center"/>
      </w:pPr>
      <w:r>
        <w:rPr>
          <w:rFonts w:ascii="Georgia" w:cs="Georgia" w:eastAsia="Georgia" w:hAnsi="Georgia"/>
          <w:b/>
          <w:bCs/>
          <w:i/>
          <w:iCs/>
          <w:sz w:val="24"/>
          <w:szCs w:val="24"/>
        </w:rPr>
        <w:t xml:space="preserve">El newsletter mensual</w:t>
      </w:r>
    </w:p>
    <w:p>
      <w:pPr>
        <w:spacing w:after="160" w:before="0" w:line="320"/>
        <w:jc w:val="both"/>
      </w:pPr>
      <w:r>
        <w:rPr>
          <w:rFonts w:ascii="Georgia" w:cs="Georgia" w:eastAsia="Georgia" w:hAnsi="Georgia"/>
          <w:sz w:val="22"/>
          <w:szCs w:val="22"/>
        </w:rPr>
        <w:t xml:space="preserve">Una vez por mes, un envío por email a los suscriptos, separado del newsletter de Indigo Star. Se llama algo así como "Indigo AI · Monthly Report". Dos mil palabras, formato cuidado, estructura fija que la gente aprende a leer: performance del mes con números fríos, las tres decisiones más importantes que tomó el sistema y por qué, las tres cosas que el sistema hizo mal o rarísimo y cómo las interpretamos, las lecciones que nos quedaron a nosotros como operadores humanos de un sistema que no pensamos nosotros. El newsletter es el único activo editorial íntegramente nuestro: no depende de algoritmos de redes, sobrevive a cualquier cambio de plataforma, y se convierte en la fuente de referencia cuando alguien quiere entender qué es Indigo AI en profundidad. Apuntamos a mil suscriptos al sexto mes.</w:t>
      </w:r>
    </w:p>
    <w:p>
      <w:pPr>
        <w:spacing w:after="180" w:before="280"/>
        <w:jc w:val="center"/>
      </w:pPr>
      <w:r>
        <w:rPr>
          <w:rFonts w:ascii="Georgia" w:cs="Georgia" w:eastAsia="Georgia" w:hAnsi="Georgia"/>
          <w:b/>
          <w:bCs/>
          <w:i/>
          <w:iCs/>
          <w:sz w:val="24"/>
          <w:szCs w:val="24"/>
        </w:rPr>
        <w:t xml:space="preserve">YouTube, más adelante</w:t>
      </w:r>
    </w:p>
    <w:p>
      <w:pPr>
        <w:spacing w:after="160" w:before="0" w:line="320"/>
        <w:jc w:val="both"/>
      </w:pPr>
      <w:r>
        <w:rPr>
          <w:rFonts w:ascii="Georgia" w:cs="Georgia" w:eastAsia="Georgia" w:hAnsi="Georgia"/>
          <w:sz w:val="22"/>
          <w:szCs w:val="22"/>
        </w:rPr>
        <w:t xml:space="preserve">YouTube no arranca al día uno. Pero cuando tengamos seis meses de data, abrir un canal con un video mensual de diez minutos — una revisión del mes, narrada por nosotros, con el dashboard en pantalla y comentario en audio — se vuelve un activo muy fuerte. YouTube es donde el contenido no muere: un video publicado en el mes ocho sigue trayendo tráfico orgánico en el mes treinta. Es una apuesta a mediano plazo, no arranca hasta que el experimento tiene material maduro que mostrar. Lo planificamos para el mes siete como lanzamiento, para tener seis ediciones cerradas antes del fin del año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6"/>
              <w:left w:val="single" w:color="222222" w:sz="6"/>
              <w:bottom w:val="single" w:color="222222" w:sz="6"/>
              <w:right w:val="single" w:color="222222" w:sz="6"/>
            </w:tcBorders>
            <w:shd w:fill="F3F1EC" w:val="clear"/>
            <w:tcMar>
              <w:top w:type="dxa" w:w="240"/>
              <w:left w:type="dxa" w:w="360"/>
              <w:bottom w:type="dxa" w:w="240"/>
              <w:right w:type="dxa" w:w="360"/>
            </w:tcMar>
          </w:tcPr>
          <w:p>
            <w:pPr>
              <w:spacing w:after="160"/>
              <w:jc w:val="center"/>
            </w:pPr>
            <w:r>
              <w:rPr>
                <w:rFonts w:ascii="Georgia" w:cs="Georgia" w:eastAsia="Georgia" w:hAnsi="Georgia"/>
                <w:b/>
                <w:bCs/>
                <w:spacing w:val="80"/>
                <w:sz w:val="22"/>
                <w:szCs w:val="22"/>
              </w:rPr>
              <w:t xml:space="preserve">EL INSIGHT DE COMUNICACIÓN</w:t>
            </w:r>
          </w:p>
          <w:p>
            <w:pPr>
              <w:spacing w:after="120" w:line="320"/>
              <w:jc w:val="center"/>
            </w:pPr>
            <w:r>
              <w:rPr>
                <w:rFonts w:ascii="Georgia" w:cs="Georgia" w:eastAsia="Georgia" w:hAnsi="Georgia"/>
                <w:i/>
                <w:iCs/>
                <w:sz w:val="22"/>
                <w:szCs w:val="22"/>
              </w:rPr>
              <w:t xml:space="preserve">La transparencia radical no es solamente ética; también es propaganda eficiente.</w:t>
            </w:r>
          </w:p>
          <w:p>
            <w:pPr>
              <w:spacing w:after="120" w:line="320"/>
              <w:jc w:val="center"/>
            </w:pPr>
            <w:r>
              <w:rPr>
                <w:rFonts w:ascii="Georgia" w:cs="Georgia" w:eastAsia="Georgia" w:hAnsi="Georgia"/>
                <w:i/>
                <w:iCs/>
                <w:sz w:val="22"/>
                <w:szCs w:val="22"/>
              </w:rPr>
              <w:t xml:space="preserve">Un portafolio que publica sus errores en tiempo real genera más confianza</w:t>
            </w:r>
          </w:p>
          <w:p>
            <w:pPr>
              <w:spacing w:after="120" w:line="320"/>
              <w:jc w:val="center"/>
            </w:pPr>
            <w:r>
              <w:rPr>
                <w:rFonts w:ascii="Georgia" w:cs="Georgia" w:eastAsia="Georgia" w:hAnsi="Georgia"/>
                <w:i/>
                <w:iCs/>
                <w:sz w:val="22"/>
                <w:szCs w:val="22"/>
              </w:rPr>
              <w:t xml:space="preserve">que diez campañas diciendo que uno es confiable.</w:t>
            </w:r>
          </w:p>
        </w:tc>
      </w:tr>
    </w:tbl>
    <w:p>
      <w:r>
        <w:br w:type="page"/>
      </w:r>
    </w:p>
    <w:p>
      <w:pPr>
        <w:spacing w:after="120" w:before="480"/>
        <w:jc w:val="center"/>
      </w:pPr>
      <w:r>
        <w:rPr>
          <w:rFonts w:ascii="Georgia" w:cs="Georgia" w:eastAsia="Georgia" w:hAnsi="Georgia"/>
          <w:b/>
          <w:bCs/>
          <w:spacing w:val="80"/>
          <w:sz w:val="22"/>
          <w:szCs w:val="22"/>
        </w:rPr>
        <w:t xml:space="preserve">CAPÍTULO VII</w:t>
      </w:r>
    </w:p>
    <w:p>
      <w:pPr>
        <w:spacing w:after="360" w:before="0"/>
        <w:jc w:val="center"/>
      </w:pPr>
      <w:r>
        <w:rPr>
          <w:rFonts w:ascii="Georgia" w:cs="Georgia" w:eastAsia="Georgia" w:hAnsi="Georgia"/>
          <w:b/>
          <w:bCs/>
          <w:i/>
          <w:iCs/>
          <w:sz w:val="36"/>
          <w:szCs w:val="36"/>
        </w:rPr>
        <w:t xml:space="preserve">¿Hay que sumar a alguien de IA?</w:t>
      </w:r>
    </w:p>
    <w:p>
      <w:pPr>
        <w:spacing w:after="200" w:before="0" w:line="320"/>
        <w:jc w:val="both"/>
      </w:pPr>
      <w:r>
        <w:rPr>
          <w:rFonts w:ascii="Georgia" w:cs="Georgia" w:eastAsia="Georgia" w:hAnsi="Georgia"/>
          <w:b/>
          <w:bCs/>
          <w:sz w:val="28"/>
          <w:szCs w:val="28"/>
        </w:rPr>
        <w:t xml:space="preserve">L</w:t>
      </w:r>
      <w:r>
        <w:rPr>
          <w:rFonts w:ascii="Georgia" w:cs="Georgia" w:eastAsia="Georgia" w:hAnsi="Georgia"/>
          <w:sz w:val="22"/>
          <w:szCs w:val="22"/>
        </w:rPr>
        <w:t xml:space="preserve">a pregunta aparece naturalmente y hay que contestarla con honestidad. Indigo AI, aun con el diseño simplificado que se describe arriba, implica escribir y mantener un sistema compuesto por un pipeline de datos, una serie de prompts orquestados, una capa de ejecución contra un broker, una base de datos, un dashboard público, y una automatización de publicación en redes. Eso no es una línea de código; es un proyecto de software real, chico pero real. La pregunta es si Franco y Felipe lo hacen solos, o si conviene sumar a una tercera persona con perfil técnico, y si esa persona conviene buscarla en UdeSA o en UADE, donde ambas universidades tienen carreras específicas de inteligencia artificial.</w:t>
      </w:r>
    </w:p>
    <w:p>
      <w:pPr>
        <w:spacing w:after="160" w:before="0" w:line="320"/>
        <w:jc w:val="both"/>
      </w:pPr>
      <w:r>
        <w:rPr>
          <w:rFonts w:ascii="Georgia" w:cs="Georgia" w:eastAsia="Georgia" w:hAnsi="Georgia"/>
          <w:sz w:val="22"/>
          <w:szCs w:val="22"/>
        </w:rPr>
        <w:t xml:space="preserve">La respuesta corta es que, durante los primeros tres meses, no. Durante los primeros tres meses conviene que lo construyamos nosotros. El motivo es estratégico, no técnico. La arquitectura del sistema — cuáles son los prompts, qué filosofía se carga, qué reglas tiene la constitución, qué criterios usa el constructor — es el núcleo conceptual del proyecto, y ese núcleo lo escribimos nosotros desde el oficio financiero, no desde la ingeniería. Si delegamos esa primera versión a alguien técnico, incluso siendo alguien brillante, perdemos el control del producto antes de haberlo entendido nosotros mismos. Y el día que ese tercero se va — y siempre se van, por mejor oferta o por lo que sea — nos quedamos sin saber cómo funciona lo que nos está representando.</w:t>
      </w:r>
    </w:p>
    <w:p>
      <w:pPr>
        <w:spacing w:after="160" w:before="0" w:line="320"/>
        <w:jc w:val="both"/>
      </w:pPr>
      <w:r>
        <w:rPr>
          <w:rFonts w:ascii="Georgia" w:cs="Georgia" w:eastAsia="Georgia" w:hAnsi="Georgia"/>
          <w:sz w:val="22"/>
          <w:szCs w:val="22"/>
        </w:rPr>
        <w:t xml:space="preserve">La salida sensata es la siguiente. Durante el primer trimestre, Franco lidera el desarrollo apoyándose en Claude para generar el código concreto. La arquitectura que describimos en los capítulos tres y cuatro es deliberadamente sencilla; un trimestre de trabajo a tiempo parcial alcanza para tenerla funcionando en paper. Esto es perfectamente viable: hoy un programador humano con asistencia de un modelo frontera produce, en horas, lo que hace cinco años requería equipos enteros. Y el aprendizaje que Franco acumula al construirlo así es invalorable, porque lo convierte en alguien que puede hablar de Indigo AI con autoridad técnica cuando los periodistas pregunten, en vez de tener que delegar la respuesta a un tercero.</w:t>
      </w:r>
    </w:p>
    <w:p>
      <w:pPr>
        <w:spacing w:after="160" w:before="0" w:line="320"/>
        <w:jc w:val="both"/>
      </w:pPr>
      <w:r>
        <w:rPr>
          <w:rFonts w:ascii="Georgia" w:cs="Georgia" w:eastAsia="Georgia" w:hAnsi="Georgia"/>
          <w:sz w:val="22"/>
          <w:szCs w:val="22"/>
        </w:rPr>
        <w:t xml:space="preserve">Cuando arranque el segundo trimestre, y ya con un sistema corriendo en paper con datos reales, ahí sí se evalúa traer a alguien. El perfil ideal no es un ingeniero sénior — sería carísimo y no lo necesitamos — sino un estudiante avanzado de las carreras de IA. En UdeSA está la Ingeniería en Inteligencia Artificial, lanzada en 2022, que tiene en sus últimos años alumnos con formación sólida en machine learning, software y matemática aplicada. En UADE está la Licenciatura en Inteligencia Artificial y Ciencia de Datos, de perfil más práctico y con énfasis en aplicaciones empresariales. Ambas son fuentes legítimas. Entre las dos, UdeSA suele producir perfiles más rigurosos en el fundamento teórico, y UADE perfiles más ejecutivos listos para producir código productivo. Para lo que necesitamos — mantener una pipeline, monitorear costos, mejorar el dashboard — cualquiera de los dos sirve, y la elección debería hacerse conociendo personas concretas, no a la universidad.</w:t>
      </w:r>
    </w:p>
    <w:p>
      <w:pPr>
        <w:spacing w:after="160" w:before="0" w:line="320"/>
        <w:jc w:val="both"/>
      </w:pPr>
      <w:r>
        <w:rPr>
          <w:rFonts w:ascii="Georgia" w:cs="Georgia" w:eastAsia="Georgia" w:hAnsi="Georgia"/>
          <w:sz w:val="22"/>
          <w:szCs w:val="22"/>
        </w:rPr>
        <w:t xml:space="preserve">La forma ideal de incorporación no es una contratación full-time. Es una pasantía-residencia — un nombre cualquiera — de seis meses, con stipend simbólico al principio y compensación real cuando el proyecto tenga tracción demostrable. La persona entra a un proyecto con filosofía ya definida, pipeline ya armada, y contenido editorial ya corriendo. Su mandato es claro: mantener lo existente, iterar sobre lo que marquemos nosotros, y proponer mejoras técnicas dentro de un marco que entiende y respeta. El equity, si aparece, se discute al final de los seis meses según lo que efectivamente aportó. Esa estructura nos protege — no regalamos participación antes de ver resultados — y a la vez le ofrece a un estudiante brillante una experiencia que ningún empleo corporativo le da: ser el tercer ingeniero de un proyecto público visible.</w:t>
      </w:r>
    </w:p>
    <w:p>
      <w:pPr>
        <w:spacing w:after="160" w:before="0" w:line="320"/>
        <w:jc w:val="both"/>
      </w:pPr>
      <w:r>
        <w:rPr>
          <w:rFonts w:ascii="Georgia" w:cs="Georgia" w:eastAsia="Georgia" w:hAnsi="Georgia"/>
          <w:sz w:val="22"/>
          <w:szCs w:val="22"/>
        </w:rPr>
        <w:t xml:space="preserve">Hay una razón adicional por la que esta estructura importa. Un residente que pasa seis meses con nosotros y después se va a un banco, un fondo o una fintech, se lleva la historia de Indigo Star y Indigo AI adentro. Se convierte, sin pedírselo, en embajador silencioso. La misma lógica que describíamos en el roadmap principal de Indigo Star para la residencia editorial se aplica acá con aún más fuerza: el sistema universitario argentino en IA es chico y todo se sabe; un residente nuestro es publicidad compuesta a cinco años vista.</w:t>
      </w:r>
    </w:p>
    <w:p>
      <w:r>
        <w:br w:type="page"/>
      </w:r>
    </w:p>
    <w:p>
      <w:pPr>
        <w:spacing w:after="120" w:before="480"/>
        <w:jc w:val="center"/>
      </w:pPr>
      <w:r>
        <w:rPr>
          <w:rFonts w:ascii="Georgia" w:cs="Georgia" w:eastAsia="Georgia" w:hAnsi="Georgia"/>
          <w:b/>
          <w:bCs/>
          <w:spacing w:val="80"/>
          <w:sz w:val="22"/>
          <w:szCs w:val="22"/>
        </w:rPr>
        <w:t xml:space="preserve">CAPÍTULO VIII</w:t>
      </w:r>
    </w:p>
    <w:p>
      <w:pPr>
        <w:spacing w:after="360" w:before="0"/>
        <w:jc w:val="center"/>
      </w:pPr>
      <w:r>
        <w:rPr>
          <w:rFonts w:ascii="Georgia" w:cs="Georgia" w:eastAsia="Georgia" w:hAnsi="Georgia"/>
          <w:b/>
          <w:bCs/>
          <w:i/>
          <w:iCs/>
          <w:sz w:val="36"/>
          <w:szCs w:val="36"/>
        </w:rPr>
        <w:t xml:space="preserve">Noventa días y un año</w:t>
      </w:r>
    </w:p>
    <w:p>
      <w:pPr>
        <w:spacing w:after="200" w:before="0" w:line="320"/>
        <w:jc w:val="both"/>
      </w:pPr>
      <w:r>
        <w:rPr>
          <w:rFonts w:ascii="Georgia" w:cs="Georgia" w:eastAsia="Georgia" w:hAnsi="Georgia"/>
          <w:b/>
          <w:bCs/>
          <w:sz w:val="28"/>
          <w:szCs w:val="28"/>
        </w:rPr>
        <w:t xml:space="preserve">E</w:t>
      </w:r>
      <w:r>
        <w:rPr>
          <w:rFonts w:ascii="Georgia" w:cs="Georgia" w:eastAsia="Georgia" w:hAnsi="Georgia"/>
          <w:sz w:val="22"/>
          <w:szCs w:val="22"/>
        </w:rPr>
        <w:t xml:space="preserve">l roadmap de Indigo AI es más corto que el de Indigo Star porque el proyecto es más acotado. En noventa días debería estar corriendo; en doce meses debería tener un track record completo que sostenga o rechace la apuesta. La secuencia que sigue es ambiciosa pero cumplible, y está pensada para que los hitos sean verificables desde afuera, no solamente desde dentro del equipo.</w:t>
      </w:r>
    </w:p>
    <w:p>
      <w:pPr>
        <w:spacing w:after="180" w:before="280"/>
        <w:jc w:val="center"/>
      </w:pPr>
      <w:r>
        <w:rPr>
          <w:rFonts w:ascii="Georgia" w:cs="Georgia" w:eastAsia="Georgia" w:hAnsi="Georgia"/>
          <w:b/>
          <w:bCs/>
          <w:i/>
          <w:iCs/>
          <w:sz w:val="24"/>
          <w:szCs w:val="24"/>
        </w:rPr>
        <w:t xml:space="preserve">Mes uno</w:t>
      </w:r>
    </w:p>
    <w:p>
      <w:pPr>
        <w:spacing w:after="160" w:before="0" w:line="320"/>
        <w:jc w:val="both"/>
      </w:pPr>
      <w:r>
        <w:rPr>
          <w:rFonts w:ascii="Georgia" w:cs="Georgia" w:eastAsia="Georgia" w:hAnsi="Georgia"/>
          <w:sz w:val="22"/>
          <w:szCs w:val="22"/>
        </w:rPr>
        <w:t xml:space="preserve">El primer mes es todo escritura. Se redacta la constitución del sistema en su versión 1.0, dos páginas, firmada por los dos socios, versionada en Git público. Se arma y se carga el corpus filosófico — Buffett, Lynch, Marks, Graham, Smith, Munger, Fisher, Klarman — normalizado como un bloque de contexto reutilizable. Se registra el dominio, se crean las cuentas de X e Instagram, se arma la landing page básica. Se abre la cuenta de Alpaca en modo paper y se conecta la API. No se ejecuta todavía ningún trade ni se publica nada. Es el trimestre fundacional silencioso.</w:t>
      </w:r>
    </w:p>
    <w:p>
      <w:pPr>
        <w:spacing w:after="180" w:before="280"/>
        <w:jc w:val="center"/>
      </w:pPr>
      <w:r>
        <w:rPr>
          <w:rFonts w:ascii="Georgia" w:cs="Georgia" w:eastAsia="Georgia" w:hAnsi="Georgia"/>
          <w:b/>
          <w:bCs/>
          <w:i/>
          <w:iCs/>
          <w:sz w:val="24"/>
          <w:szCs w:val="24"/>
        </w:rPr>
        <w:t xml:space="preserve">Mes dos</w:t>
      </w:r>
    </w:p>
    <w:p>
      <w:pPr>
        <w:spacing w:after="160" w:before="0" w:line="320"/>
        <w:jc w:val="both"/>
      </w:pPr>
      <w:r>
        <w:rPr>
          <w:rFonts w:ascii="Georgia" w:cs="Georgia" w:eastAsia="Georgia" w:hAnsi="Georgia"/>
          <w:sz w:val="22"/>
          <w:szCs w:val="22"/>
        </w:rPr>
        <w:t xml:space="preserve">Se construye la pipeline. Screener cuantitativo, agente de análisis con Sonnet, agentes de debate con Opus para finalistas, constructor final. Cada paso se testea con corridas en seco, comparando las decisiones del sistema contra lo que nosotros habríamos decidido en esos mismos nombres. El objetivo del mes dos no es tener performance; es tener un sistema que funcione, que no tire errores, y cuyas decisiones sean razonables según nuestro ojo humano. Se arma el dashboard básico en Vercel con datos de prueba. Se conecta la publicación automática a X en modo borrador.</w:t>
      </w:r>
    </w:p>
    <w:p>
      <w:pPr>
        <w:spacing w:after="180" w:before="280"/>
        <w:jc w:val="center"/>
      </w:pPr>
      <w:r>
        <w:rPr>
          <w:rFonts w:ascii="Georgia" w:cs="Georgia" w:eastAsia="Georgia" w:hAnsi="Georgia"/>
          <w:b/>
          <w:bCs/>
          <w:i/>
          <w:iCs/>
          <w:sz w:val="24"/>
          <w:szCs w:val="24"/>
        </w:rPr>
        <w:t xml:space="preserve">Mes tres</w:t>
      </w:r>
    </w:p>
    <w:p>
      <w:pPr>
        <w:spacing w:after="160" w:before="0" w:line="320"/>
        <w:jc w:val="both"/>
      </w:pPr>
      <w:r>
        <w:rPr>
          <w:rFonts w:ascii="Georgia" w:cs="Georgia" w:eastAsia="Georgia" w:hAnsi="Georgia"/>
          <w:sz w:val="22"/>
          <w:szCs w:val="22"/>
        </w:rPr>
        <w:t xml:space="preserve">Arranca la operación en paper. Primer ciclo real un domingo a la noche, primera ejecución un lunes a la apertura, primer post público en X el mismo lunes al mediodía. Se publica la constitución entera en el sitio. Se anuncia el proyecto en redes con un thread fundacional. Se define el cronograma de publicaciones regulares. Los primeros tres o cuatro ciclos van a tener bugs, decisiones raras, y situaciones que no anticipamos; parte de la honestidad del proyecto es publicar esos eventos también, y mejorar el sistema en público. El fin del mes tres cierra el trimestre con el experimento ya corriendo y con la primera versión del dashboard totalmente operativa.</w:t>
      </w:r>
    </w:p>
    <w:p>
      <w:pPr>
        <w:spacing w:after="180" w:before="280"/>
        <w:jc w:val="center"/>
      </w:pPr>
      <w:r>
        <w:rPr>
          <w:rFonts w:ascii="Georgia" w:cs="Georgia" w:eastAsia="Georgia" w:hAnsi="Georgia"/>
          <w:b/>
          <w:bCs/>
          <w:i/>
          <w:iCs/>
          <w:sz w:val="24"/>
          <w:szCs w:val="24"/>
        </w:rPr>
        <w:t xml:space="preserve">Meses cuatro a seis</w:t>
      </w:r>
    </w:p>
    <w:p>
      <w:pPr>
        <w:spacing w:after="160" w:before="0" w:line="320"/>
        <w:jc w:val="both"/>
      </w:pPr>
      <w:r>
        <w:rPr>
          <w:rFonts w:ascii="Georgia" w:cs="Georgia" w:eastAsia="Georgia" w:hAnsi="Georgia"/>
          <w:sz w:val="22"/>
          <w:szCs w:val="22"/>
        </w:rPr>
        <w:t xml:space="preserve">Ritmo. Semana tras semana, ciclo tras ciclo, publicación tras publicación. Se evalúa la incorporación del residente técnico. Se lanza el newsletter mensual en el mes cuatro. Se empieza a buscar cobertura de prensa — Bloomberg Línea, Cenital, Forbes Argentina, algún medio fintech regional — con el argumento de que somos la versión hispanohablante del experimento de Autopilot, lo cual es literalmente cierto. A la mitad del mes seis, primer hito público: seis meses de performance auditable, análisis retrospectivo en el newsletter, comparación honesta contra el benchmark. Si la performance es pobre, igual lo contamos; ese es el pacto.</w:t>
      </w:r>
    </w:p>
    <w:p>
      <w:pPr>
        <w:spacing w:after="180" w:before="280"/>
        <w:jc w:val="center"/>
      </w:pPr>
      <w:r>
        <w:rPr>
          <w:rFonts w:ascii="Georgia" w:cs="Georgia" w:eastAsia="Georgia" w:hAnsi="Georgia"/>
          <w:b/>
          <w:bCs/>
          <w:i/>
          <w:iCs/>
          <w:sz w:val="24"/>
          <w:szCs w:val="24"/>
        </w:rPr>
        <w:t xml:space="preserve">Meses siete a doce</w:t>
      </w:r>
    </w:p>
    <w:p>
      <w:pPr>
        <w:spacing w:after="160" w:before="0" w:line="320"/>
        <w:jc w:val="both"/>
      </w:pPr>
      <w:r>
        <w:rPr>
          <w:rFonts w:ascii="Georgia" w:cs="Georgia" w:eastAsia="Georgia" w:hAnsi="Georgia"/>
          <w:sz w:val="22"/>
          <w:szCs w:val="22"/>
        </w:rPr>
        <w:t xml:space="preserve">Lanzamiento del canal de YouTube con el primer video mensual. Cuenta acumulada de suscriptos, de followers, de cobertura. Evaluación de si la arquitectura actual se mantiene o se itera — por ejemplo, agregar un agente macro que lea el régimen global y sesgue la exposición sectorial, o refinar la constitución con aprendizajes de los primeros seis meses. Al cierre del mes doce, reporte anual extenso, tipo informe de gestora seria, veinte a treinta páginas, con la performance completa, la explicación de qué funcionó y qué no, y la decisión pública sobre el año dos: se sigue en paper, se escala a dinero real nuestro, se abre a dinero real externo con un vehículo regulatorio adecuado, o se cierra el experimento y se capitaliza el aprendizaje. Esa decisión, tomada con un año de datos en la mano, va a tener la calidad que tienen las decisiones basadas en evidencia, no en entusiasmo.</w:t>
      </w:r>
    </w:p>
    <w:p>
      <w:pPr>
        <w:spacing w:after="360" w:before="360" w:line="360"/>
        <w:ind w:left="720" w:right="720"/>
        <w:jc w:val="center"/>
      </w:pPr>
      <w:r>
        <w:rPr>
          <w:rFonts w:ascii="Georgia" w:cs="Georgia" w:eastAsia="Georgia" w:hAnsi="Georgia"/>
          <w:i/>
          <w:iCs/>
          <w:sz w:val="26"/>
          <w:szCs w:val="26"/>
        </w:rPr>
        <w:t xml:space="preserve">"  Doce meses de paper con transparencia radical valen más, como activo reputacional, que tres años de gestión privada con buena performance pero sin historia pública.  "</w:t>
      </w:r>
    </w:p>
    <w:p>
      <w:r>
        <w:br w:type="page"/>
      </w:r>
    </w:p>
    <w:p>
      <w:pPr>
        <w:spacing w:after="120" w:before="320"/>
        <w:jc w:val="center"/>
      </w:pPr>
      <w:r>
        <w:rPr>
          <w:rFonts w:ascii="Georgia" w:cs="Georgia" w:eastAsia="Georgia" w:hAnsi="Georgia"/>
          <w:b/>
          <w:bCs/>
          <w:spacing w:val="80"/>
          <w:sz w:val="22"/>
          <w:szCs w:val="22"/>
        </w:rPr>
        <w:t xml:space="preserve">CIERRE</w:t>
      </w:r>
    </w:p>
    <w:p>
      <w:pPr>
        <w:spacing w:after="360" w:before="0"/>
        <w:jc w:val="center"/>
      </w:pPr>
      <w:r>
        <w:rPr>
          <w:rFonts w:ascii="Georgia" w:cs="Georgia" w:eastAsia="Georgia" w:hAnsi="Georgia"/>
          <w:b/>
          <w:bCs/>
          <w:i/>
          <w:iCs/>
          <w:sz w:val="36"/>
          <w:szCs w:val="36"/>
        </w:rPr>
        <w:t xml:space="preserve">Lo que se firma con este documento</w:t>
      </w:r>
    </w:p>
    <w:p>
      <w:pPr>
        <w:spacing w:after="200" w:before="0" w:line="320"/>
        <w:jc w:val="both"/>
      </w:pPr>
      <w:r>
        <w:rPr>
          <w:rFonts w:ascii="Georgia" w:cs="Georgia" w:eastAsia="Georgia" w:hAnsi="Georgia"/>
          <w:b/>
          <w:bCs/>
          <w:sz w:val="28"/>
          <w:szCs w:val="28"/>
        </w:rPr>
        <w:t xml:space="preserve">I</w:t>
      </w:r>
      <w:r>
        <w:rPr>
          <w:rFonts w:ascii="Georgia" w:cs="Georgia" w:eastAsia="Georgia" w:hAnsi="Georgia"/>
          <w:sz w:val="22"/>
          <w:szCs w:val="22"/>
        </w:rPr>
        <w:t xml:space="preserve">ndigo AI no es el producto principal de lo que estamos construyendo. Indigo Star lo es, y tiene su propio plan, su propio ritmo, sus propios hitos regulatorios y comerciales. Indigo AI es, deliberadamente, un experimento paralelo. Es la apuesta a que la mejor forma de construir autoridad pública en la intersección de finanzas e inteligencia artificial es hacerla, mostrarla, y sostenerla durante el tiempo suficiente como para que la constancia sea más elocuente que cualquier campaña.</w:t>
      </w:r>
    </w:p>
    <w:p>
      <w:pPr>
        <w:spacing w:after="160" w:before="0" w:line="320"/>
        <w:jc w:val="both"/>
      </w:pPr>
      <w:r>
        <w:rPr>
          <w:rFonts w:ascii="Georgia" w:cs="Georgia" w:eastAsia="Georgia" w:hAnsi="Georgia"/>
          <w:sz w:val="22"/>
          <w:szCs w:val="22"/>
        </w:rPr>
        <w:t xml:space="preserve">La economía del proyecto es modesta, los riesgos son acotados, y las señales de salida están definidas desde el día cero. Si al mes doce el experimento aportó menos de lo esperado en términos de reputación, el costo hundido es mínimo. Si aportó lo esperado o más, habremos construido en Argentina lo que @theaiportfolios construyó en Estados Unidos, con la diferencia de que nosotros lo habremos hecho con un orden de magnitud menos de infraestructura y mucho más alineado con una filosofía de inversión rigurosa. En cualquier escenario, aprendimos cómo se construye un sistema así y ganamos capacidad de contar con autoridad una conversación que va a ser la conversación financiera de los próximos cinco años.</w:t>
      </w:r>
    </w:p>
    <w:p>
      <w:pPr>
        <w:spacing w:after="160" w:before="0" w:line="320"/>
        <w:jc w:val="both"/>
      </w:pPr>
      <w:r>
        <w:rPr>
          <w:rFonts w:ascii="Georgia" w:cs="Georgia" w:eastAsia="Georgia" w:hAnsi="Georgia"/>
          <w:sz w:val="22"/>
          <w:szCs w:val="22"/>
        </w:rPr>
        <w:t xml:space="preserve">La parte más importante, y la que a veces se olvida, es que Indigo AI es un proyecto chico. No tiene que cambiarle la vida a nadie. Tiene que correr, ser honesto, y producir doce meses de datos verificables. Todo lo demás — el contenido, la prensa, la posible evolución a producto con dinero real, la contratación de talento, la escala — son consecuencias que llegan solas si lo primero funciona, y que no se fuerzan si no.</w:t>
      </w:r>
    </w:p>
    <w:p>
      <w:pPr>
        <w:spacing w:after="160" w:before="0" w:line="320"/>
        <w:jc w:val="both"/>
      </w:pPr>
      <w:r>
        <w:rPr>
          <w:rFonts w:ascii="Georgia" w:cs="Georgia" w:eastAsia="Georgia" w:hAnsi="Georgia"/>
          <w:sz w:val="22"/>
          <w:szCs w:val="22"/>
        </w:rPr>
        <w:t xml:space="preserve">Este documento, como el del roadmap de Indigo Star, no es un plan de negocios. Es un acuerdo entre socios sobre cómo van a usar una parte de su tiempo durante los próximos doce meses. Y el compromiso es doble: por un lado, ejecutar con rigor, sin atajos, sin cortar corners en transparencia aunque sea tentador en los meses malos. Por otro lado, medir con honestidad al final del camino si el experimento nos dio lo que esperábamos, y tener la madurez de cerrarlo si no. La mayoría de los experimentos fallan. Nosotros apostamos a que este, por el vacío que ocupa y por el costo bajo al que se corre, tiene una asimetría favorable que justifica la apuesta. El resto lo dirán los datos.</w:t>
      </w:r>
    </w:p>
    <w:p>
      <w:pPr>
        <w:spacing w:after="360" w:before="360" w:line="360"/>
        <w:ind w:left="720" w:right="720"/>
        <w:jc w:val="center"/>
      </w:pPr>
      <w:r>
        <w:rPr>
          <w:rFonts w:ascii="Georgia" w:cs="Georgia" w:eastAsia="Georgia" w:hAnsi="Georgia"/>
          <w:i/>
          <w:iCs/>
          <w:sz w:val="26"/>
          <w:szCs w:val="26"/>
        </w:rPr>
        <w:t xml:space="preserve">"  Un agente autónomo que publica sus razones no es un milagro técnico: es una forma nueva de escribir research, donde el analista es la máquina y los editores somos nosotros.  "</w:t>
      </w:r>
    </w:p>
    <w:p>
      <w:pPr>
        <w:spacing w:after="0" w:before="480"/>
        <w:jc w:val="center"/>
      </w:pPr>
      <w:r>
        <w:rPr>
          <w:rFonts w:ascii="Georgia" w:cs="Georgia" w:eastAsia="Georgia" w:hAnsi="Georgia"/>
          <w:i/>
          <w:iCs/>
          <w:sz w:val="22"/>
          <w:szCs w:val="22"/>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AI — Documento de diseño v1</dc:title>
  <dc:creator>Franco</dc:creator>
  <cp:lastModifiedBy>Un-named</cp:lastModifiedBy>
  <cp:revision>1</cp:revision>
  <dcterms:created xsi:type="dcterms:W3CDTF">2026-04-17T12:21:26.070Z</dcterms:created>
  <dcterms:modified xsi:type="dcterms:W3CDTF">2026-04-17T12:21:26.071Z</dcterms:modified>
</cp:coreProperties>
</file>

<file path=docProps/custom.xml><?xml version="1.0" encoding="utf-8"?>
<Properties xmlns="http://schemas.openxmlformats.org/officeDocument/2006/custom-properties" xmlns:vt="http://schemas.openxmlformats.org/officeDocument/2006/docPropsVTypes"/>
</file>