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Georgia" w:cs="Georgia" w:eastAsia="Georgia" w:hAnsi="Georgia"/>
          <w:b/>
          <w:bCs/>
          <w:spacing w:val="120"/>
          <w:sz w:val="56"/>
          <w:szCs w:val="56"/>
        </w:rPr>
        <w:t xml:space="preserve">INDIGO AI</w:t>
      </w:r>
    </w:p>
    <w:p>
      <w:pPr>
        <w:spacing w:after="120" w:before="0"/>
        <w:jc w:val="center"/>
      </w:pPr>
      <w:r>
        <w:rPr>
          <w:rFonts w:ascii="Georgia" w:cs="Georgia" w:eastAsia="Georgia" w:hAnsi="Georgia"/>
          <w:i/>
          <w:iCs/>
          <w:sz w:val="22"/>
          <w:szCs w:val="22"/>
        </w:rPr>
        <w:t xml:space="preserve">— plan de ejecución —</w:t>
      </w:r>
    </w:p>
    <w:p>
      <w:pPr>
        <w:spacing w:after="1200" w:before="0"/>
        <w:jc w:val="center"/>
      </w:pPr>
      <w:r>
        <w:rPr>
          <w:rFonts w:ascii="Georgia" w:cs="Georgia" w:eastAsia="Georgia" w:hAnsi="Georgia"/>
          <w:spacing w:val="100"/>
          <w:sz w:val="20"/>
          <w:szCs w:val="20"/>
        </w:rPr>
        <w:t xml:space="preserve">DE LA TESIS A LA PRIMERA CORRIDA</w:t>
      </w:r>
    </w:p>
    <w:p>
      <w:pPr>
        <w:spacing w:after="200" w:before="0"/>
        <w:jc w:val="center"/>
      </w:pPr>
      <w:r>
        <w:rPr>
          <w:rFonts w:ascii="Georgia" w:cs="Georgia" w:eastAsia="Georgia" w:hAnsi="Georgia"/>
          <w:i/>
          <w:iCs/>
          <w:sz w:val="24"/>
          <w:szCs w:val="24"/>
        </w:rPr>
        <w:t xml:space="preserve">Noventa días para pasar del documento de diseño</w:t>
      </w:r>
    </w:p>
    <w:p>
      <w:pPr>
        <w:spacing w:after="200" w:before="0"/>
        <w:jc w:val="center"/>
      </w:pPr>
      <w:r>
        <w:rPr>
          <w:rFonts w:ascii="Georgia" w:cs="Georgia" w:eastAsia="Georgia" w:hAnsi="Georgia"/>
          <w:i/>
          <w:iCs/>
          <w:sz w:val="24"/>
          <w:szCs w:val="24"/>
        </w:rPr>
        <w:t xml:space="preserve">al primer ciclo público de un portafolio autónomo</w:t>
      </w:r>
    </w:p>
    <w:p>
      <w:pPr>
        <w:spacing w:after="1600" w:before="0"/>
        <w:jc w:val="center"/>
      </w:pPr>
      <w:r>
        <w:rPr>
          <w:rFonts w:ascii="Georgia" w:cs="Georgia" w:eastAsia="Georgia" w:hAnsi="Georgia"/>
          <w:i/>
          <w:iCs/>
          <w:sz w:val="24"/>
          <w:szCs w:val="24"/>
        </w:rPr>
        <w:t xml:space="preserve">por menos de 180 USD al mes.</w:t>
      </w:r>
    </w:p>
    <w:p>
      <w:pPr>
        <w:spacing w:after="160" w:before="0"/>
        <w:jc w:val="center"/>
      </w:pPr>
      <w:r>
        <w:rPr>
          <w:rFonts w:ascii="Georgia" w:cs="Georgia" w:eastAsia="Georgia" w:hAnsi="Georgia"/>
          <w:sz w:val="22"/>
          <w:szCs w:val="22"/>
        </w:rPr>
        <w:t xml:space="preserve">Buenos Aires  ·  abril de 2026</w:t>
      </w:r>
    </w:p>
    <w:p>
      <w:r>
        <w:br w:type="page"/>
      </w:r>
    </w:p>
    <w:p>
      <w:pPr>
        <w:spacing w:after="120" w:before="320"/>
        <w:jc w:val="center"/>
      </w:pPr>
      <w:r>
        <w:rPr>
          <w:rFonts w:ascii="Georgia" w:cs="Georgia" w:eastAsia="Georgia" w:hAnsi="Georgia"/>
          <w:b/>
          <w:bCs/>
          <w:spacing w:val="80"/>
          <w:sz w:val="22"/>
          <w:szCs w:val="22"/>
        </w:rPr>
        <w:t xml:space="preserve">APERTURA</w:t>
      </w:r>
    </w:p>
    <w:p>
      <w:pPr>
        <w:spacing w:after="360" w:before="0"/>
        <w:jc w:val="center"/>
      </w:pPr>
      <w:r>
        <w:rPr>
          <w:rFonts w:ascii="Georgia" w:cs="Georgia" w:eastAsia="Georgia" w:hAnsi="Georgia"/>
          <w:b/>
          <w:bCs/>
          <w:i/>
          <w:iCs/>
          <w:sz w:val="36"/>
          <w:szCs w:val="36"/>
        </w:rPr>
        <w:t xml:space="preserve">Cómo se lee este documento</w:t>
      </w:r>
    </w:p>
    <w:p>
      <w:pPr>
        <w:spacing w:after="200" w:before="0" w:line="320"/>
        <w:jc w:val="both"/>
      </w:pPr>
      <w:r>
        <w:rPr>
          <w:rFonts w:ascii="Georgia" w:cs="Georgia" w:eastAsia="Georgia" w:hAnsi="Georgia"/>
          <w:b/>
          <w:bCs/>
          <w:sz w:val="28"/>
          <w:szCs w:val="28"/>
        </w:rPr>
        <w:t xml:space="preserve">E</w:t>
      </w:r>
      <w:r>
        <w:rPr>
          <w:rFonts w:ascii="Georgia" w:cs="Georgia" w:eastAsia="Georgia" w:hAnsi="Georgia"/>
          <w:sz w:val="22"/>
          <w:szCs w:val="22"/>
        </w:rPr>
        <w:t xml:space="preserve">l documento de diseño v1 definió el qué y el por qué de Indigo AI. Este documento, que es su complemento operativo, se ocupa exclusivamente del cómo. No repite argumentos ya aceptados. No vende la idea de nuevo. Asume que la decisión está tomada y se concentra en responder las preguntas que quedan abiertas cuando uno se sienta el lunes a la mañana a construir: en qué orden se hace cada cosa, cuánto sale cada peso concreto, qué se delega a un tercero y qué no, cómo se monetiza sin traicionar el proyecto, y qué tiene que salir exactamente bien en los primeros noventa días para que el experimento empiece.</w:t>
      </w:r>
    </w:p>
    <w:p>
      <w:pPr>
        <w:spacing w:after="160" w:before="0" w:line="320"/>
        <w:jc w:val="both"/>
      </w:pPr>
      <w:r>
        <w:rPr>
          <w:rFonts w:ascii="Georgia" w:cs="Georgia" w:eastAsia="Georgia" w:hAnsi="Georgia"/>
          <w:sz w:val="22"/>
          <w:szCs w:val="22"/>
        </w:rPr>
        <w:t xml:space="preserve">La organización es deliberadamente práctica. El capítulo uno explica por qué este plan se escribe bajo Claude Opus 4.7, lanzado hace días, y qué diferencias tiene respecto de lo que habría sido el mismo proyecto con Opus 4.6. El capítulo dos desgrana la pipeline técnica con números finos y muestra dónde están los diales que bajan el costo sin sacrificar calidad. El tres inventaria el stack entero pieza por pieza con su precio. El cuatro resuelve cómo se suma al tercer socio técnico desde la primera semana, cómo se lo compensa y cómo se protege el proyecto. El cinco traza el cronograma semana por semana durante doce semanas. El seis desarrolla nueve vías de monetización, de las más obvias a las más ambiciosas. El siete cataloga los riesgos y define los gatillos de corte.</w:t>
      </w:r>
    </w:p>
    <w:p>
      <w:pPr>
        <w:spacing w:after="160" w:before="0" w:line="320"/>
        <w:jc w:val="both"/>
      </w:pPr>
      <w:r>
        <w:rPr>
          <w:rFonts w:ascii="Georgia" w:cs="Georgia" w:eastAsia="Georgia" w:hAnsi="Georgia"/>
          <w:sz w:val="22"/>
          <w:szCs w:val="22"/>
        </w:rPr>
        <w:t xml:space="preserve">Si algo de lo que sigue contradice al documento de diseño, prevalece este, porque está escrito después, con más información y con precios verificados. Si algo no aparece acá, vale lo que decía el documento de diseño.</w:t>
      </w:r>
    </w:p>
    <w:p>
      <w:pPr>
        <w:spacing w:after="360" w:before="360" w:line="360"/>
        <w:ind w:left="720" w:right="720"/>
        <w:jc w:val="center"/>
      </w:pPr>
      <w:r>
        <w:rPr>
          <w:rFonts w:ascii="Georgia" w:cs="Georgia" w:eastAsia="Georgia" w:hAnsi="Georgia"/>
          <w:i/>
          <w:iCs/>
          <w:sz w:val="26"/>
          <w:szCs w:val="26"/>
        </w:rPr>
        <w:t xml:space="preserve">"  Un plan de ejecución que no tiene números específicos no es un plan de ejecución. Es una intención.  "</w:t>
      </w:r>
    </w:p>
    <w:p>
      <w:r>
        <w:br w:type="page"/>
      </w:r>
    </w:p>
    <w:p>
      <w:pPr>
        <w:spacing w:after="120" w:before="480"/>
        <w:jc w:val="center"/>
      </w:pPr>
      <w:r>
        <w:rPr>
          <w:rFonts w:ascii="Georgia" w:cs="Georgia" w:eastAsia="Georgia" w:hAnsi="Georgia"/>
          <w:b/>
          <w:bCs/>
          <w:spacing w:val="80"/>
          <w:sz w:val="22"/>
          <w:szCs w:val="22"/>
        </w:rPr>
        <w:t xml:space="preserve">CAPÍTULO I</w:t>
      </w:r>
    </w:p>
    <w:p>
      <w:pPr>
        <w:spacing w:after="360" w:before="0"/>
        <w:jc w:val="center"/>
      </w:pPr>
      <w:r>
        <w:rPr>
          <w:rFonts w:ascii="Georgia" w:cs="Georgia" w:eastAsia="Georgia" w:hAnsi="Georgia"/>
          <w:b/>
          <w:bCs/>
          <w:i/>
          <w:iCs/>
          <w:sz w:val="36"/>
          <w:szCs w:val="36"/>
        </w:rPr>
        <w:t xml:space="preserve">La ventana Opus 4.7</w:t>
      </w:r>
    </w:p>
    <w:p>
      <w:pPr>
        <w:spacing w:after="200" w:before="0" w:line="320"/>
        <w:jc w:val="both"/>
      </w:pPr>
      <w:r>
        <w:rPr>
          <w:rFonts w:ascii="Georgia" w:cs="Georgia" w:eastAsia="Georgia" w:hAnsi="Georgia"/>
          <w:b/>
          <w:bCs/>
          <w:sz w:val="28"/>
          <w:szCs w:val="28"/>
        </w:rPr>
        <w:t xml:space="preserve">E</w:t>
      </w:r>
      <w:r>
        <w:rPr>
          <w:rFonts w:ascii="Georgia" w:cs="Georgia" w:eastAsia="Georgia" w:hAnsi="Georgia"/>
          <w:sz w:val="22"/>
          <w:szCs w:val="22"/>
        </w:rPr>
        <w:t xml:space="preserve">l 16 de abril de 2026, tres días antes de que nos sentemos a escribir este plan, Anthropic liberó Claude Opus 4.7. El timing no es casualidad útil para nosotros; es central. Opus 4.7 introduce cuatro cambios que alteran directamente el diseño de una pipeline como la que planeamos, y conviene enumerarlos con precisión porque hay decisiones que se toman distinto dependiendo de cómo se interpreten.</w:t>
      </w:r>
    </w:p>
    <w:p>
      <w:pPr>
        <w:spacing w:after="160" w:before="0" w:line="320"/>
        <w:jc w:val="both"/>
      </w:pPr>
      <w:r>
        <w:rPr>
          <w:rFonts w:ascii="Georgia" w:cs="Georgia" w:eastAsia="Georgia" w:hAnsi="Georgia"/>
          <w:sz w:val="22"/>
          <w:szCs w:val="22"/>
        </w:rPr>
        <w:t xml:space="preserve">El primer cambio es el tokenizer. El modelo ahora cuenta tokens de manera distinta a Opus 4.6, y sobre el mismo texto de entrada puede consumir entre un uno y un uno coma treinta y cinco de factor más tokens. Como los precios por millón de tokens siguen idénticos —cinco dólares de entrada y veinticinco de salida—, es efectivamente un aumento de precio implícito de entre cero y treinta y cinco por ciento, dependiendo del tipo de contenido. Para nuestro caso, donde las entradas son mayormente texto financiero estructurado, el factor realista es del orden de quince a veinte por ciento. Lo asumimos en los cálculos.</w:t>
      </w:r>
    </w:p>
    <w:p>
      <w:pPr>
        <w:spacing w:after="160" w:before="0" w:line="320"/>
        <w:jc w:val="both"/>
      </w:pPr>
      <w:r>
        <w:rPr>
          <w:rFonts w:ascii="Georgia" w:cs="Georgia" w:eastAsia="Georgia" w:hAnsi="Georgia"/>
          <w:sz w:val="22"/>
          <w:szCs w:val="22"/>
        </w:rPr>
        <w:t xml:space="preserve">El segundo es el parámetro effort. Claude Opus 4.7 acepta cinco niveles —low, medium, high, xhigh y max— que regulan cuánto el modelo quiere pensar antes de responder. El default en Opus 4.7 es xhigh, más profundo que el default de 4.6. En nuestra pipeline vamos a bajar el effort a medium en los agentes de análisis simple sobre Sonnet y mantener xhigh en los agentes de debate bull-bear y en el constructor. Esa sola decisión —que en 4.6 no existía con esta granularidad— nos permite ahorrar entre quince y veinticinco por ciento de tokens en las etapas donde la profundidad extra no agrega valor.</w:t>
      </w:r>
    </w:p>
    <w:p>
      <w:pPr>
        <w:spacing w:after="160" w:before="0" w:line="320"/>
        <w:jc w:val="both"/>
      </w:pPr>
      <w:r>
        <w:rPr>
          <w:rFonts w:ascii="Georgia" w:cs="Georgia" w:eastAsia="Georgia" w:hAnsi="Georgia"/>
          <w:sz w:val="22"/>
          <w:szCs w:val="22"/>
        </w:rPr>
        <w:t xml:space="preserve">El tercero es task_budget. Opus 4.7 permite asignar un presupuesto de tokens para un loop agéntico entero, no por llamada individual. Eso significa que podemos decirle al sistema "para este ciclo completo, gastá hasta cuatrocientos mil tokens de output, y si te estás pasando, resumí y cerrá". Es una red de seguridad explícita contra costos imprevistos y, sobre todo, un mecanismo que el agente respeta en la toma de decisiones: sabe cuánto presupuesto le queda y prioriza. Ningún sistema anterior tenía esto.</w:t>
      </w:r>
    </w:p>
    <w:p>
      <w:pPr>
        <w:spacing w:after="160" w:before="0" w:line="320"/>
        <w:jc w:val="both"/>
      </w:pPr>
      <w:r>
        <w:rPr>
          <w:rFonts w:ascii="Georgia" w:cs="Georgia" w:eastAsia="Georgia" w:hAnsi="Georgia"/>
          <w:sz w:val="22"/>
          <w:szCs w:val="22"/>
        </w:rPr>
        <w:t xml:space="preserve">El cuarto es sutil pero importante: Opus 4.7 invoca menos subagentes por default que 4.6. Anthropic lo documenta explícitamente. Si querés paralelismo —y nuestra pipeline lo necesita en los agentes bull-bear—, hay que pedirlo en el prompt. Lo que es una carga adicional mínima en la construcción también es una ventaja económica, porque el modelo ya no desperdicia tokens invocando sub-ejecuciones que no le pedimos.</w:t>
      </w:r>
    </w:p>
    <w:p>
      <w:pPr>
        <w:spacing w:after="160" w:before="0" w:line="320"/>
        <w:jc w:val="both"/>
      </w:pPr>
      <w:r>
        <w:rPr>
          <w:rFonts w:ascii="Georgia" w:cs="Georgia" w:eastAsia="Georgia" w:hAnsi="Georgia"/>
          <w:sz w:val="22"/>
          <w:szCs w:val="22"/>
        </w:rPr>
        <w:t xml:space="preserve">Además de estos cuatro, Opus 4.7 mantiene todo lo que ya hacía eficiente a 4.6 y que nosotros vamos a aprovechar a fondo: ventana de contexto de un millón de tokens a precio estándar, adaptive thinking, prompt caching con duración extendida de una hora, batch API con cincuenta por ciento de descuento, y el parameter de imagen de alta resolución que no usamos en esta fase pero que queda disponible para YouTube y para el dashboard si lo necesitamos.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6"/>
              <w:left w:val="single" w:color="222222" w:sz="6"/>
              <w:bottom w:val="single" w:color="222222" w:sz="6"/>
              <w:right w:val="single" w:color="222222" w:sz="6"/>
            </w:tcBorders>
            <w:shd w:fill="F3F1EC" w:val="clear"/>
            <w:tcMar>
              <w:top w:type="dxa" w:w="240"/>
              <w:left w:type="dxa" w:w="360"/>
              <w:bottom w:type="dxa" w:w="240"/>
              <w:right w:type="dxa" w:w="360"/>
            </w:tcMar>
          </w:tcPr>
          <w:p>
            <w:pPr>
              <w:spacing w:after="160"/>
              <w:jc w:val="center"/>
            </w:pPr>
            <w:r>
              <w:rPr>
                <w:rFonts w:ascii="Georgia" w:cs="Georgia" w:eastAsia="Georgia" w:hAnsi="Georgia"/>
                <w:b/>
                <w:bCs/>
                <w:spacing w:val="80"/>
                <w:sz w:val="22"/>
                <w:szCs w:val="22"/>
              </w:rPr>
              <w:t xml:space="preserve">EL INSIGHT DE TIMING</w:t>
            </w:r>
          </w:p>
          <w:p>
            <w:pPr>
              <w:spacing w:after="120" w:line="320"/>
              <w:jc w:val="center"/>
            </w:pPr>
            <w:r>
              <w:rPr>
                <w:rFonts w:ascii="Georgia" w:cs="Georgia" w:eastAsia="Georgia" w:hAnsi="Georgia"/>
                <w:i/>
                <w:iCs/>
                <w:sz w:val="22"/>
                <w:szCs w:val="22"/>
              </w:rPr>
              <w:t xml:space="preserve">Si este mismo plan se hubiera escrito hace cuatro días — sin Opus 4.7, sin effort levels granulares, sin task budgets —</w:t>
            </w:r>
          </w:p>
          <w:p>
            <w:pPr>
              <w:spacing w:after="120" w:line="320"/>
              <w:jc w:val="center"/>
            </w:pPr>
            <w:r>
              <w:rPr>
                <w:rFonts w:ascii="Georgia" w:cs="Georgia" w:eastAsia="Georgia" w:hAnsi="Georgia"/>
                <w:i/>
                <w:iCs/>
                <w:sz w:val="22"/>
                <w:szCs w:val="22"/>
              </w:rPr>
              <w:t xml:space="preserve">nuestro costo mensual proyectado sería entre un 25 y un 40 por ciento más alto</w:t>
            </w:r>
          </w:p>
          <w:p>
            <w:pPr>
              <w:spacing w:after="120" w:line="320"/>
              <w:jc w:val="center"/>
            </w:pPr>
            <w:r>
              <w:rPr>
                <w:rFonts w:ascii="Georgia" w:cs="Georgia" w:eastAsia="Georgia" w:hAnsi="Georgia"/>
                <w:i/>
                <w:iCs/>
                <w:sz w:val="22"/>
                <w:szCs w:val="22"/>
              </w:rPr>
              <w:t xml:space="preserve">y la capacidad del sistema de auto-limitar su gasto no existiría.</w:t>
            </w:r>
          </w:p>
        </w:tc>
      </w:tr>
    </w:tbl>
    <w:p>
      <w:r>
        <w:br w:type="page"/>
      </w:r>
    </w:p>
    <w:p>
      <w:pPr>
        <w:spacing w:after="120" w:before="480"/>
        <w:jc w:val="center"/>
      </w:pPr>
      <w:r>
        <w:rPr>
          <w:rFonts w:ascii="Georgia" w:cs="Georgia" w:eastAsia="Georgia" w:hAnsi="Georgia"/>
          <w:b/>
          <w:bCs/>
          <w:spacing w:val="80"/>
          <w:sz w:val="22"/>
          <w:szCs w:val="22"/>
        </w:rPr>
        <w:t xml:space="preserve">CAPÍTULO II</w:t>
      </w:r>
    </w:p>
    <w:p>
      <w:pPr>
        <w:spacing w:after="360" w:before="0"/>
        <w:jc w:val="center"/>
      </w:pPr>
      <w:r>
        <w:rPr>
          <w:rFonts w:ascii="Georgia" w:cs="Georgia" w:eastAsia="Georgia" w:hAnsi="Georgia"/>
          <w:b/>
          <w:bCs/>
          <w:i/>
          <w:iCs/>
          <w:sz w:val="36"/>
          <w:szCs w:val="36"/>
        </w:rPr>
        <w:t xml:space="preserve">Arquitectura económica del pipeline</w:t>
      </w:r>
    </w:p>
    <w:p>
      <w:pPr>
        <w:spacing w:after="200" w:before="0" w:line="320"/>
        <w:jc w:val="both"/>
      </w:pPr>
      <w:r>
        <w:rPr>
          <w:rFonts w:ascii="Georgia" w:cs="Georgia" w:eastAsia="Georgia" w:hAnsi="Georgia"/>
          <w:b/>
          <w:bCs/>
          <w:sz w:val="28"/>
          <w:szCs w:val="28"/>
        </w:rPr>
        <w:t xml:space="preserve">L</w:t>
      </w:r>
      <w:r>
        <w:rPr>
          <w:rFonts w:ascii="Georgia" w:cs="Georgia" w:eastAsia="Georgia" w:hAnsi="Georgia"/>
          <w:sz w:val="22"/>
          <w:szCs w:val="22"/>
        </w:rPr>
        <w:t xml:space="preserve">a forma más honesta de describir la pipeline definitiva es capa por capa, con el modelo asignado, la razón de esa asignación, el volumen de tokens estimado, y el costo resultante por ciclo semanal. Es una descripción densa pero cada línea tiene consecuencias. Todas las cifras están calculadas para un ciclo típico sobre un universo de partida de quinientos nombres del S&amp;P 500, un subuniverso filtrado de sesenta candidatos, veinte finalistas y una cartera de entre doce y quince posiciones.</w:t>
      </w:r>
    </w:p>
    <w:p>
      <w:pPr>
        <w:spacing w:after="180" w:before="280"/>
        <w:jc w:val="center"/>
      </w:pPr>
      <w:r>
        <w:rPr>
          <w:rFonts w:ascii="Georgia" w:cs="Georgia" w:eastAsia="Georgia" w:hAnsi="Georgia"/>
          <w:b/>
          <w:bCs/>
          <w:i/>
          <w:iCs/>
          <w:sz w:val="24"/>
          <w:szCs w:val="24"/>
        </w:rPr>
        <w:t xml:space="preserve">Capa cero: el filtro sin IA</w:t>
      </w:r>
    </w:p>
    <w:p>
      <w:pPr>
        <w:spacing w:after="160" w:before="0" w:line="320"/>
        <w:jc w:val="both"/>
      </w:pPr>
      <w:r>
        <w:rPr>
          <w:rFonts w:ascii="Georgia" w:cs="Georgia" w:eastAsia="Georgia" w:hAnsi="Georgia"/>
          <w:sz w:val="22"/>
          <w:szCs w:val="22"/>
        </w:rPr>
        <w:t xml:space="preserve">Antes de que ningún modelo se encienda, un script de Python corrido en nuestro servidor reduce el universo. Usa datos gratuitos de Alpaca y yfinance, aplica filtros determinísticos —capitalización mayor a diez mil millones de dólares, volumen diario superior al promedio sectorial, ratio de deuda dentro de rango razonable, crecimiento de revenue positivo en tres años, exclusiones duras de la constitución— y entrega sesenta nombres. Costo: cero dólares. Tiempo: menos de treinta segundos. Esta capa es estratégica no solo por el ahorro sino porque es auditable: cualquier persona con los mismos datos va a llegar a la misma lista, lo cual hace el proceso verificable ante críticos.</w:t>
      </w:r>
    </w:p>
    <w:p>
      <w:pPr>
        <w:spacing w:after="180" w:before="280"/>
        <w:jc w:val="center"/>
      </w:pPr>
      <w:r>
        <w:rPr>
          <w:rFonts w:ascii="Georgia" w:cs="Georgia" w:eastAsia="Georgia" w:hAnsi="Georgia"/>
          <w:b/>
          <w:bCs/>
          <w:i/>
          <w:iCs/>
          <w:sz w:val="24"/>
          <w:szCs w:val="24"/>
        </w:rPr>
        <w:t xml:space="preserve">Capa uno: el corpus filosófico cacheado</w:t>
      </w:r>
    </w:p>
    <w:p>
      <w:pPr>
        <w:spacing w:after="160" w:before="0" w:line="320"/>
        <w:jc w:val="both"/>
      </w:pPr>
      <w:r>
        <w:rPr>
          <w:rFonts w:ascii="Georgia" w:cs="Georgia" w:eastAsia="Georgia" w:hAnsi="Georgia"/>
          <w:sz w:val="22"/>
          <w:szCs w:val="22"/>
        </w:rPr>
        <w:t xml:space="preserve">El corpus filosófico —cartas de Buffett, Lynch, Marks, Graham, Smith, Munger, Fisher, Klarman y la constitución del sistema— suma aproximadamente doscientos mil tokens después de una compresión cuidadosa que elimina repetición temática. Ese bloque se carga al principio de cada ciclo con prompt caching de duración extendida, un feature que Anthropic ofrece a un costo doble del de entrada pero que dura una hora entera y se refresca con cada lectura exitosa.</w:t>
      </w:r>
    </w:p>
    <w:p>
      <w:pPr>
        <w:spacing w:after="160" w:before="0" w:line="320"/>
        <w:jc w:val="both"/>
      </w:pPr>
      <w:r>
        <w:rPr>
          <w:rFonts w:ascii="Georgia" w:cs="Georgia" w:eastAsia="Georgia" w:hAnsi="Georgia"/>
          <w:sz w:val="22"/>
          <w:szCs w:val="22"/>
        </w:rPr>
        <w:t xml:space="preserve">El cálculo es instructivo. Cada escritura de cache dura, con Opus 4.7 a cinco dólares por millón de tokens de entrada, cuesta diez dólares por millón de tokens guardados en el cache extendido. Doscientos mil tokens escritos son dos dólares de escritura, una sola vez por ciclo. Cada lectura posterior cuesta un diez por ciento del precio base, es decir cincuenta centavos por millón, o diez centavos por cada doscientos mil tokens leídos. Como en un ciclo hacemos aproximadamente cincuenta lecturas distintas sobre ese corpus —una por cada agente invocado— el costo total de filosofía por ciclo es dos dólares de escritura más cinco dólares de lecturas, total siete dólares. Si lo corriéramos sin cache, serían cien dólares. El cache es, literalmente, una reducción de un noventa y tres por ciento en esta capa.</w:t>
      </w:r>
    </w:p>
    <w:p>
      <w:pPr>
        <w:spacing w:after="160" w:before="0" w:line="320"/>
        <w:jc w:val="both"/>
      </w:pPr>
      <w:r>
        <w:rPr>
          <w:rFonts w:ascii="Georgia" w:cs="Georgia" w:eastAsia="Georgia" w:hAnsi="Georgia"/>
          <w:sz w:val="22"/>
          <w:szCs w:val="22"/>
        </w:rPr>
        <w:t xml:space="preserve">Una nota técnica que vale la pena registrar: el cache de Anthropic requiere un mínimo de mil veinticuatro tokens por checkpoint para activarse. Nuestro corpus supera cómodamente ese umbral, pero la constitución sola no lo haría. Por eso se carga junta con la filosofía, no separada.</w:t>
      </w:r>
    </w:p>
    <w:p>
      <w:pPr>
        <w:spacing w:after="180" w:before="280"/>
        <w:jc w:val="center"/>
      </w:pPr>
      <w:r>
        <w:rPr>
          <w:rFonts w:ascii="Georgia" w:cs="Georgia" w:eastAsia="Georgia" w:hAnsi="Georgia"/>
          <w:b/>
          <w:bCs/>
          <w:i/>
          <w:iCs/>
          <w:sz w:val="24"/>
          <w:szCs w:val="24"/>
        </w:rPr>
        <w:t xml:space="preserve">Capa dos: análisis individual con Sonnet 4.6</w:t>
      </w:r>
    </w:p>
    <w:p>
      <w:pPr>
        <w:spacing w:after="160" w:before="0" w:line="320"/>
        <w:jc w:val="both"/>
      </w:pPr>
      <w:r>
        <w:rPr>
          <w:rFonts w:ascii="Georgia" w:cs="Georgia" w:eastAsia="Georgia" w:hAnsi="Georgia"/>
          <w:sz w:val="22"/>
          <w:szCs w:val="22"/>
        </w:rPr>
        <w:t xml:space="preserve">Sobre los sesenta candidatos filtrados se corre un solo agente de análisis, secuencialmente, nombre por nombre. El modelo es Claude Sonnet 4.6 —tres dólares de entrada, quince de salida por millón— porque para la tarea de redactar una tesis estructurada sobre una empresa con datos dados, Sonnet está al mismo nivel que Opus a un tercio del costo. Cada llamada incluye doscientos mil tokens de filosofía cacheada (leída), ocho mil tokens de datos específicos del nombre (fundamentals actualizados y dos o tres piezas de noticias relevantes traídas por una búsqueda web puntual) y produce aproximadamente dos mil tokens de output con el formato obligatorio —tesis en tres párrafos, tres riesgos, precio objetivo, convicción de uno a diez.</w:t>
      </w:r>
    </w:p>
    <w:p>
      <w:pPr>
        <w:spacing w:after="160" w:before="0" w:line="320"/>
        <w:jc w:val="both"/>
      </w:pPr>
      <w:r>
        <w:rPr>
          <w:rFonts w:ascii="Georgia" w:cs="Georgia" w:eastAsia="Georgia" w:hAnsi="Georgia"/>
          <w:sz w:val="22"/>
          <w:szCs w:val="22"/>
        </w:rPr>
        <w:t xml:space="preserve">Sixty llamadas a Sonnet en efecto producen los siguientes números: lectura de cache a razón de tres décimos de dólar por millón sobre doscientos mil tokens leídos sesenta veces son tres dólares con sesenta centavos; entrada específica de ocho mil por sesenta a tres dólares por millón es un dólar con cuarenta y cuatro; salida de dos mil por sesenta a quince dólares por millón es un dólar con ochenta; total ocho dólares con ochenta y cuatro centavos. Si esta capa la corremos en modo batch —cosa que es posible porque los sesenta análisis son independientes y no nos importa si tardan diez minutos— el descuento es de cincuenta por ciento. Costo efectivo de la capa dos con batch: cuatro dólares con cuarenta.</w:t>
      </w:r>
    </w:p>
    <w:p>
      <w:pPr>
        <w:spacing w:after="180" w:before="280"/>
        <w:jc w:val="center"/>
      </w:pPr>
      <w:r>
        <w:rPr>
          <w:rFonts w:ascii="Georgia" w:cs="Georgia" w:eastAsia="Georgia" w:hAnsi="Georgia"/>
          <w:b/>
          <w:bCs/>
          <w:i/>
          <w:iCs/>
          <w:sz w:val="24"/>
          <w:szCs w:val="24"/>
        </w:rPr>
        <w:t xml:space="preserve">Capa tres: debate bull-bear con Opus 4.7</w:t>
      </w:r>
    </w:p>
    <w:p>
      <w:pPr>
        <w:spacing w:after="160" w:before="0" w:line="320"/>
        <w:jc w:val="both"/>
      </w:pPr>
      <w:r>
        <w:rPr>
          <w:rFonts w:ascii="Georgia" w:cs="Georgia" w:eastAsia="Georgia" w:hAnsi="Georgia"/>
          <w:sz w:val="22"/>
          <w:szCs w:val="22"/>
        </w:rPr>
        <w:t xml:space="preserve">De los sesenta candidatos analizados, el sistema selecciona los veinte con mayor convicción y sobre cada uno invoca dos agentes en paralelo, bull y bear, corridos sobre Opus 4.7 con effort xhigh y adaptive thinking activado. Son, en total, cuarenta llamadas a Opus. Cada una incluye filosofía cacheada, el análisis de Sonnet del paso anterior como contexto, y produce cinco mil tokens de output combinando razonamiento interno y argumentación visible.</w:t>
      </w:r>
    </w:p>
    <w:p>
      <w:pPr>
        <w:spacing w:after="160" w:before="0" w:line="320"/>
        <w:jc w:val="both"/>
      </w:pPr>
      <w:r>
        <w:rPr>
          <w:rFonts w:ascii="Georgia" w:cs="Georgia" w:eastAsia="Georgia" w:hAnsi="Georgia"/>
          <w:sz w:val="22"/>
          <w:szCs w:val="22"/>
        </w:rPr>
        <w:t xml:space="preserve">El cálculo, ajustado por el factor del tokenizer nuevo del quince por ciento: lectura de cache de cincuenta centavos por millón sobre doscientos mil, cuarenta veces, son cuatro dólares; entrada específica de doce mil tokens por cuarenta llamadas a cinco dólares por millón son dos dólares con cuarenta; salida de cinco mil por cuarenta a veinticinco dólares por millón son cinco dólares. Subtotal trece con cuarenta, ajustado por el factor del tokenizer a aproximadamente quince dólares con cuarenta por ciclo. Esta capa no se batch-ea porque la queremos en tiempo real —el constructor final depende de sus salidas.</w:t>
      </w:r>
    </w:p>
    <w:p>
      <w:pPr>
        <w:spacing w:after="180" w:before="280"/>
        <w:jc w:val="center"/>
      </w:pPr>
      <w:r>
        <w:rPr>
          <w:rFonts w:ascii="Georgia" w:cs="Georgia" w:eastAsia="Georgia" w:hAnsi="Georgia"/>
          <w:b/>
          <w:bCs/>
          <w:i/>
          <w:iCs/>
          <w:sz w:val="24"/>
          <w:szCs w:val="24"/>
        </w:rPr>
        <w:t xml:space="preserve">Capa cuatro: el constructor</w:t>
      </w:r>
    </w:p>
    <w:p>
      <w:pPr>
        <w:spacing w:after="160" w:before="0" w:line="320"/>
        <w:jc w:val="both"/>
      </w:pPr>
      <w:r>
        <w:rPr>
          <w:rFonts w:ascii="Georgia" w:cs="Georgia" w:eastAsia="Georgia" w:hAnsi="Georgia"/>
          <w:sz w:val="22"/>
          <w:szCs w:val="22"/>
        </w:rPr>
        <w:t xml:space="preserve">El constructor recibe los veinte dossieres y produce una cartera. Es una sola llamada a Opus 4.7 con effort máximo, task_budget fijado en ochenta mil tokens totales, y un prompt sistema cuidadosamente ingenierizado. Aproximadamente cien mil tokens de entrada sumando los dossieres más la filosofía cacheada, diez mil tokens de output con el detalle completo de trades y rationale. Costo aproximado: dos dólares con cincuenta. Es la llamada más cara del ciclo pero es donde se juega la coherencia del portafolio entero.</w:t>
      </w:r>
    </w:p>
    <w:p>
      <w:pPr>
        <w:spacing w:after="180" w:before="280"/>
        <w:jc w:val="center"/>
      </w:pPr>
      <w:r>
        <w:rPr>
          <w:rFonts w:ascii="Georgia" w:cs="Georgia" w:eastAsia="Georgia" w:hAnsi="Georgia"/>
          <w:b/>
          <w:bCs/>
          <w:i/>
          <w:iCs/>
          <w:sz w:val="24"/>
          <w:szCs w:val="24"/>
        </w:rPr>
        <w:t xml:space="preserve">Capa cinco: búsquedas web y herramientas</w:t>
      </w:r>
    </w:p>
    <w:p>
      <w:pPr>
        <w:spacing w:after="160" w:before="0" w:line="320"/>
        <w:jc w:val="both"/>
      </w:pPr>
      <w:r>
        <w:rPr>
          <w:rFonts w:ascii="Georgia" w:cs="Georgia" w:eastAsia="Georgia" w:hAnsi="Georgia"/>
          <w:sz w:val="22"/>
          <w:szCs w:val="22"/>
        </w:rPr>
        <w:t xml:space="preserve">A lo largo del ciclo se ejecutan aproximadamente ciento cincuenta búsquedas web entre análisis y debates. Anthropic cobra esta herramienta aparte, a razón de diez dólares por cada mil búsquedas. Costo estimado: un dólar con cincuenta por ciclo.</w:t>
      </w:r>
    </w:p>
    <w:p>
      <w:pPr>
        <w:spacing w:after="180" w:before="280"/>
        <w:jc w:val="center"/>
      </w:pPr>
      <w:r>
        <w:rPr>
          <w:rFonts w:ascii="Georgia" w:cs="Georgia" w:eastAsia="Georgia" w:hAnsi="Georgia"/>
          <w:b/>
          <w:bCs/>
          <w:i/>
          <w:iCs/>
          <w:sz w:val="24"/>
          <w:szCs w:val="24"/>
        </w:rPr>
        <w:t xml:space="preserve">El número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9360"/>
            <w:gridSpan w:val="2"/>
            <w:tcBorders>
              <w:top w:val="single" w:color="999999" w:sz="4"/>
              <w:left w:val="none" w:color="FFFFFF" w:sz="0"/>
              <w:bottom w:val="single" w:color="999999" w:sz="4"/>
              <w:right w:val="none" w:color="FFFFFF" w:sz="0"/>
            </w:tcBorders>
            <w:tcMar>
              <w:top w:type="dxa" w:w="120"/>
              <w:left w:type="dxa" w:w="240"/>
              <w:bottom w:type="dxa" w:w="120"/>
              <w:right w:type="dxa" w:w="240"/>
            </w:tcMar>
          </w:tcPr>
          <w:p>
            <w:pPr>
              <w:jc w:val="center"/>
            </w:pPr>
            <w:r>
              <w:rPr>
                <w:rFonts w:ascii="Georgia" w:cs="Georgia" w:eastAsia="Georgia" w:hAnsi="Georgia"/>
                <w:b/>
                <w:bCs/>
                <w:i/>
                <w:iCs/>
                <w:spacing w:val="60"/>
                <w:sz w:val="22"/>
                <w:szCs w:val="22"/>
              </w:rPr>
              <w:t xml:space="preserve">Costo API por ciclo semanal</w:t>
            </w:r>
          </w:p>
        </w:tc>
      </w:tr>
      <w:tr>
        <w:tc>
          <w:tcPr>
            <w:tcW w:type="dxa" w:w="6560"/>
            <w:tcBorders>
              <w:top w:val="none" w:color="FFFFFF" w:sz="0"/>
              <w:left w:val="none" w:color="FFFFFF" w:sz="0"/>
              <w:bottom w:val="none" w:color="FFFFFF" w:sz="0"/>
              <w:right w:val="none" w:color="FFFFFF" w:sz="0"/>
            </w:tcBorders>
            <w:tcMar>
              <w:top w:type="dxa" w:w="60"/>
              <w:left w:type="dxa" w:w="240"/>
              <w:bottom w:type="dxa" w:w="60"/>
              <w:right w:type="dxa" w:w="120"/>
            </w:tcMar>
          </w:tcPr>
          <w:p>
            <w:r>
              <w:rPr>
                <w:rFonts w:ascii="Georgia" w:cs="Georgia" w:eastAsia="Georgia" w:hAnsi="Georgia"/>
                <w:i/>
                <w:iCs/>
                <w:sz w:val="22"/>
                <w:szCs w:val="22"/>
              </w:rPr>
              <w:t xml:space="preserve">Filosofía cacheada (escritura + lecturas)</w:t>
            </w:r>
          </w:p>
        </w:tc>
        <w:tc>
          <w:tcPr>
            <w:tcW w:type="dxa" w:w="2800"/>
            <w:tcBorders>
              <w:top w:val="none" w:color="FFFFFF" w:sz="0"/>
              <w:left w:val="none" w:color="FFFFFF" w:sz="0"/>
              <w:bottom w:val="none" w:color="FFFFFF" w:sz="0"/>
              <w:right w:val="none" w:color="FFFFFF" w:sz="0"/>
            </w:tcBorders>
            <w:tcMar>
              <w:top w:type="dxa" w:w="60"/>
              <w:left w:type="dxa" w:w="120"/>
              <w:bottom w:type="dxa" w:w="60"/>
              <w:right w:type="dxa" w:w="240"/>
            </w:tcMar>
          </w:tcPr>
          <w:p>
            <w:pPr>
              <w:jc w:val="right"/>
            </w:pPr>
            <w:r>
              <w:rPr>
                <w:rFonts w:ascii="Georgia" w:cs="Georgia" w:eastAsia="Georgia" w:hAnsi="Georgia"/>
                <w:sz w:val="22"/>
                <w:szCs w:val="22"/>
              </w:rPr>
              <w:t xml:space="preserve">USD 7,00</w:t>
            </w:r>
          </w:p>
        </w:tc>
      </w:tr>
      <w:tr>
        <w:tc>
          <w:tcPr>
            <w:tcW w:type="dxa" w:w="6560"/>
            <w:tcBorders>
              <w:top w:val="none" w:color="FFFFFF" w:sz="0"/>
              <w:left w:val="none" w:color="FFFFFF" w:sz="0"/>
              <w:bottom w:val="none" w:color="FFFFFF" w:sz="0"/>
              <w:right w:val="none" w:color="FFFFFF" w:sz="0"/>
            </w:tcBorders>
            <w:tcMar>
              <w:top w:type="dxa" w:w="60"/>
              <w:left w:type="dxa" w:w="240"/>
              <w:bottom w:type="dxa" w:w="60"/>
              <w:right w:type="dxa" w:w="120"/>
            </w:tcMar>
          </w:tcPr>
          <w:p>
            <w:r>
              <w:rPr>
                <w:rFonts w:ascii="Georgia" w:cs="Georgia" w:eastAsia="Georgia" w:hAnsi="Georgia"/>
                <w:i/>
                <w:iCs/>
                <w:sz w:val="22"/>
                <w:szCs w:val="22"/>
              </w:rPr>
              <w:t xml:space="preserve">Capa dos — Sonnet con batch</w:t>
            </w:r>
          </w:p>
        </w:tc>
        <w:tc>
          <w:tcPr>
            <w:tcW w:type="dxa" w:w="2800"/>
            <w:tcBorders>
              <w:top w:val="none" w:color="FFFFFF" w:sz="0"/>
              <w:left w:val="none" w:color="FFFFFF" w:sz="0"/>
              <w:bottom w:val="none" w:color="FFFFFF" w:sz="0"/>
              <w:right w:val="none" w:color="FFFFFF" w:sz="0"/>
            </w:tcBorders>
            <w:tcMar>
              <w:top w:type="dxa" w:w="60"/>
              <w:left w:type="dxa" w:w="120"/>
              <w:bottom w:type="dxa" w:w="60"/>
              <w:right w:type="dxa" w:w="240"/>
            </w:tcMar>
          </w:tcPr>
          <w:p>
            <w:pPr>
              <w:jc w:val="right"/>
            </w:pPr>
            <w:r>
              <w:rPr>
                <w:rFonts w:ascii="Georgia" w:cs="Georgia" w:eastAsia="Georgia" w:hAnsi="Georgia"/>
                <w:sz w:val="22"/>
                <w:szCs w:val="22"/>
              </w:rPr>
              <w:t xml:space="preserve">USD 4,40</w:t>
            </w:r>
          </w:p>
        </w:tc>
      </w:tr>
      <w:tr>
        <w:tc>
          <w:tcPr>
            <w:tcW w:type="dxa" w:w="6560"/>
            <w:tcBorders>
              <w:top w:val="none" w:color="FFFFFF" w:sz="0"/>
              <w:left w:val="none" w:color="FFFFFF" w:sz="0"/>
              <w:bottom w:val="none" w:color="FFFFFF" w:sz="0"/>
              <w:right w:val="none" w:color="FFFFFF" w:sz="0"/>
            </w:tcBorders>
            <w:tcMar>
              <w:top w:type="dxa" w:w="60"/>
              <w:left w:type="dxa" w:w="240"/>
              <w:bottom w:type="dxa" w:w="60"/>
              <w:right w:type="dxa" w:w="120"/>
            </w:tcMar>
          </w:tcPr>
          <w:p>
            <w:r>
              <w:rPr>
                <w:rFonts w:ascii="Georgia" w:cs="Georgia" w:eastAsia="Georgia" w:hAnsi="Georgia"/>
                <w:i/>
                <w:iCs/>
                <w:sz w:val="22"/>
                <w:szCs w:val="22"/>
              </w:rPr>
              <w:t xml:space="preserve">Capa tres — Opus bull-bear</w:t>
            </w:r>
          </w:p>
        </w:tc>
        <w:tc>
          <w:tcPr>
            <w:tcW w:type="dxa" w:w="2800"/>
            <w:tcBorders>
              <w:top w:val="none" w:color="FFFFFF" w:sz="0"/>
              <w:left w:val="none" w:color="FFFFFF" w:sz="0"/>
              <w:bottom w:val="none" w:color="FFFFFF" w:sz="0"/>
              <w:right w:val="none" w:color="FFFFFF" w:sz="0"/>
            </w:tcBorders>
            <w:tcMar>
              <w:top w:type="dxa" w:w="60"/>
              <w:left w:type="dxa" w:w="120"/>
              <w:bottom w:type="dxa" w:w="60"/>
              <w:right w:type="dxa" w:w="240"/>
            </w:tcMar>
          </w:tcPr>
          <w:p>
            <w:pPr>
              <w:jc w:val="right"/>
            </w:pPr>
            <w:r>
              <w:rPr>
                <w:rFonts w:ascii="Georgia" w:cs="Georgia" w:eastAsia="Georgia" w:hAnsi="Georgia"/>
                <w:sz w:val="22"/>
                <w:szCs w:val="22"/>
              </w:rPr>
              <w:t xml:space="preserve">USD 15,40</w:t>
            </w:r>
          </w:p>
        </w:tc>
      </w:tr>
      <w:tr>
        <w:tc>
          <w:tcPr>
            <w:tcW w:type="dxa" w:w="6560"/>
            <w:tcBorders>
              <w:top w:val="none" w:color="FFFFFF" w:sz="0"/>
              <w:left w:val="none" w:color="FFFFFF" w:sz="0"/>
              <w:bottom w:val="none" w:color="FFFFFF" w:sz="0"/>
              <w:right w:val="none" w:color="FFFFFF" w:sz="0"/>
            </w:tcBorders>
            <w:tcMar>
              <w:top w:type="dxa" w:w="60"/>
              <w:left w:type="dxa" w:w="240"/>
              <w:bottom w:type="dxa" w:w="60"/>
              <w:right w:type="dxa" w:w="120"/>
            </w:tcMar>
          </w:tcPr>
          <w:p>
            <w:r>
              <w:rPr>
                <w:rFonts w:ascii="Georgia" w:cs="Georgia" w:eastAsia="Georgia" w:hAnsi="Georgia"/>
                <w:i/>
                <w:iCs/>
                <w:sz w:val="22"/>
                <w:szCs w:val="22"/>
              </w:rPr>
              <w:t xml:space="preserve">Capa cuatro — constructor</w:t>
            </w:r>
          </w:p>
        </w:tc>
        <w:tc>
          <w:tcPr>
            <w:tcW w:type="dxa" w:w="2800"/>
            <w:tcBorders>
              <w:top w:val="none" w:color="FFFFFF" w:sz="0"/>
              <w:left w:val="none" w:color="FFFFFF" w:sz="0"/>
              <w:bottom w:val="none" w:color="FFFFFF" w:sz="0"/>
              <w:right w:val="none" w:color="FFFFFF" w:sz="0"/>
            </w:tcBorders>
            <w:tcMar>
              <w:top w:type="dxa" w:w="60"/>
              <w:left w:type="dxa" w:w="120"/>
              <w:bottom w:type="dxa" w:w="60"/>
              <w:right w:type="dxa" w:w="240"/>
            </w:tcMar>
          </w:tcPr>
          <w:p>
            <w:pPr>
              <w:jc w:val="right"/>
            </w:pPr>
            <w:r>
              <w:rPr>
                <w:rFonts w:ascii="Georgia" w:cs="Georgia" w:eastAsia="Georgia" w:hAnsi="Georgia"/>
                <w:sz w:val="22"/>
                <w:szCs w:val="22"/>
              </w:rPr>
              <w:t xml:space="preserve">USD 2,50</w:t>
            </w:r>
          </w:p>
        </w:tc>
      </w:tr>
      <w:tr>
        <w:tc>
          <w:tcPr>
            <w:tcW w:type="dxa" w:w="6560"/>
            <w:tcBorders>
              <w:top w:val="none" w:color="FFFFFF" w:sz="0"/>
              <w:left w:val="none" w:color="FFFFFF" w:sz="0"/>
              <w:bottom w:val="none" w:color="FFFFFF" w:sz="0"/>
              <w:right w:val="none" w:color="FFFFFF" w:sz="0"/>
            </w:tcBorders>
            <w:tcMar>
              <w:top w:type="dxa" w:w="60"/>
              <w:left w:type="dxa" w:w="240"/>
              <w:bottom w:type="dxa" w:w="60"/>
              <w:right w:type="dxa" w:w="120"/>
            </w:tcMar>
          </w:tcPr>
          <w:p>
            <w:r>
              <w:rPr>
                <w:rFonts w:ascii="Georgia" w:cs="Georgia" w:eastAsia="Georgia" w:hAnsi="Georgia"/>
                <w:i/>
                <w:iCs/>
                <w:sz w:val="22"/>
                <w:szCs w:val="22"/>
              </w:rPr>
              <w:t xml:space="preserve">Capa cinco — búsquedas web</w:t>
            </w:r>
          </w:p>
        </w:tc>
        <w:tc>
          <w:tcPr>
            <w:tcW w:type="dxa" w:w="2800"/>
            <w:tcBorders>
              <w:top w:val="none" w:color="FFFFFF" w:sz="0"/>
              <w:left w:val="none" w:color="FFFFFF" w:sz="0"/>
              <w:bottom w:val="none" w:color="FFFFFF" w:sz="0"/>
              <w:right w:val="none" w:color="FFFFFF" w:sz="0"/>
            </w:tcBorders>
            <w:tcMar>
              <w:top w:type="dxa" w:w="60"/>
              <w:left w:type="dxa" w:w="120"/>
              <w:bottom w:type="dxa" w:w="60"/>
              <w:right w:type="dxa" w:w="240"/>
            </w:tcMar>
          </w:tcPr>
          <w:p>
            <w:pPr>
              <w:jc w:val="right"/>
            </w:pPr>
            <w:r>
              <w:rPr>
                <w:rFonts w:ascii="Georgia" w:cs="Georgia" w:eastAsia="Georgia" w:hAnsi="Georgia"/>
                <w:sz w:val="22"/>
                <w:szCs w:val="22"/>
              </w:rPr>
              <w:t xml:space="preserve">USD 1,50</w:t>
            </w:r>
          </w:p>
        </w:tc>
      </w:tr>
      <w:tr>
        <w:tc>
          <w:tcPr>
            <w:tcW w:type="dxa" w:w="6560"/>
            <w:tcBorders>
              <w:top w:val="none" w:color="FFFFFF" w:sz="0"/>
              <w:left w:val="none" w:color="FFFFFF" w:sz="0"/>
              <w:bottom w:val="none" w:color="FFFFFF" w:sz="0"/>
              <w:right w:val="none" w:color="FFFFFF" w:sz="0"/>
            </w:tcBorders>
            <w:tcMar>
              <w:top w:type="dxa" w:w="60"/>
              <w:left w:type="dxa" w:w="240"/>
              <w:bottom w:type="dxa" w:w="60"/>
              <w:right w:type="dxa" w:w="120"/>
            </w:tcMar>
          </w:tcPr>
          <w:p>
            <w:r>
              <w:rPr>
                <w:rFonts w:ascii="Georgia" w:cs="Georgia" w:eastAsia="Georgia" w:hAnsi="Georgia"/>
                <w:i/>
                <w:iCs/>
                <w:sz w:val="22"/>
                <w:szCs w:val="22"/>
              </w:rPr>
              <w:t xml:space="preserve">Subtotal por ciclo</w:t>
            </w:r>
          </w:p>
        </w:tc>
        <w:tc>
          <w:tcPr>
            <w:tcW w:type="dxa" w:w="2800"/>
            <w:tcBorders>
              <w:top w:val="none" w:color="FFFFFF" w:sz="0"/>
              <w:left w:val="none" w:color="FFFFFF" w:sz="0"/>
              <w:bottom w:val="none" w:color="FFFFFF" w:sz="0"/>
              <w:right w:val="none" w:color="FFFFFF" w:sz="0"/>
            </w:tcBorders>
            <w:tcMar>
              <w:top w:type="dxa" w:w="60"/>
              <w:left w:type="dxa" w:w="120"/>
              <w:bottom w:type="dxa" w:w="60"/>
              <w:right w:type="dxa" w:w="240"/>
            </w:tcMar>
          </w:tcPr>
          <w:p>
            <w:pPr>
              <w:jc w:val="right"/>
            </w:pPr>
            <w:r>
              <w:rPr>
                <w:rFonts w:ascii="Georgia" w:cs="Georgia" w:eastAsia="Georgia" w:hAnsi="Georgia"/>
                <w:sz w:val="22"/>
                <w:szCs w:val="22"/>
              </w:rPr>
              <w:t xml:space="preserve">USD 30,80</w:t>
            </w:r>
          </w:p>
        </w:tc>
      </w:tr>
      <w:tr>
        <w:tc>
          <w:tcPr>
            <w:tcW w:type="dxa" w:w="9360"/>
            <w:gridSpan w:val="2"/>
            <w:tcBorders>
              <w:top w:val="single" w:color="999999" w:sz="4"/>
              <w:left w:val="none" w:color="FFFFFF" w:sz="0"/>
              <w:bottom w:val="none" w:color="FFFFFF" w:sz="0"/>
              <w:right w:val="none" w:color="FFFFFF" w:sz="0"/>
            </w:tcBorders>
            <w:tcMar>
              <w:top w:type="dxa" w:w="60"/>
              <w:left w:type="dxa" w:w="240"/>
              <w:bottom w:type="dxa" w:w="60"/>
              <w:right w:type="dxa" w:w="240"/>
            </w:tcMar>
          </w:tcPr>
          <w:p>
            <w:r>
              <w:t xml:space="preserve"/>
            </w:r>
          </w:p>
        </w:tc>
      </w:tr>
    </w:tbl>
    <w:p>
      <w:pPr>
        <w:spacing w:after="200" w:before="0" w:line="320"/>
        <w:jc w:val="both"/>
      </w:pPr>
      <w:r>
        <w:rPr>
          <w:rFonts w:ascii="Georgia" w:cs="Georgia" w:eastAsia="Georgia" w:hAnsi="Georgia"/>
          <w:sz w:val="22"/>
          <w:szCs w:val="22"/>
        </w:rPr>
        <w:t xml:space="preserve">Cincuenta y dos ciclos al año suman mil quinientos ochenta y un dólares. A eso hay que sumarle corridas extraordinarias por eventos de mercado —calculamos diez por año— y uso adicional de la API para generar el contenido editorial derivado de cada ciclo —threads de X, posts de Instagram, newsletter mensual—, que lo estimamos en dos dólares por ciclo usando Sonnet. Total de API anual proyectado: mil ochocientos dólares, o ciento cincuenta por mes.</w:t>
      </w:r>
    </w:p>
    <w:p>
      <w:pPr>
        <w:spacing w:after="360" w:before="360" w:line="360"/>
        <w:ind w:left="720" w:right="720"/>
        <w:jc w:val="center"/>
      </w:pPr>
      <w:r>
        <w:rPr>
          <w:rFonts w:ascii="Georgia" w:cs="Georgia" w:eastAsia="Georgia" w:hAnsi="Georgia"/>
          <w:i/>
          <w:iCs/>
          <w:sz w:val="26"/>
          <w:szCs w:val="26"/>
        </w:rPr>
        <w:t xml:space="preserve">"  El prompt caching y el batch API, combinados, son la diferencia entre un proyecto que cuesta mil quinientos dólares al año y uno que cuesta doce mil. Es un factor ocho.  "</w:t>
      </w:r>
    </w:p>
    <w:p>
      <w:r>
        <w:br w:type="page"/>
      </w:r>
    </w:p>
    <w:p>
      <w:pPr>
        <w:spacing w:after="120" w:before="480"/>
        <w:jc w:val="center"/>
      </w:pPr>
      <w:r>
        <w:rPr>
          <w:rFonts w:ascii="Georgia" w:cs="Georgia" w:eastAsia="Georgia" w:hAnsi="Georgia"/>
          <w:b/>
          <w:bCs/>
          <w:spacing w:val="80"/>
          <w:sz w:val="22"/>
          <w:szCs w:val="22"/>
        </w:rPr>
        <w:t xml:space="preserve">CAPÍTULO III</w:t>
      </w:r>
    </w:p>
    <w:p>
      <w:pPr>
        <w:spacing w:after="360" w:before="0"/>
        <w:jc w:val="center"/>
      </w:pPr>
      <w:r>
        <w:rPr>
          <w:rFonts w:ascii="Georgia" w:cs="Georgia" w:eastAsia="Georgia" w:hAnsi="Georgia"/>
          <w:b/>
          <w:bCs/>
          <w:i/>
          <w:iCs/>
          <w:sz w:val="36"/>
          <w:szCs w:val="36"/>
        </w:rPr>
        <w:t xml:space="preserve">Stack completo y presupuesto total</w:t>
      </w:r>
    </w:p>
    <w:p>
      <w:pPr>
        <w:spacing w:after="200" w:before="0" w:line="320"/>
        <w:jc w:val="both"/>
      </w:pPr>
      <w:r>
        <w:rPr>
          <w:rFonts w:ascii="Georgia" w:cs="Georgia" w:eastAsia="Georgia" w:hAnsi="Georgia"/>
          <w:b/>
          <w:bCs/>
          <w:sz w:val="28"/>
          <w:szCs w:val="28"/>
        </w:rPr>
        <w:t xml:space="preserve">F</w:t>
      </w:r>
      <w:r>
        <w:rPr>
          <w:rFonts w:ascii="Georgia" w:cs="Georgia" w:eastAsia="Georgia" w:hAnsi="Georgia"/>
          <w:sz w:val="22"/>
          <w:szCs w:val="22"/>
        </w:rPr>
        <w:t xml:space="preserve">uera de la API de Claude, el proyecto requiere otras seis líneas de infraestructura. Cada una tiene alternativas, y la elección que sigue es la que minimiza costo total preservando capacidad de escalar sin reescribir nada.</w:t>
      </w:r>
    </w:p>
    <w:p>
      <w:pPr>
        <w:spacing w:after="180" w:before="280"/>
        <w:jc w:val="center"/>
      </w:pPr>
      <w:r>
        <w:rPr>
          <w:rFonts w:ascii="Georgia" w:cs="Georgia" w:eastAsia="Georgia" w:hAnsi="Georgia"/>
          <w:b/>
          <w:bCs/>
          <w:i/>
          <w:iCs/>
          <w:sz w:val="24"/>
          <w:szCs w:val="24"/>
        </w:rPr>
        <w:t xml:space="preserve">Broker y datos de mercado</w:t>
      </w:r>
    </w:p>
    <w:p>
      <w:pPr>
        <w:spacing w:after="160" w:before="0" w:line="320"/>
        <w:jc w:val="both"/>
      </w:pPr>
      <w:r>
        <w:rPr>
          <w:rFonts w:ascii="Georgia" w:cs="Georgia" w:eastAsia="Georgia" w:hAnsi="Georgia"/>
          <w:sz w:val="22"/>
          <w:szCs w:val="22"/>
        </w:rPr>
        <w:t xml:space="preserve">Alpaca Markets es la elección obvia y es gratuita para nuestro caso. Paper trading disponible para cualquier persona en el mundo con solo registrar un email —no requiere residencia en Estados Unidos ni business entity—, datos de mercado en tiempo real vía el feed IEX incluidos sin costo, API limpia, comisiones cero en el caso hipotético de que algún día pasemos a dinero real. No hay monto mínimo, no hay costo de mantenimiento, no hay tarifas ocultas. Durante los doce meses de paper no pagamos nada a Alpaca.</w:t>
      </w:r>
    </w:p>
    <w:p>
      <w:pPr>
        <w:spacing w:after="160" w:before="0" w:line="320"/>
        <w:jc w:val="both"/>
      </w:pPr>
      <w:r>
        <w:rPr>
          <w:rFonts w:ascii="Georgia" w:cs="Georgia" w:eastAsia="Georgia" w:hAnsi="Georgia"/>
          <w:sz w:val="22"/>
          <w:szCs w:val="22"/>
        </w:rPr>
        <w:t xml:space="preserve">Como fuente de datos secundaria usamos yfinance, la librería de Python que consume los endpoints públicos de Yahoo Finance, también gratuita. Sirve para validar datos y para pullar históricos largos. Si en algún momento necesitamos fundamentals detallados o intraday de mayor resolución, Polygon.io ofrece un plan de veintinueve dólares mensuales que cubre cualquier necesidad imaginable; lo evaluamos recién en el mes seis si los datos del caso lo justifican.</w:t>
      </w:r>
    </w:p>
    <w:p>
      <w:pPr>
        <w:spacing w:after="180" w:before="280"/>
        <w:jc w:val="center"/>
      </w:pPr>
      <w:r>
        <w:rPr>
          <w:rFonts w:ascii="Georgia" w:cs="Georgia" w:eastAsia="Georgia" w:hAnsi="Georgia"/>
          <w:b/>
          <w:bCs/>
          <w:i/>
          <w:iCs/>
          <w:sz w:val="24"/>
          <w:szCs w:val="24"/>
        </w:rPr>
        <w:t xml:space="preserve">Backend: servidor, base de datos y cron</w:t>
      </w:r>
    </w:p>
    <w:p>
      <w:pPr>
        <w:spacing w:after="160" w:before="0" w:line="320"/>
        <w:jc w:val="both"/>
      </w:pPr>
      <w:r>
        <w:rPr>
          <w:rFonts w:ascii="Georgia" w:cs="Georgia" w:eastAsia="Georgia" w:hAnsi="Georgia"/>
          <w:sz w:val="22"/>
          <w:szCs w:val="22"/>
        </w:rPr>
        <w:t xml:space="preserve">Fly.io corre la pipeline semanal y el backend permanente. El plan gratuito incluye tres máquinas pequeñas y suficiente bandwidth para lo que necesitamos; si pasamos al plan pago, empieza en cinco dólares al mes y llega a veinte holgadamente. Railway es una alternativa idéntica en costo y capacidad. Cualquiera funciona. La decisión se toma por familiaridad del desarrollador, no por criterio técnico.</w:t>
      </w:r>
    </w:p>
    <w:p>
      <w:pPr>
        <w:spacing w:after="160" w:before="0" w:line="320"/>
        <w:jc w:val="both"/>
      </w:pPr>
      <w:r>
        <w:rPr>
          <w:rFonts w:ascii="Georgia" w:cs="Georgia" w:eastAsia="Georgia" w:hAnsi="Georgia"/>
          <w:sz w:val="22"/>
          <w:szCs w:val="22"/>
        </w:rPr>
        <w:t xml:space="preserve">Neon maneja la base de datos PostgreSQL. El tier gratuito ofrece medio gigabyte de storage y diez gigabytes de transferencia mensual, más que suficiente para nuestra volumetría durante al menos el primer año. Cuando lo superemos —si lo superamos—, el siguiente plan es diecinueve dólares mensuales. Supabase es equivalente. Redis gratuito para cache en memoria lo provee Upstash con su tier de diez mil comandos diarios, holgado para lo que precisamos.</w:t>
      </w:r>
    </w:p>
    <w:p>
      <w:pPr>
        <w:spacing w:after="180" w:before="280"/>
        <w:jc w:val="center"/>
      </w:pPr>
      <w:r>
        <w:rPr>
          <w:rFonts w:ascii="Georgia" w:cs="Georgia" w:eastAsia="Georgia" w:hAnsi="Georgia"/>
          <w:b/>
          <w:bCs/>
          <w:i/>
          <w:iCs/>
          <w:sz w:val="24"/>
          <w:szCs w:val="24"/>
        </w:rPr>
        <w:t xml:space="preserve">Frontend: dashboard y sitio</w:t>
      </w:r>
    </w:p>
    <w:p>
      <w:pPr>
        <w:spacing w:after="160" w:before="0" w:line="320"/>
        <w:jc w:val="both"/>
      </w:pPr>
      <w:r>
        <w:rPr>
          <w:rFonts w:ascii="Georgia" w:cs="Georgia" w:eastAsia="Georgia" w:hAnsi="Georgia"/>
          <w:sz w:val="22"/>
          <w:szCs w:val="22"/>
        </w:rPr>
        <w:t xml:space="preserve">Vercel hostea el sitio estático y el dashboard en React con tier gratuito indefinido para proyectos personales hasta cien gigabytes de bandwidth mensual, cifra que el dashboard no va a acercarse a consumir en el primer año. Cloudflare Pages es equivalente. Ninguna de las dos opciones nos cobra hasta que el proyecto tenga tráfico significativo, momento en el cual el costo sigue siendo despreciable.</w:t>
      </w:r>
    </w:p>
    <w:p>
      <w:pPr>
        <w:spacing w:after="180" w:before="280"/>
        <w:jc w:val="center"/>
      </w:pPr>
      <w:r>
        <w:rPr>
          <w:rFonts w:ascii="Georgia" w:cs="Georgia" w:eastAsia="Georgia" w:hAnsi="Georgia"/>
          <w:b/>
          <w:bCs/>
          <w:i/>
          <w:iCs/>
          <w:sz w:val="24"/>
          <w:szCs w:val="24"/>
        </w:rPr>
        <w:t xml:space="preserve">Dominio y email</w:t>
      </w:r>
    </w:p>
    <w:p>
      <w:pPr>
        <w:spacing w:after="160" w:before="0" w:line="320"/>
        <w:jc w:val="both"/>
      </w:pPr>
      <w:r>
        <w:rPr>
          <w:rFonts w:ascii="Georgia" w:cs="Georgia" w:eastAsia="Georgia" w:hAnsi="Georgia"/>
          <w:sz w:val="22"/>
          <w:szCs w:val="22"/>
        </w:rPr>
        <w:t xml:space="preserve">Un subdominio bajo indigostar.com es gratis y lo administramos nosotros mismos. Si preferimos un dominio propio para separar marcas con más fuerza —indigoaiport.com, por ejemplo—, el costo anual de registro es de doce a quince dólares. Email transaccional para el newsletter y para notificaciones del sistema lo cubre Resend con tres mil envíos mensuales gratis; más que eso, nueve dólares al mes.</w:t>
      </w:r>
    </w:p>
    <w:p>
      <w:pPr>
        <w:spacing w:after="180" w:before="280"/>
        <w:jc w:val="center"/>
      </w:pPr>
      <w:r>
        <w:rPr>
          <w:rFonts w:ascii="Georgia" w:cs="Georgia" w:eastAsia="Georgia" w:hAnsi="Georgia"/>
          <w:b/>
          <w:bCs/>
          <w:i/>
          <w:iCs/>
          <w:sz w:val="24"/>
          <w:szCs w:val="24"/>
        </w:rPr>
        <w:t xml:space="preserve">Herramientas de desarrollo</w:t>
      </w:r>
    </w:p>
    <w:p>
      <w:pPr>
        <w:spacing w:after="160" w:before="0" w:line="320"/>
        <w:jc w:val="both"/>
      </w:pPr>
      <w:r>
        <w:rPr>
          <w:rFonts w:ascii="Georgia" w:cs="Georgia" w:eastAsia="Georgia" w:hAnsi="Georgia"/>
          <w:sz w:val="22"/>
          <w:szCs w:val="22"/>
        </w:rPr>
        <w:t xml:space="preserve">GitHub Free para el repositorio, que puede ser público desde el día uno como parte de la transparencia del proyecto —la constitución y la arquitectura del sistema expuestas en GitHub son, por sí solas, un activo reputacional. Claude Code para el desarrollo mismo, donde un plan Pro de veinte dólares mensuales alcanza sobradamente para nuestra cadencia.</w:t>
      </w:r>
    </w:p>
    <w:p>
      <w:pPr>
        <w:spacing w:after="180" w:before="280"/>
        <w:jc w:val="center"/>
      </w:pPr>
      <w:r>
        <w:rPr>
          <w:rFonts w:ascii="Georgia" w:cs="Georgia" w:eastAsia="Georgia" w:hAnsi="Georgia"/>
          <w:b/>
          <w:bCs/>
          <w:i/>
          <w:iCs/>
          <w:sz w:val="24"/>
          <w:szCs w:val="24"/>
        </w:rPr>
        <w:t xml:space="preserve">El presupuesto mensual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9360"/>
            <w:gridSpan w:val="2"/>
            <w:tcBorders>
              <w:top w:val="single" w:color="999999" w:sz="4"/>
              <w:left w:val="none" w:color="FFFFFF" w:sz="0"/>
              <w:bottom w:val="single" w:color="999999" w:sz="4"/>
              <w:right w:val="none" w:color="FFFFFF" w:sz="0"/>
            </w:tcBorders>
            <w:tcMar>
              <w:top w:type="dxa" w:w="120"/>
              <w:left w:type="dxa" w:w="240"/>
              <w:bottom w:type="dxa" w:w="120"/>
              <w:right w:type="dxa" w:w="240"/>
            </w:tcMar>
          </w:tcPr>
          <w:p>
            <w:pPr>
              <w:jc w:val="center"/>
            </w:pPr>
            <w:r>
              <w:rPr>
                <w:rFonts w:ascii="Georgia" w:cs="Georgia" w:eastAsia="Georgia" w:hAnsi="Georgia"/>
                <w:b/>
                <w:bCs/>
                <w:i/>
                <w:iCs/>
                <w:spacing w:val="60"/>
                <w:sz w:val="22"/>
                <w:szCs w:val="22"/>
              </w:rPr>
              <w:t xml:space="preserve">Presupuesto mensual en régimen estable</w:t>
            </w:r>
          </w:p>
        </w:tc>
      </w:tr>
      <w:tr>
        <w:tc>
          <w:tcPr>
            <w:tcW w:type="dxa" w:w="6560"/>
            <w:tcBorders>
              <w:top w:val="none" w:color="FFFFFF" w:sz="0"/>
              <w:left w:val="none" w:color="FFFFFF" w:sz="0"/>
              <w:bottom w:val="none" w:color="FFFFFF" w:sz="0"/>
              <w:right w:val="none" w:color="FFFFFF" w:sz="0"/>
            </w:tcBorders>
            <w:tcMar>
              <w:top w:type="dxa" w:w="60"/>
              <w:left w:type="dxa" w:w="240"/>
              <w:bottom w:type="dxa" w:w="60"/>
              <w:right w:type="dxa" w:w="120"/>
            </w:tcMar>
          </w:tcPr>
          <w:p>
            <w:r>
              <w:rPr>
                <w:rFonts w:ascii="Georgia" w:cs="Georgia" w:eastAsia="Georgia" w:hAnsi="Georgia"/>
                <w:i/>
                <w:iCs/>
                <w:sz w:val="22"/>
                <w:szCs w:val="22"/>
              </w:rPr>
              <w:t xml:space="preserve">Anthropic API (Claude Opus 4.7 + Sonnet 4.6)</w:t>
            </w:r>
          </w:p>
        </w:tc>
        <w:tc>
          <w:tcPr>
            <w:tcW w:type="dxa" w:w="2800"/>
            <w:tcBorders>
              <w:top w:val="none" w:color="FFFFFF" w:sz="0"/>
              <w:left w:val="none" w:color="FFFFFF" w:sz="0"/>
              <w:bottom w:val="none" w:color="FFFFFF" w:sz="0"/>
              <w:right w:val="none" w:color="FFFFFF" w:sz="0"/>
            </w:tcBorders>
            <w:tcMar>
              <w:top w:type="dxa" w:w="60"/>
              <w:left w:type="dxa" w:w="120"/>
              <w:bottom w:type="dxa" w:w="60"/>
              <w:right w:type="dxa" w:w="240"/>
            </w:tcMar>
          </w:tcPr>
          <w:p>
            <w:pPr>
              <w:jc w:val="right"/>
            </w:pPr>
            <w:r>
              <w:rPr>
                <w:rFonts w:ascii="Georgia" w:cs="Georgia" w:eastAsia="Georgia" w:hAnsi="Georgia"/>
                <w:sz w:val="22"/>
                <w:szCs w:val="22"/>
              </w:rPr>
              <w:t xml:space="preserve">USD 150</w:t>
            </w:r>
          </w:p>
        </w:tc>
      </w:tr>
      <w:tr>
        <w:tc>
          <w:tcPr>
            <w:tcW w:type="dxa" w:w="6560"/>
            <w:tcBorders>
              <w:top w:val="none" w:color="FFFFFF" w:sz="0"/>
              <w:left w:val="none" w:color="FFFFFF" w:sz="0"/>
              <w:bottom w:val="none" w:color="FFFFFF" w:sz="0"/>
              <w:right w:val="none" w:color="FFFFFF" w:sz="0"/>
            </w:tcBorders>
            <w:tcMar>
              <w:top w:type="dxa" w:w="60"/>
              <w:left w:type="dxa" w:w="240"/>
              <w:bottom w:type="dxa" w:w="60"/>
              <w:right w:type="dxa" w:w="120"/>
            </w:tcMar>
          </w:tcPr>
          <w:p>
            <w:r>
              <w:rPr>
                <w:rFonts w:ascii="Georgia" w:cs="Georgia" w:eastAsia="Georgia" w:hAnsi="Georgia"/>
                <w:i/>
                <w:iCs/>
                <w:sz w:val="22"/>
                <w:szCs w:val="22"/>
              </w:rPr>
              <w:t xml:space="preserve">Alpaca Markets + yfinance</w:t>
            </w:r>
          </w:p>
        </w:tc>
        <w:tc>
          <w:tcPr>
            <w:tcW w:type="dxa" w:w="2800"/>
            <w:tcBorders>
              <w:top w:val="none" w:color="FFFFFF" w:sz="0"/>
              <w:left w:val="none" w:color="FFFFFF" w:sz="0"/>
              <w:bottom w:val="none" w:color="FFFFFF" w:sz="0"/>
              <w:right w:val="none" w:color="FFFFFF" w:sz="0"/>
            </w:tcBorders>
            <w:tcMar>
              <w:top w:type="dxa" w:w="60"/>
              <w:left w:type="dxa" w:w="120"/>
              <w:bottom w:type="dxa" w:w="60"/>
              <w:right w:type="dxa" w:w="240"/>
            </w:tcMar>
          </w:tcPr>
          <w:p>
            <w:pPr>
              <w:jc w:val="right"/>
            </w:pPr>
            <w:r>
              <w:rPr>
                <w:rFonts w:ascii="Georgia" w:cs="Georgia" w:eastAsia="Georgia" w:hAnsi="Georgia"/>
                <w:sz w:val="22"/>
                <w:szCs w:val="22"/>
              </w:rPr>
              <w:t xml:space="preserve">USD 0</w:t>
            </w:r>
          </w:p>
        </w:tc>
      </w:tr>
      <w:tr>
        <w:tc>
          <w:tcPr>
            <w:tcW w:type="dxa" w:w="6560"/>
            <w:tcBorders>
              <w:top w:val="none" w:color="FFFFFF" w:sz="0"/>
              <w:left w:val="none" w:color="FFFFFF" w:sz="0"/>
              <w:bottom w:val="none" w:color="FFFFFF" w:sz="0"/>
              <w:right w:val="none" w:color="FFFFFF" w:sz="0"/>
            </w:tcBorders>
            <w:tcMar>
              <w:top w:type="dxa" w:w="60"/>
              <w:left w:type="dxa" w:w="240"/>
              <w:bottom w:type="dxa" w:w="60"/>
              <w:right w:type="dxa" w:w="120"/>
            </w:tcMar>
          </w:tcPr>
          <w:p>
            <w:r>
              <w:rPr>
                <w:rFonts w:ascii="Georgia" w:cs="Georgia" w:eastAsia="Georgia" w:hAnsi="Georgia"/>
                <w:i/>
                <w:iCs/>
                <w:sz w:val="22"/>
                <w:szCs w:val="22"/>
              </w:rPr>
              <w:t xml:space="preserve">Fly.io o Railway backend</w:t>
            </w:r>
          </w:p>
        </w:tc>
        <w:tc>
          <w:tcPr>
            <w:tcW w:type="dxa" w:w="2800"/>
            <w:tcBorders>
              <w:top w:val="none" w:color="FFFFFF" w:sz="0"/>
              <w:left w:val="none" w:color="FFFFFF" w:sz="0"/>
              <w:bottom w:val="none" w:color="FFFFFF" w:sz="0"/>
              <w:right w:val="none" w:color="FFFFFF" w:sz="0"/>
            </w:tcBorders>
            <w:tcMar>
              <w:top w:type="dxa" w:w="60"/>
              <w:left w:type="dxa" w:w="120"/>
              <w:bottom w:type="dxa" w:w="60"/>
              <w:right w:type="dxa" w:w="240"/>
            </w:tcMar>
          </w:tcPr>
          <w:p>
            <w:pPr>
              <w:jc w:val="right"/>
            </w:pPr>
            <w:r>
              <w:rPr>
                <w:rFonts w:ascii="Georgia" w:cs="Georgia" w:eastAsia="Georgia" w:hAnsi="Georgia"/>
                <w:sz w:val="22"/>
                <w:szCs w:val="22"/>
              </w:rPr>
              <w:t xml:space="preserve">USD 5 – 10</w:t>
            </w:r>
          </w:p>
        </w:tc>
      </w:tr>
      <w:tr>
        <w:tc>
          <w:tcPr>
            <w:tcW w:type="dxa" w:w="6560"/>
            <w:tcBorders>
              <w:top w:val="none" w:color="FFFFFF" w:sz="0"/>
              <w:left w:val="none" w:color="FFFFFF" w:sz="0"/>
              <w:bottom w:val="none" w:color="FFFFFF" w:sz="0"/>
              <w:right w:val="none" w:color="FFFFFF" w:sz="0"/>
            </w:tcBorders>
            <w:tcMar>
              <w:top w:type="dxa" w:w="60"/>
              <w:left w:type="dxa" w:w="240"/>
              <w:bottom w:type="dxa" w:w="60"/>
              <w:right w:type="dxa" w:w="120"/>
            </w:tcMar>
          </w:tcPr>
          <w:p>
            <w:r>
              <w:rPr>
                <w:rFonts w:ascii="Georgia" w:cs="Georgia" w:eastAsia="Georgia" w:hAnsi="Georgia"/>
                <w:i/>
                <w:iCs/>
                <w:sz w:val="22"/>
                <w:szCs w:val="22"/>
              </w:rPr>
              <w:t xml:space="preserve">Neon PostgreSQL</w:t>
            </w:r>
          </w:p>
        </w:tc>
        <w:tc>
          <w:tcPr>
            <w:tcW w:type="dxa" w:w="2800"/>
            <w:tcBorders>
              <w:top w:val="none" w:color="FFFFFF" w:sz="0"/>
              <w:left w:val="none" w:color="FFFFFF" w:sz="0"/>
              <w:bottom w:val="none" w:color="FFFFFF" w:sz="0"/>
              <w:right w:val="none" w:color="FFFFFF" w:sz="0"/>
            </w:tcBorders>
            <w:tcMar>
              <w:top w:type="dxa" w:w="60"/>
              <w:left w:type="dxa" w:w="120"/>
              <w:bottom w:type="dxa" w:w="60"/>
              <w:right w:type="dxa" w:w="240"/>
            </w:tcMar>
          </w:tcPr>
          <w:p>
            <w:pPr>
              <w:jc w:val="right"/>
            </w:pPr>
            <w:r>
              <w:rPr>
                <w:rFonts w:ascii="Georgia" w:cs="Georgia" w:eastAsia="Georgia" w:hAnsi="Georgia"/>
                <w:sz w:val="22"/>
                <w:szCs w:val="22"/>
              </w:rPr>
              <w:t xml:space="preserve">USD 0 (primer año)</w:t>
            </w:r>
          </w:p>
        </w:tc>
      </w:tr>
      <w:tr>
        <w:tc>
          <w:tcPr>
            <w:tcW w:type="dxa" w:w="6560"/>
            <w:tcBorders>
              <w:top w:val="none" w:color="FFFFFF" w:sz="0"/>
              <w:left w:val="none" w:color="FFFFFF" w:sz="0"/>
              <w:bottom w:val="none" w:color="FFFFFF" w:sz="0"/>
              <w:right w:val="none" w:color="FFFFFF" w:sz="0"/>
            </w:tcBorders>
            <w:tcMar>
              <w:top w:type="dxa" w:w="60"/>
              <w:left w:type="dxa" w:w="240"/>
              <w:bottom w:type="dxa" w:w="60"/>
              <w:right w:type="dxa" w:w="120"/>
            </w:tcMar>
          </w:tcPr>
          <w:p>
            <w:r>
              <w:rPr>
                <w:rFonts w:ascii="Georgia" w:cs="Georgia" w:eastAsia="Georgia" w:hAnsi="Georgia"/>
                <w:i/>
                <w:iCs/>
                <w:sz w:val="22"/>
                <w:szCs w:val="22"/>
              </w:rPr>
              <w:t xml:space="preserve">Vercel o Cloudflare Pages</w:t>
            </w:r>
          </w:p>
        </w:tc>
        <w:tc>
          <w:tcPr>
            <w:tcW w:type="dxa" w:w="2800"/>
            <w:tcBorders>
              <w:top w:val="none" w:color="FFFFFF" w:sz="0"/>
              <w:left w:val="none" w:color="FFFFFF" w:sz="0"/>
              <w:bottom w:val="none" w:color="FFFFFF" w:sz="0"/>
              <w:right w:val="none" w:color="FFFFFF" w:sz="0"/>
            </w:tcBorders>
            <w:tcMar>
              <w:top w:type="dxa" w:w="60"/>
              <w:left w:type="dxa" w:w="120"/>
              <w:bottom w:type="dxa" w:w="60"/>
              <w:right w:type="dxa" w:w="240"/>
            </w:tcMar>
          </w:tcPr>
          <w:p>
            <w:pPr>
              <w:jc w:val="right"/>
            </w:pPr>
            <w:r>
              <w:rPr>
                <w:rFonts w:ascii="Georgia" w:cs="Georgia" w:eastAsia="Georgia" w:hAnsi="Georgia"/>
                <w:sz w:val="22"/>
                <w:szCs w:val="22"/>
              </w:rPr>
              <w:t xml:space="preserve">USD 0</w:t>
            </w:r>
          </w:p>
        </w:tc>
      </w:tr>
      <w:tr>
        <w:tc>
          <w:tcPr>
            <w:tcW w:type="dxa" w:w="6560"/>
            <w:tcBorders>
              <w:top w:val="none" w:color="FFFFFF" w:sz="0"/>
              <w:left w:val="none" w:color="FFFFFF" w:sz="0"/>
              <w:bottom w:val="none" w:color="FFFFFF" w:sz="0"/>
              <w:right w:val="none" w:color="FFFFFF" w:sz="0"/>
            </w:tcBorders>
            <w:tcMar>
              <w:top w:type="dxa" w:w="60"/>
              <w:left w:type="dxa" w:w="240"/>
              <w:bottom w:type="dxa" w:w="60"/>
              <w:right w:type="dxa" w:w="120"/>
            </w:tcMar>
          </w:tcPr>
          <w:p>
            <w:r>
              <w:rPr>
                <w:rFonts w:ascii="Georgia" w:cs="Georgia" w:eastAsia="Georgia" w:hAnsi="Georgia"/>
                <w:i/>
                <w:iCs/>
                <w:sz w:val="22"/>
                <w:szCs w:val="22"/>
              </w:rPr>
              <w:t xml:space="preserve">Resend (email transaccional)</w:t>
            </w:r>
          </w:p>
        </w:tc>
        <w:tc>
          <w:tcPr>
            <w:tcW w:type="dxa" w:w="2800"/>
            <w:tcBorders>
              <w:top w:val="none" w:color="FFFFFF" w:sz="0"/>
              <w:left w:val="none" w:color="FFFFFF" w:sz="0"/>
              <w:bottom w:val="none" w:color="FFFFFF" w:sz="0"/>
              <w:right w:val="none" w:color="FFFFFF" w:sz="0"/>
            </w:tcBorders>
            <w:tcMar>
              <w:top w:type="dxa" w:w="60"/>
              <w:left w:type="dxa" w:w="120"/>
              <w:bottom w:type="dxa" w:w="60"/>
              <w:right w:type="dxa" w:w="240"/>
            </w:tcMar>
          </w:tcPr>
          <w:p>
            <w:pPr>
              <w:jc w:val="right"/>
            </w:pPr>
            <w:r>
              <w:rPr>
                <w:rFonts w:ascii="Georgia" w:cs="Georgia" w:eastAsia="Georgia" w:hAnsi="Georgia"/>
                <w:sz w:val="22"/>
                <w:szCs w:val="22"/>
              </w:rPr>
              <w:t xml:space="preserve">USD 0 – 9</w:t>
            </w:r>
          </w:p>
        </w:tc>
      </w:tr>
      <w:tr>
        <w:tc>
          <w:tcPr>
            <w:tcW w:type="dxa" w:w="6560"/>
            <w:tcBorders>
              <w:top w:val="none" w:color="FFFFFF" w:sz="0"/>
              <w:left w:val="none" w:color="FFFFFF" w:sz="0"/>
              <w:bottom w:val="none" w:color="FFFFFF" w:sz="0"/>
              <w:right w:val="none" w:color="FFFFFF" w:sz="0"/>
            </w:tcBorders>
            <w:tcMar>
              <w:top w:type="dxa" w:w="60"/>
              <w:left w:type="dxa" w:w="240"/>
              <w:bottom w:type="dxa" w:w="60"/>
              <w:right w:type="dxa" w:w="120"/>
            </w:tcMar>
          </w:tcPr>
          <w:p>
            <w:r>
              <w:rPr>
                <w:rFonts w:ascii="Georgia" w:cs="Georgia" w:eastAsia="Georgia" w:hAnsi="Georgia"/>
                <w:i/>
                <w:iCs/>
                <w:sz w:val="22"/>
                <w:szCs w:val="22"/>
              </w:rPr>
              <w:t xml:space="preserve">Dominio anual prorrateado</w:t>
            </w:r>
          </w:p>
        </w:tc>
        <w:tc>
          <w:tcPr>
            <w:tcW w:type="dxa" w:w="2800"/>
            <w:tcBorders>
              <w:top w:val="none" w:color="FFFFFF" w:sz="0"/>
              <w:left w:val="none" w:color="FFFFFF" w:sz="0"/>
              <w:bottom w:val="none" w:color="FFFFFF" w:sz="0"/>
              <w:right w:val="none" w:color="FFFFFF" w:sz="0"/>
            </w:tcBorders>
            <w:tcMar>
              <w:top w:type="dxa" w:w="60"/>
              <w:left w:type="dxa" w:w="120"/>
              <w:bottom w:type="dxa" w:w="60"/>
              <w:right w:type="dxa" w:w="240"/>
            </w:tcMar>
          </w:tcPr>
          <w:p>
            <w:pPr>
              <w:jc w:val="right"/>
            </w:pPr>
            <w:r>
              <w:rPr>
                <w:rFonts w:ascii="Georgia" w:cs="Georgia" w:eastAsia="Georgia" w:hAnsi="Georgia"/>
                <w:sz w:val="22"/>
                <w:szCs w:val="22"/>
              </w:rPr>
              <w:t xml:space="preserve">USD 1,25</w:t>
            </w:r>
          </w:p>
        </w:tc>
      </w:tr>
      <w:tr>
        <w:tc>
          <w:tcPr>
            <w:tcW w:type="dxa" w:w="6560"/>
            <w:tcBorders>
              <w:top w:val="none" w:color="FFFFFF" w:sz="0"/>
              <w:left w:val="none" w:color="FFFFFF" w:sz="0"/>
              <w:bottom w:val="none" w:color="FFFFFF" w:sz="0"/>
              <w:right w:val="none" w:color="FFFFFF" w:sz="0"/>
            </w:tcBorders>
            <w:tcMar>
              <w:top w:type="dxa" w:w="60"/>
              <w:left w:type="dxa" w:w="240"/>
              <w:bottom w:type="dxa" w:w="60"/>
              <w:right w:type="dxa" w:w="120"/>
            </w:tcMar>
          </w:tcPr>
          <w:p>
            <w:r>
              <w:rPr>
                <w:rFonts w:ascii="Georgia" w:cs="Georgia" w:eastAsia="Georgia" w:hAnsi="Georgia"/>
                <w:i/>
                <w:iCs/>
                <w:sz w:val="22"/>
                <w:szCs w:val="22"/>
              </w:rPr>
              <w:t xml:space="preserve">Claude Code Pro (desarrollo)</w:t>
            </w:r>
          </w:p>
        </w:tc>
        <w:tc>
          <w:tcPr>
            <w:tcW w:type="dxa" w:w="2800"/>
            <w:tcBorders>
              <w:top w:val="none" w:color="FFFFFF" w:sz="0"/>
              <w:left w:val="none" w:color="FFFFFF" w:sz="0"/>
              <w:bottom w:val="none" w:color="FFFFFF" w:sz="0"/>
              <w:right w:val="none" w:color="FFFFFF" w:sz="0"/>
            </w:tcBorders>
            <w:tcMar>
              <w:top w:type="dxa" w:w="60"/>
              <w:left w:type="dxa" w:w="120"/>
              <w:bottom w:type="dxa" w:w="60"/>
              <w:right w:type="dxa" w:w="240"/>
            </w:tcMar>
          </w:tcPr>
          <w:p>
            <w:pPr>
              <w:jc w:val="right"/>
            </w:pPr>
            <w:r>
              <w:rPr>
                <w:rFonts w:ascii="Georgia" w:cs="Georgia" w:eastAsia="Georgia" w:hAnsi="Georgia"/>
                <w:sz w:val="22"/>
                <w:szCs w:val="22"/>
              </w:rPr>
              <w:t xml:space="preserve">USD 20</w:t>
            </w:r>
          </w:p>
        </w:tc>
      </w:tr>
      <w:tr>
        <w:tc>
          <w:tcPr>
            <w:tcW w:type="dxa" w:w="6560"/>
            <w:tcBorders>
              <w:top w:val="none" w:color="FFFFFF" w:sz="0"/>
              <w:left w:val="none" w:color="FFFFFF" w:sz="0"/>
              <w:bottom w:val="none" w:color="FFFFFF" w:sz="0"/>
              <w:right w:val="none" w:color="FFFFFF" w:sz="0"/>
            </w:tcBorders>
            <w:tcMar>
              <w:top w:type="dxa" w:w="60"/>
              <w:left w:type="dxa" w:w="240"/>
              <w:bottom w:type="dxa" w:w="60"/>
              <w:right w:type="dxa" w:w="120"/>
            </w:tcMar>
          </w:tcPr>
          <w:p>
            <w:r>
              <w:rPr>
                <w:rFonts w:ascii="Georgia" w:cs="Georgia" w:eastAsia="Georgia" w:hAnsi="Georgia"/>
                <w:i/>
                <w:iCs/>
                <w:sz w:val="22"/>
                <w:szCs w:val="22"/>
              </w:rPr>
              <w:t xml:space="preserve">Total régimen estable</w:t>
            </w:r>
          </w:p>
        </w:tc>
        <w:tc>
          <w:tcPr>
            <w:tcW w:type="dxa" w:w="2800"/>
            <w:tcBorders>
              <w:top w:val="none" w:color="FFFFFF" w:sz="0"/>
              <w:left w:val="none" w:color="FFFFFF" w:sz="0"/>
              <w:bottom w:val="none" w:color="FFFFFF" w:sz="0"/>
              <w:right w:val="none" w:color="FFFFFF" w:sz="0"/>
            </w:tcBorders>
            <w:tcMar>
              <w:top w:type="dxa" w:w="60"/>
              <w:left w:type="dxa" w:w="120"/>
              <w:bottom w:type="dxa" w:w="60"/>
              <w:right w:type="dxa" w:w="240"/>
            </w:tcMar>
          </w:tcPr>
          <w:p>
            <w:pPr>
              <w:jc w:val="right"/>
            </w:pPr>
            <w:r>
              <w:rPr>
                <w:rFonts w:ascii="Georgia" w:cs="Georgia" w:eastAsia="Georgia" w:hAnsi="Georgia"/>
                <w:sz w:val="22"/>
                <w:szCs w:val="22"/>
              </w:rPr>
              <w:t xml:space="preserve">USD 176 – 190</w:t>
            </w:r>
          </w:p>
        </w:tc>
      </w:tr>
      <w:tr>
        <w:tc>
          <w:tcPr>
            <w:tcW w:type="dxa" w:w="9360"/>
            <w:gridSpan w:val="2"/>
            <w:tcBorders>
              <w:top w:val="single" w:color="999999" w:sz="4"/>
              <w:left w:val="none" w:color="FFFFFF" w:sz="0"/>
              <w:bottom w:val="none" w:color="FFFFFF" w:sz="0"/>
              <w:right w:val="none" w:color="FFFFFF" w:sz="0"/>
            </w:tcBorders>
            <w:tcMar>
              <w:top w:type="dxa" w:w="60"/>
              <w:left w:type="dxa" w:w="240"/>
              <w:bottom w:type="dxa" w:w="60"/>
              <w:right w:type="dxa" w:w="240"/>
            </w:tcMar>
          </w:tcPr>
          <w:p>
            <w:r>
              <w:t xml:space="preserve"/>
            </w:r>
          </w:p>
        </w:tc>
      </w:tr>
    </w:tbl>
    <w:p>
      <w:pPr>
        <w:spacing w:after="160" w:before="0" w:line="320"/>
        <w:jc w:val="both"/>
      </w:pPr>
      <w:r>
        <w:rPr>
          <w:rFonts w:ascii="Georgia" w:cs="Georgia" w:eastAsia="Georgia" w:hAnsi="Georgia"/>
          <w:sz w:val="22"/>
          <w:szCs w:val="22"/>
        </w:rPr>
        <w:t xml:space="preserve">El número redondo razonable para presupuestar es doscientos dólares mensuales. Durante los primeros dos meses, con la pipeline aún en construcción y sin corridas semanales completas, el consumo real va a estar más cerca de los ochenta. El techo del presupuesto —trescientos dólares mensuales en cualquier escenario razonable— se documenta como límite duro y se configura con alertas en la consola de Anthropic.</w:t>
      </w:r>
    </w:p>
    <w:p>
      <w:r>
        <w:br w:type="page"/>
      </w:r>
    </w:p>
    <w:p>
      <w:pPr>
        <w:spacing w:after="120" w:before="480"/>
        <w:jc w:val="center"/>
      </w:pPr>
      <w:r>
        <w:rPr>
          <w:rFonts w:ascii="Georgia" w:cs="Georgia" w:eastAsia="Georgia" w:hAnsi="Georgia"/>
          <w:b/>
          <w:bCs/>
          <w:spacing w:val="80"/>
          <w:sz w:val="22"/>
          <w:szCs w:val="22"/>
        </w:rPr>
        <w:t xml:space="preserve">CAPÍTULO IV</w:t>
      </w:r>
    </w:p>
    <w:p>
      <w:pPr>
        <w:spacing w:after="360" w:before="0"/>
        <w:jc w:val="center"/>
      </w:pPr>
      <w:r>
        <w:rPr>
          <w:rFonts w:ascii="Georgia" w:cs="Georgia" w:eastAsia="Georgia" w:hAnsi="Georgia"/>
          <w:b/>
          <w:bCs/>
          <w:i/>
          <w:iCs/>
          <w:sz w:val="36"/>
          <w:szCs w:val="36"/>
        </w:rPr>
        <w:t xml:space="preserve">El equipo desde la semana uno</w:t>
      </w:r>
    </w:p>
    <w:p>
      <w:pPr>
        <w:spacing w:after="200" w:before="0" w:line="320"/>
        <w:jc w:val="both"/>
      </w:pPr>
      <w:r>
        <w:rPr>
          <w:rFonts w:ascii="Georgia" w:cs="Georgia" w:eastAsia="Georgia" w:hAnsi="Georgia"/>
          <w:b/>
          <w:bCs/>
          <w:sz w:val="28"/>
          <w:szCs w:val="28"/>
        </w:rPr>
        <w:t xml:space="preserve">E</w:t>
      </w:r>
      <w:r>
        <w:rPr>
          <w:rFonts w:ascii="Georgia" w:cs="Georgia" w:eastAsia="Georgia" w:hAnsi="Georgia"/>
          <w:sz w:val="22"/>
          <w:szCs w:val="22"/>
        </w:rPr>
        <w:t xml:space="preserve">l documento de diseño proponía esperar al mes cuatro para sumar al tercer socio técnico. Vos preferís sumarlo desde el principio y el plan se ajusta a eso. No es una mala decisión: tiene ventajas concretas que compensan los riesgos conocidos, siempre y cuando la estructura de incorporación se diseñe bien. El resto de este capítulo se ocupa exactamente de eso.</w:t>
      </w:r>
    </w:p>
    <w:p>
      <w:pPr>
        <w:spacing w:after="180" w:before="280"/>
        <w:jc w:val="center"/>
      </w:pPr>
      <w:r>
        <w:rPr>
          <w:rFonts w:ascii="Georgia" w:cs="Georgia" w:eastAsia="Georgia" w:hAnsi="Georgia"/>
          <w:b/>
          <w:bCs/>
          <w:i/>
          <w:iCs/>
          <w:sz w:val="24"/>
          <w:szCs w:val="24"/>
        </w:rPr>
        <w:t xml:space="preserve">Perfil objetivo</w:t>
      </w:r>
    </w:p>
    <w:p>
      <w:pPr>
        <w:spacing w:after="160" w:before="0" w:line="320"/>
        <w:jc w:val="both"/>
      </w:pPr>
      <w:r>
        <w:rPr>
          <w:rFonts w:ascii="Georgia" w:cs="Georgia" w:eastAsia="Georgia" w:hAnsi="Georgia"/>
          <w:sz w:val="22"/>
          <w:szCs w:val="22"/>
        </w:rPr>
        <w:t xml:space="preserve">El perfil ideal es un estudiante de los últimos dos años de Ingeniería en Inteligencia Artificial en la Universidad de San Andrés —la carrera que lanzaron en 2022 y cuyos primeros egresados están saliendo ahora— o de la Licenciatura en Inteligencia Artificial y Ciencia de Datos de la UADE, que tiene un enfoque más práctico. Cualquiera de las dos universidades sirve; lo que importa es la persona concreta, no la sigla.</w:t>
      </w:r>
    </w:p>
    <w:p>
      <w:pPr>
        <w:spacing w:after="160" w:before="0" w:line="320"/>
        <w:jc w:val="both"/>
      </w:pPr>
      <w:r>
        <w:rPr>
          <w:rFonts w:ascii="Georgia" w:cs="Georgia" w:eastAsia="Georgia" w:hAnsi="Georgia"/>
          <w:sz w:val="22"/>
          <w:szCs w:val="22"/>
        </w:rPr>
        <w:t xml:space="preserve">Los rasgos que queremos son, por orden de importancia: capacidad de producir código limpio en Python con librerías modernas de manejo de APIs y de orquestación de LLMs; interés genuino en finanzas, no como obligación sino como curiosidad; disciplina para documentar lo que hace, porque todo el repo va a ser eventualmente público; y una madurez comunicativa mínima para que podamos explicarle qué queremos sin tener que traducir jerga. Lo que no necesitamos —vale la pena decirlo— es experiencia previa construyendo portafolios cuantitativos, doctorado en machine learning, ni conocimiento profundo de los maestros del value investing. La filosofía la aportamos nosotros.</w:t>
      </w:r>
    </w:p>
    <w:p>
      <w:pPr>
        <w:spacing w:after="180" w:before="280"/>
        <w:jc w:val="center"/>
      </w:pPr>
      <w:r>
        <w:rPr>
          <w:rFonts w:ascii="Georgia" w:cs="Georgia" w:eastAsia="Georgia" w:hAnsi="Georgia"/>
          <w:b/>
          <w:bCs/>
          <w:i/>
          <w:iCs/>
          <w:sz w:val="24"/>
          <w:szCs w:val="24"/>
        </w:rPr>
        <w:t xml:space="preserve">Cómo encontrarlo</w:t>
      </w:r>
    </w:p>
    <w:p>
      <w:pPr>
        <w:spacing w:after="160" w:before="0" w:line="320"/>
        <w:jc w:val="both"/>
      </w:pPr>
      <w:r>
        <w:rPr>
          <w:rFonts w:ascii="Georgia" w:cs="Georgia" w:eastAsia="Georgia" w:hAnsi="Georgia"/>
          <w:sz w:val="22"/>
          <w:szCs w:val="22"/>
        </w:rPr>
        <w:t xml:space="preserve">La búsqueda se hace por canales concentrados antes que por listados abiertos. Un aviso en LinkedIn dirigido a estudiantes y recién recibidos de UdeSA e Ingeniería de la UBA produce decenas de aplicaciones pero con baja señal. Más eficiente es hablar directamente con dos o tres profesores de ambas universidades que enseñan materias relevantes y pedirles que recomienden alumnos destacados, particularmente aquellos que hayan hecho proyectos personales. En UdeSA, la dirección del Departamento de Ingeniería es la puerta natural. En UADE, el director de la carrera, Alejandro Miguez, que es quien firma las reuniones informativas públicas de la carrera. Una tercera vía que cuesta cero y suele dar excelente retorno son los grupos de Discord de comunidades de IA aplicada en Argentina, donde los estudiantes más activos se exponen con sus propios proyectos.</w:t>
      </w:r>
    </w:p>
    <w:p>
      <w:pPr>
        <w:spacing w:after="180" w:before="280"/>
        <w:jc w:val="center"/>
      </w:pPr>
      <w:r>
        <w:rPr>
          <w:rFonts w:ascii="Georgia" w:cs="Georgia" w:eastAsia="Georgia" w:hAnsi="Georgia"/>
          <w:b/>
          <w:bCs/>
          <w:i/>
          <w:iCs/>
          <w:sz w:val="24"/>
          <w:szCs w:val="24"/>
        </w:rPr>
        <w:t xml:space="preserve">Estructura de incorporación</w:t>
      </w:r>
    </w:p>
    <w:p>
      <w:pPr>
        <w:spacing w:after="160" w:before="0" w:line="320"/>
        <w:jc w:val="both"/>
      </w:pPr>
      <w:r>
        <w:rPr>
          <w:rFonts w:ascii="Georgia" w:cs="Georgia" w:eastAsia="Georgia" w:hAnsi="Georgia"/>
          <w:sz w:val="22"/>
          <w:szCs w:val="22"/>
        </w:rPr>
        <w:t xml:space="preserve">La figura formal no es empleo ni society. Es un acuerdo de co-fundación tiered. Los primeros tres meses el tercer socio entra con un stipend mensual chico —entre doscientos y trescientos dólares, una cifra que reconoce el tiempo pero que no es un sueldo de mercado— y sin equity asignado todavía. Ese período es prueba mutua: nosotros evaluamos el trabajo real; él o ella evalúa si el proyecto lo entusiasma lo suficiente como para quedarse. El stipend es a la vez ridículamente bajo si se lo compara con un puesto corporativo y bastante más de lo que ofrecen muchas pasantías, porque el atractivo no es la plata, es ser parte de un proyecto visible con impacto público potencial.</w:t>
      </w:r>
    </w:p>
    <w:p>
      <w:pPr>
        <w:spacing w:after="160" w:before="0" w:line="320"/>
        <w:jc w:val="both"/>
      </w:pPr>
      <w:r>
        <w:rPr>
          <w:rFonts w:ascii="Georgia" w:cs="Georgia" w:eastAsia="Georgia" w:hAnsi="Georgia"/>
          <w:sz w:val="22"/>
          <w:szCs w:val="22"/>
        </w:rPr>
        <w:t xml:space="preserve">Pasados esos tres meses, si ambas partes siguen entusiasmadas, se formaliza un acuerdo de equity. La propuesta razonable es entre siete y diez por ciento del proyecto, vesting de cuatro años con cliff de un año, y clase de acciones distinta a la de los fundadores Franco y Felipe en términos de control. El equity se paga contra colaboración ongoing; si la persona se va a los seis meses, se queda con el vesting acumulado pero no puede bloquear decisiones ni recibir dividendos si el proyecto llegara a generarlos. El stipend, una vez que haya caja —sea del primer cliente, del primer sponsor, o de la primera venta de acceso premium—, sube a mil dólares mensuales como primer escalón.</w:t>
      </w:r>
    </w:p>
    <w:p>
      <w:pPr>
        <w:spacing w:after="160" w:before="0" w:line="320"/>
        <w:jc w:val="both"/>
      </w:pPr>
      <w:r>
        <w:rPr>
          <w:rFonts w:ascii="Georgia" w:cs="Georgia" w:eastAsia="Georgia" w:hAnsi="Georgia"/>
          <w:sz w:val="22"/>
          <w:szCs w:val="22"/>
        </w:rPr>
        <w:t xml:space="preserve">Esta estructura protege al proyecto sin ser explotadora. El residente tiene upside real si todo funciona; nosotros no regalamos participación antes de verificar que funciona la integración humana; y los tres primeros meses tienen una salida limpia si algo no fluye. Un abogado comercial amigo puede redactar el acuerdo de co-fundación en un par de horas; el costo de esta formalización legal es despreciable.</w:t>
      </w:r>
    </w:p>
    <w:p>
      <w:pPr>
        <w:spacing w:after="180" w:before="280"/>
        <w:jc w:val="center"/>
      </w:pPr>
      <w:r>
        <w:rPr>
          <w:rFonts w:ascii="Georgia" w:cs="Georgia" w:eastAsia="Georgia" w:hAnsi="Georgia"/>
          <w:b/>
          <w:bCs/>
          <w:i/>
          <w:iCs/>
          <w:sz w:val="24"/>
          <w:szCs w:val="24"/>
        </w:rPr>
        <w:t xml:space="preserve">División de roles</w:t>
      </w:r>
    </w:p>
    <w:p>
      <w:pPr>
        <w:spacing w:after="160" w:before="0" w:line="320"/>
        <w:jc w:val="both"/>
      </w:pPr>
      <w:r>
        <w:rPr>
          <w:rFonts w:ascii="Georgia" w:cs="Georgia" w:eastAsia="Georgia" w:hAnsi="Georgia"/>
          <w:sz w:val="22"/>
          <w:szCs w:val="22"/>
        </w:rPr>
        <w:t xml:space="preserve">Franco mantiene el rol de architect y de CEO informal: define filosofía, aprueba cambios a la constitución, lidera comunicación pública y se hace cargo de cualquier discusión regulatoria. Felipe es el analista financiero senior: revisa cada ciclo antes de que se publique, produce el equity research complementario bajo Indigo Star, y co-firma las decisiones estratégicas. El tercer socio es el responsable técnico: construye la pipeline, mantiene el backend, opera el deployment, monitorea costos, y es el primer respondedor cuando algo se rompe. Ninguno de los tres roles es estanco —todos van a tocar todo en algún momento— pero en cada decisión hay un responsable claro.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6"/>
              <w:left w:val="single" w:color="222222" w:sz="6"/>
              <w:bottom w:val="single" w:color="222222" w:sz="6"/>
              <w:right w:val="single" w:color="222222" w:sz="6"/>
            </w:tcBorders>
            <w:shd w:fill="F3F1EC" w:val="clear"/>
            <w:tcMar>
              <w:top w:type="dxa" w:w="240"/>
              <w:left w:type="dxa" w:w="360"/>
              <w:bottom w:type="dxa" w:w="240"/>
              <w:right w:type="dxa" w:w="360"/>
            </w:tcMar>
          </w:tcPr>
          <w:p>
            <w:pPr>
              <w:spacing w:after="160"/>
              <w:jc w:val="center"/>
            </w:pPr>
            <w:r>
              <w:rPr>
                <w:rFonts w:ascii="Georgia" w:cs="Georgia" w:eastAsia="Georgia" w:hAnsi="Georgia"/>
                <w:b/>
                <w:bCs/>
                <w:spacing w:val="80"/>
                <w:sz w:val="22"/>
                <w:szCs w:val="22"/>
              </w:rPr>
              <w:t xml:space="preserve">EL INSIGHT HUMANO</w:t>
            </w:r>
          </w:p>
          <w:p>
            <w:pPr>
              <w:spacing w:after="120" w:line="320"/>
              <w:jc w:val="center"/>
            </w:pPr>
            <w:r>
              <w:rPr>
                <w:rFonts w:ascii="Georgia" w:cs="Georgia" w:eastAsia="Georgia" w:hAnsi="Georgia"/>
                <w:i/>
                <w:iCs/>
                <w:sz w:val="22"/>
                <w:szCs w:val="22"/>
              </w:rPr>
              <w:t xml:space="preserve">La tentación de regalar equity al principio, para atraer talento fuerte, es real.</w:t>
            </w:r>
          </w:p>
          <w:p>
            <w:pPr>
              <w:spacing w:after="120" w:line="320"/>
              <w:jc w:val="center"/>
            </w:pPr>
            <w:r>
              <w:rPr>
                <w:rFonts w:ascii="Georgia" w:cs="Georgia" w:eastAsia="Georgia" w:hAnsi="Georgia"/>
                <w:i/>
                <w:iCs/>
                <w:sz w:val="22"/>
                <w:szCs w:val="22"/>
              </w:rPr>
              <w:t xml:space="preserve">Pero el talento fuerte también distingue entre un proyecto que lo trata como igual desde el día uno</w:t>
            </w:r>
          </w:p>
          <w:p>
            <w:pPr>
              <w:spacing w:after="120" w:line="320"/>
              <w:jc w:val="center"/>
            </w:pPr>
            <w:r>
              <w:rPr>
                <w:rFonts w:ascii="Georgia" w:cs="Georgia" w:eastAsia="Georgia" w:hAnsi="Georgia"/>
                <w:i/>
                <w:iCs/>
                <w:sz w:val="22"/>
                <w:szCs w:val="22"/>
              </w:rPr>
              <w:t xml:space="preserve">y uno que lo trata como igual después de tres meses de probarse. La segunda opción filtra mejor.</w:t>
            </w:r>
          </w:p>
        </w:tc>
      </w:tr>
    </w:tbl>
    <w:p>
      <w:r>
        <w:br w:type="page"/>
      </w:r>
    </w:p>
    <w:p>
      <w:pPr>
        <w:spacing w:after="120" w:before="480"/>
        <w:jc w:val="center"/>
      </w:pPr>
      <w:r>
        <w:rPr>
          <w:rFonts w:ascii="Georgia" w:cs="Georgia" w:eastAsia="Georgia" w:hAnsi="Georgia"/>
          <w:b/>
          <w:bCs/>
          <w:spacing w:val="80"/>
          <w:sz w:val="22"/>
          <w:szCs w:val="22"/>
        </w:rPr>
        <w:t xml:space="preserve">CAPÍTULO V</w:t>
      </w:r>
    </w:p>
    <w:p>
      <w:pPr>
        <w:spacing w:after="360" w:before="0"/>
        <w:jc w:val="center"/>
      </w:pPr>
      <w:r>
        <w:rPr>
          <w:rFonts w:ascii="Georgia" w:cs="Georgia" w:eastAsia="Georgia" w:hAnsi="Georgia"/>
          <w:b/>
          <w:bCs/>
          <w:i/>
          <w:iCs/>
          <w:sz w:val="36"/>
          <w:szCs w:val="36"/>
        </w:rPr>
        <w:t xml:space="preserve">Doce semanas al lanzamiento</w:t>
      </w:r>
    </w:p>
    <w:p>
      <w:pPr>
        <w:spacing w:after="200" w:before="0" w:line="320"/>
        <w:jc w:val="both"/>
      </w:pPr>
      <w:r>
        <w:rPr>
          <w:rFonts w:ascii="Georgia" w:cs="Georgia" w:eastAsia="Georgia" w:hAnsi="Georgia"/>
          <w:b/>
          <w:bCs/>
          <w:sz w:val="28"/>
          <w:szCs w:val="28"/>
        </w:rPr>
        <w:t xml:space="preserve">L</w:t>
      </w:r>
      <w:r>
        <w:rPr>
          <w:rFonts w:ascii="Georgia" w:cs="Georgia" w:eastAsia="Georgia" w:hAnsi="Georgia"/>
          <w:sz w:val="22"/>
          <w:szCs w:val="22"/>
        </w:rPr>
        <w:t xml:space="preserve">a granularidad semanal es la que conviene para un proyecto de este tamaño. Meses son demasiado largos, días son demasiado cortos. Lo que sigue es el cronograma de las doce semanas que separan la firma de este plan del primer ciclo público del portafolio. Está pensado para ser cumplible con dedicación parcial —quince horas semanales por Franco, quince por Felipe, entre veinticinco y treinta del tercer socio—, no con dedicación full time. Si alguien puede dedicar más, mejor, pero el plan no depende de eso.</w:t>
      </w:r>
    </w:p>
    <w:p>
      <w:pPr>
        <w:spacing w:after="180" w:before="280"/>
        <w:jc w:val="center"/>
      </w:pPr>
      <w:r>
        <w:rPr>
          <w:rFonts w:ascii="Georgia" w:cs="Georgia" w:eastAsia="Georgia" w:hAnsi="Georgia"/>
          <w:b/>
          <w:bCs/>
          <w:i/>
          <w:iCs/>
          <w:sz w:val="24"/>
          <w:szCs w:val="24"/>
        </w:rPr>
        <w:t xml:space="preserve">Semana 1 — fundación legal y marcas</w:t>
      </w:r>
    </w:p>
    <w:p>
      <w:pPr>
        <w:spacing w:after="160" w:before="0" w:line="320"/>
        <w:jc w:val="both"/>
      </w:pPr>
      <w:r>
        <w:rPr>
          <w:rFonts w:ascii="Georgia" w:cs="Georgia" w:eastAsia="Georgia" w:hAnsi="Georgia"/>
          <w:sz w:val="22"/>
          <w:szCs w:val="22"/>
        </w:rPr>
        <w:t xml:space="preserve">Se firma el acuerdo de socios entre Franco y Felipe bajo la figura que el abogado recomiende, típicamente una SAS nueva específicamente para Indigo AI, separada de la que va a cobijar Indigo Star cuando se formalice. Se inicia la búsqueda del tercer socio técnico con los cuatro o cinco candidatos más prometedores contactados directamente. Se registra el dominio —la decisión es entre subdominio de indigostar.com o dominio propio— y se crean las cuentas corporativas de X, Instagram y GitHub. Se redacta la primera versión de la constitución del sistema, dos páginas exactas, sin excepciones. Se abre la cuenta paper en Alpaca.</w:t>
      </w:r>
    </w:p>
    <w:p>
      <w:pPr>
        <w:spacing w:after="180" w:before="280"/>
        <w:jc w:val="center"/>
      </w:pPr>
      <w:r>
        <w:rPr>
          <w:rFonts w:ascii="Georgia" w:cs="Georgia" w:eastAsia="Georgia" w:hAnsi="Georgia"/>
          <w:b/>
          <w:bCs/>
          <w:i/>
          <w:iCs/>
          <w:sz w:val="24"/>
          <w:szCs w:val="24"/>
        </w:rPr>
        <w:t xml:space="preserve">Semana 2 — incorporación del socio técnico y selección de corpus</w:t>
      </w:r>
    </w:p>
    <w:p>
      <w:pPr>
        <w:spacing w:after="160" w:before="0" w:line="320"/>
        <w:jc w:val="both"/>
      </w:pPr>
      <w:r>
        <w:rPr>
          <w:rFonts w:ascii="Georgia" w:cs="Georgia" w:eastAsia="Georgia" w:hAnsi="Georgia"/>
          <w:sz w:val="22"/>
          <w:szCs w:val="22"/>
        </w:rPr>
        <w:t xml:space="preserve">Se entrevistan los candidatos, se elige uno, se firma acuerdo de prueba por tres meses. Se define en conjunto la lista exacta de autores y textos del corpus filosófico, respetando derechos de autor —los textos que elegimos son todos de dominio público, free reading, o shareholder letters legalmente publicadas por sus emisores. Se descarga el corpus entero, se lo normaliza a texto plano, se lo comprime temáticamente —una tarea de dos días para el tercer socio— y se obtiene el bloque cacheable final. Se escribe la versión inicial del system prompt para el agente de análisis.</w:t>
      </w:r>
    </w:p>
    <w:p>
      <w:pPr>
        <w:spacing w:after="180" w:before="280"/>
        <w:jc w:val="center"/>
      </w:pPr>
      <w:r>
        <w:rPr>
          <w:rFonts w:ascii="Georgia" w:cs="Georgia" w:eastAsia="Georgia" w:hAnsi="Georgia"/>
          <w:b/>
          <w:bCs/>
          <w:i/>
          <w:iCs/>
          <w:sz w:val="24"/>
          <w:szCs w:val="24"/>
        </w:rPr>
        <w:t xml:space="preserve">Semana 3 — pipeline capa uno y dos</w:t>
      </w:r>
    </w:p>
    <w:p>
      <w:pPr>
        <w:spacing w:after="160" w:before="0" w:line="320"/>
        <w:jc w:val="both"/>
      </w:pPr>
      <w:r>
        <w:rPr>
          <w:rFonts w:ascii="Georgia" w:cs="Georgia" w:eastAsia="Georgia" w:hAnsi="Georgia"/>
          <w:sz w:val="22"/>
          <w:szCs w:val="22"/>
        </w:rPr>
        <w:t xml:space="preserve">Se construye el screener sin IA que procesa los quinientos nombres del S&amp;P 500 y entrega los sesenta filtrados. Se verifica contra nuestro criterio humano que los filtros funcionan. Se implementa la llamada al agente de Sonnet con batch API, con la filosofía cacheada. Se corren los primeros tests con cinco nombres y se evalúa cualitativamente que los análisis de Sonnet sean razonables. Esta semana es iterativa: se ajusta el system prompt del analista varias veces hasta que produce tesis que Franco y Felipe encuentran defendibles.</w:t>
      </w:r>
    </w:p>
    <w:p>
      <w:pPr>
        <w:spacing w:after="180" w:before="280"/>
        <w:jc w:val="center"/>
      </w:pPr>
      <w:r>
        <w:rPr>
          <w:rFonts w:ascii="Georgia" w:cs="Georgia" w:eastAsia="Georgia" w:hAnsi="Georgia"/>
          <w:b/>
          <w:bCs/>
          <w:i/>
          <w:iCs/>
          <w:sz w:val="24"/>
          <w:szCs w:val="24"/>
        </w:rPr>
        <w:t xml:space="preserve">Semana 4 — pipeline capa tres y cuatro</w:t>
      </w:r>
    </w:p>
    <w:p>
      <w:pPr>
        <w:spacing w:after="160" w:before="0" w:line="320"/>
        <w:jc w:val="both"/>
      </w:pPr>
      <w:r>
        <w:rPr>
          <w:rFonts w:ascii="Georgia" w:cs="Georgia" w:eastAsia="Georgia" w:hAnsi="Georgia"/>
          <w:sz w:val="22"/>
          <w:szCs w:val="22"/>
        </w:rPr>
        <w:t xml:space="preserve">Se implementan los agentes bull-bear sobre Opus 4.7 con effort xhigh. Se escribe el prompt del constructor, la pieza más delicada del sistema porque es donde se condensa la filosofía en una decisión agregada. Se integra la pipeline completa de punta a punta —capa cero a cuatro— y se corre el primer ciclo en seco con los datos de la semana anterior, sin ejecutar trades, solo para verificar que la cadena funciona y que los costos estimados coinciden con los reales. En paralelo, el tercer socio empieza a maquetar el dashboard público usando Next.js sobre Vercel.</w:t>
      </w:r>
    </w:p>
    <w:p>
      <w:pPr>
        <w:spacing w:after="180" w:before="280"/>
        <w:jc w:val="center"/>
      </w:pPr>
      <w:r>
        <w:rPr>
          <w:rFonts w:ascii="Georgia" w:cs="Georgia" w:eastAsia="Georgia" w:hAnsi="Georgia"/>
          <w:b/>
          <w:bCs/>
          <w:i/>
          <w:iCs/>
          <w:sz w:val="24"/>
          <w:szCs w:val="24"/>
        </w:rPr>
        <w:t xml:space="preserve">Semana 5 — integración con Alpaca y base de datos</w:t>
      </w:r>
    </w:p>
    <w:p>
      <w:pPr>
        <w:spacing w:after="160" w:before="0" w:line="320"/>
        <w:jc w:val="both"/>
      </w:pPr>
      <w:r>
        <w:rPr>
          <w:rFonts w:ascii="Georgia" w:cs="Georgia" w:eastAsia="Georgia" w:hAnsi="Georgia"/>
          <w:sz w:val="22"/>
          <w:szCs w:val="22"/>
        </w:rPr>
        <w:t xml:space="preserve">Se escribe la capa de ejecución que traduce la salida del constructor en órdenes concretas y las manda a Alpaca paper. Se monta PostgreSQL en Neon con el esquema definitivo: una tabla por ciclo, una tabla por trade, una tabla por posición, una tabla por prompt y respuesta. Cada objeto queda trazable por ID. Se corre el segundo ciclo en seco, esta vez con ejecución real en paper, y se reconcilia manualmente que lo que decidió el sistema es lo que efectivamente terminó en la cartera paper. Se documentan los primeros bugs y se arreglan.</w:t>
      </w:r>
    </w:p>
    <w:p>
      <w:pPr>
        <w:spacing w:after="180" w:before="280"/>
        <w:jc w:val="center"/>
      </w:pPr>
      <w:r>
        <w:rPr>
          <w:rFonts w:ascii="Georgia" w:cs="Georgia" w:eastAsia="Georgia" w:hAnsi="Georgia"/>
          <w:b/>
          <w:bCs/>
          <w:i/>
          <w:iCs/>
          <w:sz w:val="24"/>
          <w:szCs w:val="24"/>
        </w:rPr>
        <w:t xml:space="preserve">Semana 6 — dashboard y cronjobs</w:t>
      </w:r>
    </w:p>
    <w:p>
      <w:pPr>
        <w:spacing w:after="160" w:before="0" w:line="320"/>
        <w:jc w:val="both"/>
      </w:pPr>
      <w:r>
        <w:rPr>
          <w:rFonts w:ascii="Georgia" w:cs="Georgia" w:eastAsia="Georgia" w:hAnsi="Georgia"/>
          <w:sz w:val="22"/>
          <w:szCs w:val="22"/>
        </w:rPr>
        <w:t xml:space="preserve">El dashboard público se termina en su versión v1: equity curve desde el inicio, cartera actual con pesos, tabla de todos los trades con rationale expandible, comparación con el S&amp;P 500, métricas de riesgo básicas. Todo leyendo directamente de la base de datos, sin intervención manual. Se montan los cronjobs en Fly.io: domingo a las veintitrés horas Buenos Aires se dispara el ciclo; lunes a las diez y media hora Nueva York se ejecutan los trades; lunes al mediodía se publica el post en redes sociales. Se corre el tercer ciclo en seco con todo automatizado.</w:t>
      </w:r>
    </w:p>
    <w:p>
      <w:pPr>
        <w:spacing w:after="180" w:before="280"/>
        <w:jc w:val="center"/>
      </w:pPr>
      <w:r>
        <w:rPr>
          <w:rFonts w:ascii="Georgia" w:cs="Georgia" w:eastAsia="Georgia" w:hAnsi="Georgia"/>
          <w:b/>
          <w:bCs/>
          <w:i/>
          <w:iCs/>
          <w:sz w:val="24"/>
          <w:szCs w:val="24"/>
        </w:rPr>
        <w:t xml:space="preserve">Semana 7 — automatización de publicación</w:t>
      </w:r>
    </w:p>
    <w:p>
      <w:pPr>
        <w:spacing w:after="160" w:before="0" w:line="320"/>
        <w:jc w:val="both"/>
      </w:pPr>
      <w:r>
        <w:rPr>
          <w:rFonts w:ascii="Georgia" w:cs="Georgia" w:eastAsia="Georgia" w:hAnsi="Georgia"/>
          <w:sz w:val="22"/>
          <w:szCs w:val="22"/>
        </w:rPr>
        <w:t xml:space="preserve">Se integra la API de X para publicación automática del thread semanal, con aprobación humana previa durante los primeros dos meses y automática después. El contenido del thread lo genera un agente Sonnet pequeño que toma el rationale del constructor y lo reformatea a formato red social. Se diseña la identidad visual definitiva de Instagram con los tres formatos recurrentes. Se escribe el primer draft del newsletter mensual como prueba, sin enviarlo todavía.</w:t>
      </w:r>
    </w:p>
    <w:p>
      <w:pPr>
        <w:spacing w:after="180" w:before="280"/>
        <w:jc w:val="center"/>
      </w:pPr>
      <w:r>
        <w:rPr>
          <w:rFonts w:ascii="Georgia" w:cs="Georgia" w:eastAsia="Georgia" w:hAnsi="Georgia"/>
          <w:b/>
          <w:bCs/>
          <w:i/>
          <w:iCs/>
          <w:sz w:val="24"/>
          <w:szCs w:val="24"/>
        </w:rPr>
        <w:t xml:space="preserve">Semana 8 — dry runs completos</w:t>
      </w:r>
    </w:p>
    <w:p>
      <w:pPr>
        <w:spacing w:after="160" w:before="0" w:line="320"/>
        <w:jc w:val="both"/>
      </w:pPr>
      <w:r>
        <w:rPr>
          <w:rFonts w:ascii="Georgia" w:cs="Georgia" w:eastAsia="Georgia" w:hAnsi="Georgia"/>
          <w:sz w:val="22"/>
          <w:szCs w:val="22"/>
        </w:rPr>
        <w:t xml:space="preserve">Cuatro ciclos completos corridos con todo automatizado, revisados antes de cualquier publicación pública, pero ya indistinguibles de lo que va a ser la operación real. Esta semana es la de estrés: se rompe a propósito la conexión de Alpaca para ver qué hace el sistema, se inyectan datos falsos para ver si los atrapa, se prueba un nombre con datos inusuales. Cada falla se documenta y se arregla. Al final de la semana, la pipeline tiene que ser capaz de correr sin supervisión durante siete días enteros y producir salidas razonables.</w:t>
      </w:r>
    </w:p>
    <w:p>
      <w:pPr>
        <w:spacing w:after="180" w:before="280"/>
        <w:jc w:val="center"/>
      </w:pPr>
      <w:r>
        <w:rPr>
          <w:rFonts w:ascii="Georgia" w:cs="Georgia" w:eastAsia="Georgia" w:hAnsi="Georgia"/>
          <w:b/>
          <w:bCs/>
          <w:i/>
          <w:iCs/>
          <w:sz w:val="24"/>
          <w:szCs w:val="24"/>
        </w:rPr>
        <w:t xml:space="preserve">Semana 9 — anuncio silencioso</w:t>
      </w:r>
    </w:p>
    <w:p>
      <w:pPr>
        <w:spacing w:after="160" w:before="0" w:line="320"/>
        <w:jc w:val="both"/>
      </w:pPr>
      <w:r>
        <w:rPr>
          <w:rFonts w:ascii="Georgia" w:cs="Georgia" w:eastAsia="Georgia" w:hAnsi="Georgia"/>
          <w:sz w:val="22"/>
          <w:szCs w:val="22"/>
        </w:rPr>
        <w:t xml:space="preserve">Se publica la página pública del proyecto con el dashboard en vivo, pero sin anunciarla en redes. Se comparte solamente con diez o quince personas de confianza —otros analistas, periodistas financieros que conocemos, amigos del mundo fintech— para feedback. Se corren los dos primeros ciclos reales que van a publicarse, pero la publicación se posterga hasta haber revisado todo. Se le envía el draft del newsletter a esas quince personas y se pide opinión honesta sobre tono, formato y claridad.</w:t>
      </w:r>
    </w:p>
    <w:p>
      <w:pPr>
        <w:spacing w:after="180" w:before="280"/>
        <w:jc w:val="center"/>
      </w:pPr>
      <w:r>
        <w:rPr>
          <w:rFonts w:ascii="Georgia" w:cs="Georgia" w:eastAsia="Georgia" w:hAnsi="Georgia"/>
          <w:b/>
          <w:bCs/>
          <w:i/>
          <w:iCs/>
          <w:sz w:val="24"/>
          <w:szCs w:val="24"/>
        </w:rPr>
        <w:t xml:space="preserve">Semana 10 — lanzamiento público</w:t>
      </w:r>
    </w:p>
    <w:p>
      <w:pPr>
        <w:spacing w:after="160" w:before="0" w:line="320"/>
        <w:jc w:val="both"/>
      </w:pPr>
      <w:r>
        <w:rPr>
          <w:rFonts w:ascii="Georgia" w:cs="Georgia" w:eastAsia="Georgia" w:hAnsi="Georgia"/>
          <w:sz w:val="22"/>
          <w:szCs w:val="22"/>
        </w:rPr>
        <w:t xml:space="preserve">Thread fundacional en X explicando qué es Indigo AI, vinculando el dashboard y la constitución pública. Post simultáneo en Instagram. Mención desde las cuentas de Indigo Star posicionando al proyecto como laboratorio separado. Envío de mails a periodistas de Bloomberg Línea, Cenital, Forbes Argentina y Infobae con un pitch breve y el link al dashboard. El primer ciclo público del portafolio se ejecuta en vivo el lunes siguiente.</w:t>
      </w:r>
    </w:p>
    <w:p>
      <w:pPr>
        <w:spacing w:after="180" w:before="280"/>
        <w:jc w:val="center"/>
      </w:pPr>
      <w:r>
        <w:rPr>
          <w:rFonts w:ascii="Georgia" w:cs="Georgia" w:eastAsia="Georgia" w:hAnsi="Georgia"/>
          <w:b/>
          <w:bCs/>
          <w:i/>
          <w:iCs/>
          <w:sz w:val="24"/>
          <w:szCs w:val="24"/>
        </w:rPr>
        <w:t xml:space="preserve">Semanas 11 y 12 — consolidación</w:t>
      </w:r>
    </w:p>
    <w:p>
      <w:pPr>
        <w:spacing w:after="160" w:before="0" w:line="320"/>
        <w:jc w:val="both"/>
      </w:pPr>
      <w:r>
        <w:rPr>
          <w:rFonts w:ascii="Georgia" w:cs="Georgia" w:eastAsia="Georgia" w:hAnsi="Georgia"/>
          <w:sz w:val="22"/>
          <w:szCs w:val="22"/>
        </w:rPr>
        <w:t xml:space="preserve">Dos ciclos más publicados. Primeras respuestas de audiencia, primeras críticas, primeros followers orgánicos. Se monitorea el costo real de la API contra el proyectado y se ajusta si hace falta —el primer mes siempre tiene sorpresas. Se cierra el trimestre con una revisión interna: qué salió bien, qué salió mal, qué cambia para el trimestre dos. El tercer socio completa los noventa días y, si todo fluyó, se firma el acuerdo definitivo con el equity asignado.</w:t>
      </w:r>
    </w:p>
    <w:p>
      <w:pPr>
        <w:spacing w:after="360" w:before="360" w:line="360"/>
        <w:ind w:left="720" w:right="720"/>
        <w:jc w:val="center"/>
      </w:pPr>
      <w:r>
        <w:rPr>
          <w:rFonts w:ascii="Georgia" w:cs="Georgia" w:eastAsia="Georgia" w:hAnsi="Georgia"/>
          <w:i/>
          <w:iCs/>
          <w:sz w:val="26"/>
          <w:szCs w:val="26"/>
        </w:rPr>
        <w:t xml:space="preserve">"  Doce semanas es poco y es mucho al mismo tiempo. Lo suficiente para construir algo serio si se ejecuta con disciplina, demasiado para improvisar si se trata con displicencia.  "</w:t>
      </w:r>
    </w:p>
    <w:p>
      <w:r>
        <w:br w:type="page"/>
      </w:r>
    </w:p>
    <w:p>
      <w:pPr>
        <w:spacing w:after="120" w:before="480"/>
        <w:jc w:val="center"/>
      </w:pPr>
      <w:r>
        <w:rPr>
          <w:rFonts w:ascii="Georgia" w:cs="Georgia" w:eastAsia="Georgia" w:hAnsi="Georgia"/>
          <w:b/>
          <w:bCs/>
          <w:spacing w:val="80"/>
          <w:sz w:val="22"/>
          <w:szCs w:val="22"/>
        </w:rPr>
        <w:t xml:space="preserve">CAPÍTULO VI</w:t>
      </w:r>
    </w:p>
    <w:p>
      <w:pPr>
        <w:spacing w:after="360" w:before="0"/>
        <w:jc w:val="center"/>
      </w:pPr>
      <w:r>
        <w:rPr>
          <w:rFonts w:ascii="Georgia" w:cs="Georgia" w:eastAsia="Georgia" w:hAnsi="Georgia"/>
          <w:b/>
          <w:bCs/>
          <w:i/>
          <w:iCs/>
          <w:sz w:val="36"/>
          <w:szCs w:val="36"/>
        </w:rPr>
        <w:t xml:space="preserve">Nueve formas de ganar plata con esto</w:t>
      </w:r>
    </w:p>
    <w:p>
      <w:pPr>
        <w:spacing w:after="200" w:before="0" w:line="320"/>
        <w:jc w:val="both"/>
      </w:pPr>
      <w:r>
        <w:rPr>
          <w:rFonts w:ascii="Georgia" w:cs="Georgia" w:eastAsia="Georgia" w:hAnsi="Georgia"/>
          <w:b/>
          <w:bCs/>
          <w:sz w:val="28"/>
          <w:szCs w:val="28"/>
        </w:rPr>
        <w:t xml:space="preserve">I</w:t>
      </w:r>
      <w:r>
        <w:rPr>
          <w:rFonts w:ascii="Georgia" w:cs="Georgia" w:eastAsia="Georgia" w:hAnsi="Georgia"/>
          <w:sz w:val="22"/>
          <w:szCs w:val="22"/>
        </w:rPr>
        <w:t xml:space="preserve">ndigo AI no está diseñado para cobrar por gestión de portafolio, al menos no durante los primeros doce meses. Pero eso no significa que no pueda generar ingresos. De hecho, el proyecto tiene una capacidad poco obvia de generar caja por caminos laterales que, acumulados, pueden llegar a cubrir varias veces su propio costo operativo. Lo que sigue es un inventario exhaustivo, de las fuentes más probables a las más especulativas.</w:t>
      </w:r>
    </w:p>
    <w:p>
      <w:pPr>
        <w:spacing w:after="180" w:before="280"/>
        <w:jc w:val="center"/>
      </w:pPr>
      <w:r>
        <w:rPr>
          <w:rFonts w:ascii="Georgia" w:cs="Georgia" w:eastAsia="Georgia" w:hAnsi="Georgia"/>
          <w:b/>
          <w:bCs/>
          <w:i/>
          <w:iCs/>
          <w:sz w:val="24"/>
          <w:szCs w:val="24"/>
        </w:rPr>
        <w:t xml:space="preserve">Uno — afiliación de brokers</w:t>
      </w:r>
    </w:p>
    <w:p>
      <w:pPr>
        <w:spacing w:after="160" w:before="0" w:line="320"/>
        <w:jc w:val="both"/>
      </w:pPr>
      <w:r>
        <w:rPr>
          <w:rFonts w:ascii="Georgia" w:cs="Georgia" w:eastAsia="Georgia" w:hAnsi="Georgia"/>
          <w:sz w:val="22"/>
          <w:szCs w:val="22"/>
        </w:rPr>
        <w:t xml:space="preserve">Es la vía más inmediata y requiere cero cambios en el producto. Los brokers argentinos y latinoamericanos tienen programas de afiliados o de referidos con comisiones que van del veinte al cuarenta por ciento sobre el revenue generado por cada cliente traído. Cocos Capital, Balanz, Invertir Online y Bull Market tienen programas activos. Para audiencia internacional, Alpaca paga entre cincuenta y doscientos dólares por cuenta activa con fondeo, y Interactive Brokers ofrece su IBKR Affiliate Program. Una línea concreta en cada post semanal del tipo "operamos paper en Alpaca; si querés abrir tu cuenta paper gratuita, podés usar este link" con nuestro código de afiliado, sin forzarlo, sin hacer shilling, genera ingreso pasivo proporcional a la tracción. Estimación realista de año uno: entre cincuenta y doscientos dólares mensuales cuando la audiencia cruce los cinco mil followers cualificados. Invisible al principio, significativo después.</w:t>
      </w:r>
    </w:p>
    <w:p>
      <w:pPr>
        <w:spacing w:after="180" w:before="280"/>
        <w:jc w:val="center"/>
      </w:pPr>
      <w:r>
        <w:rPr>
          <w:rFonts w:ascii="Georgia" w:cs="Georgia" w:eastAsia="Georgia" w:hAnsi="Georgia"/>
          <w:b/>
          <w:bCs/>
          <w:i/>
          <w:iCs/>
          <w:sz w:val="24"/>
          <w:szCs w:val="24"/>
        </w:rPr>
        <w:t xml:space="preserve">Dos — sponsors directos de contenido</w:t>
      </w:r>
    </w:p>
    <w:p>
      <w:pPr>
        <w:spacing w:after="160" w:before="0" w:line="320"/>
        <w:jc w:val="both"/>
      </w:pPr>
      <w:r>
        <w:rPr>
          <w:rFonts w:ascii="Georgia" w:cs="Georgia" w:eastAsia="Georgia" w:hAnsi="Georgia"/>
          <w:sz w:val="22"/>
          <w:szCs w:val="22"/>
        </w:rPr>
        <w:t xml:space="preserve">Una vez que el dashboard tenga tres meses de historial verificable y las cuentas de redes algunos miles de seguidores cualificados, fintechs, brokers, plataformas de datos y servicios adyacentes empiezan a buscar visibilidad en audiencias especializadas como la nuestra. El modelo es el de sponsors de podcast adaptado a redes: una mención de treinta segundos en el thread semanal, o un logo en el newsletter mensual, o un post dedicado trimestral. Precio orientativo en el mercado local actual: entre trescientos y mil quinientos dólares por mención individual en proyectos con audiencia cualificada de cinco a veinte mil seguidores. Una regla interna desde el día uno: solo se aceptan sponsors cuya oferta tenga sentido real para nuestra audiencia. Un broker, una ALYC, una plataforma de datos, una fintech educativa, sí. Un curso de trading que promete rendimientos del diez por ciento mensual, no, nunca.</w:t>
      </w:r>
    </w:p>
    <w:p>
      <w:pPr>
        <w:spacing w:after="180" w:before="280"/>
        <w:jc w:val="center"/>
      </w:pPr>
      <w:r>
        <w:rPr>
          <w:rFonts w:ascii="Georgia" w:cs="Georgia" w:eastAsia="Georgia" w:hAnsi="Georgia"/>
          <w:b/>
          <w:bCs/>
          <w:i/>
          <w:iCs/>
          <w:sz w:val="24"/>
          <w:szCs w:val="24"/>
        </w:rPr>
        <w:t xml:space="preserve">Tres — tier pago del newsletter</w:t>
      </w:r>
    </w:p>
    <w:p>
      <w:pPr>
        <w:spacing w:after="160" w:before="0" w:line="320"/>
        <w:jc w:val="both"/>
      </w:pPr>
      <w:r>
        <w:rPr>
          <w:rFonts w:ascii="Georgia" w:cs="Georgia" w:eastAsia="Georgia" w:hAnsi="Georgia"/>
          <w:sz w:val="22"/>
          <w:szCs w:val="22"/>
        </w:rPr>
        <w:t xml:space="preserve">El newsletter gratuito es mensual y sale para todos. Pero existe la posibilidad de ofrecer un tier pago —dieciocho a veinticinco dólares mensuales— que provea contenido extra: lectura del sistema en tiempo real, backtest de tesis cerradas, respuestas a preguntas específicas, y la entrega anticipada de los reportes mensuales. Substack y Ghost gestionan este formato con cero fricción y cobran entre seis y diez por ciento del revenue. Con cien suscriptores pagos al año dos —una cifra modesta en esa etapa—, estamos hablando de dos mil dólares mensuales de ingreso recurrente. Con trescientos, seis mil. Es la fuente de ingreso más predecible y la que más rápido escala si el contenido es bueno.</w:t>
      </w:r>
    </w:p>
    <w:p>
      <w:pPr>
        <w:spacing w:after="180" w:before="280"/>
        <w:jc w:val="center"/>
      </w:pPr>
      <w:r>
        <w:rPr>
          <w:rFonts w:ascii="Georgia" w:cs="Georgia" w:eastAsia="Georgia" w:hAnsi="Georgia"/>
          <w:b/>
          <w:bCs/>
          <w:i/>
          <w:iCs/>
          <w:sz w:val="24"/>
          <w:szCs w:val="24"/>
        </w:rPr>
        <w:t xml:space="preserve">Cuatro — licenciamiento del stack</w:t>
      </w:r>
    </w:p>
    <w:p>
      <w:pPr>
        <w:spacing w:after="160" w:before="0" w:line="320"/>
        <w:jc w:val="both"/>
      </w:pPr>
      <w:r>
        <w:rPr>
          <w:rFonts w:ascii="Georgia" w:cs="Georgia" w:eastAsia="Georgia" w:hAnsi="Georgia"/>
          <w:sz w:val="22"/>
          <w:szCs w:val="22"/>
        </w:rPr>
        <w:t xml:space="preserve">Family offices, wealth managers independientes y ALYCs medianas que no tienen capacidad técnica propia están empezando a interesarse por implementar sistemas similares al nuestro para sus propios usos internos. El play es ofrecerles una versión whitelabel del stack —el código, la filosofía adaptada a su mandato, el dashboard personalizado, la capacitación de su equipo— por un fee de implementación único de entre cinco mil y veinte mil dólares más un fee anual de mantenimiento de mil a tres mil. Dos clientes en el año dos cubren varias veces el costo operativo del proyecto. Esta venta se activa exclusivamente después de que el track record público tenga suficiente volumen como para ser convincente —seis meses mínimos— y se comunica discretamente, no como servicio público, a clientes identificados específicamente.</w:t>
      </w:r>
    </w:p>
    <w:p>
      <w:pPr>
        <w:spacing w:after="180" w:before="280"/>
        <w:jc w:val="center"/>
      </w:pPr>
      <w:r>
        <w:rPr>
          <w:rFonts w:ascii="Georgia" w:cs="Georgia" w:eastAsia="Georgia" w:hAnsi="Georgia"/>
          <w:b/>
          <w:bCs/>
          <w:i/>
          <w:iCs/>
          <w:sz w:val="24"/>
          <w:szCs w:val="24"/>
        </w:rPr>
        <w:t xml:space="preserve">Cinco — Indigo Academy: cursos y talleres</w:t>
      </w:r>
    </w:p>
    <w:p>
      <w:pPr>
        <w:spacing w:after="160" w:before="0" w:line="320"/>
        <w:jc w:val="both"/>
      </w:pPr>
      <w:r>
        <w:rPr>
          <w:rFonts w:ascii="Georgia" w:cs="Georgia" w:eastAsia="Georgia" w:hAnsi="Georgia"/>
          <w:sz w:val="22"/>
          <w:szCs w:val="22"/>
        </w:rPr>
        <w:t xml:space="preserve">El knowhow acumulado en construir este sistema es, literalmente, un producto educativo. Un curso de ocho a doce horas sobre "Cómo construir un sistema de análisis financiero con IA agéntica" dirigido a analistas financieros, estudiantes de CFA y profesionales fintech hispanohablantes, a un precio entre doscientos y quinientos dólares, es un activo replicable que se vende durante años. Hotmart, Teachable, Hotmart, Domestika o incluso una plataforma propia simple hosteada en el sitio son opciones válidas. Con cien alumnos al año —una cifra baja para el mercado hispanohablante— son entre veinte y cincuenta mil dólares anuales. Y genera, como externalidad, más autoridad técnica para la marca.</w:t>
      </w:r>
    </w:p>
    <w:p>
      <w:pPr>
        <w:spacing w:after="180" w:before="280"/>
        <w:jc w:val="center"/>
      </w:pPr>
      <w:r>
        <w:rPr>
          <w:rFonts w:ascii="Georgia" w:cs="Georgia" w:eastAsia="Georgia" w:hAnsi="Georgia"/>
          <w:b/>
          <w:bCs/>
          <w:i/>
          <w:iCs/>
          <w:sz w:val="24"/>
          <w:szCs w:val="24"/>
        </w:rPr>
        <w:t xml:space="preserve">Seis — Indigo Day y eventos con sponsors</w:t>
      </w:r>
    </w:p>
    <w:p>
      <w:pPr>
        <w:spacing w:after="160" w:before="0" w:line="320"/>
        <w:jc w:val="both"/>
      </w:pPr>
      <w:r>
        <w:rPr>
          <w:rFonts w:ascii="Georgia" w:cs="Georgia" w:eastAsia="Georgia" w:hAnsi="Georgia"/>
          <w:sz w:val="22"/>
          <w:szCs w:val="22"/>
        </w:rPr>
        <w:t xml:space="preserve">La idea del Indigo Day que aparecía en el roadmap de Indigo Star se adapta muy bien al proyecto de IA. Un evento anual de un día, en Buenos Aires, con cuatro charlas y dos paneles, convocando a doscientos a trescientos asistentes pagando entrada simbólica y con tres o cuatro sponsors principales —brokers, fintechs, plataformas regionales— que pagan entre dos mil y cinco mil dólares cada uno. Saldo neto del evento en el año dos, entre cinco y quince mil dólares dependiendo del nivel de sponsoring. No es el ingreso más grande pero es el más visible y el que más genera prensa cruzada.</w:t>
      </w:r>
    </w:p>
    <w:p>
      <w:pPr>
        <w:spacing w:after="180" w:before="280"/>
        <w:jc w:val="center"/>
      </w:pPr>
      <w:r>
        <w:rPr>
          <w:rFonts w:ascii="Georgia" w:cs="Georgia" w:eastAsia="Georgia" w:hAnsi="Georgia"/>
          <w:b/>
          <w:bCs/>
          <w:i/>
          <w:iCs/>
          <w:sz w:val="24"/>
          <w:szCs w:val="24"/>
        </w:rPr>
        <w:t xml:space="preserve">Siete — consultoría de implementación</w:t>
      </w:r>
    </w:p>
    <w:p>
      <w:pPr>
        <w:spacing w:after="160" w:before="0" w:line="320"/>
        <w:jc w:val="both"/>
      </w:pPr>
      <w:r>
        <w:rPr>
          <w:rFonts w:ascii="Georgia" w:cs="Georgia" w:eastAsia="Georgia" w:hAnsi="Georgia"/>
          <w:sz w:val="22"/>
          <w:szCs w:val="22"/>
        </w:rPr>
        <w:t xml:space="preserve">Paralelamente al licenciamiento del stack whitelabel, hay firmas que van a preferir contratarnos como consultores para implementar ellos mismos algo similar con nuestro acompañamiento. El modelo es un retainer de tres a seis meses a cinco o diez mil dólares mensuales. Es más intensivo en tiempo que las otras vías, pero también es el más lucrativo en términos de margen. Se hace con criterio: como mucho dos consultorías simultáneas, porque más satura la capacidad del equipo de tres personas y compromete la operación del propio proyecto.</w:t>
      </w:r>
    </w:p>
    <w:p>
      <w:pPr>
        <w:spacing w:after="180" w:before="280"/>
        <w:jc w:val="center"/>
      </w:pPr>
      <w:r>
        <w:rPr>
          <w:rFonts w:ascii="Georgia" w:cs="Georgia" w:eastAsia="Georgia" w:hAnsi="Georgia"/>
          <w:b/>
          <w:bCs/>
          <w:i/>
          <w:iCs/>
          <w:sz w:val="24"/>
          <w:szCs w:val="24"/>
        </w:rPr>
        <w:t xml:space="preserve">Ocho — Indigo Signals: data API</w:t>
      </w:r>
    </w:p>
    <w:p>
      <w:pPr>
        <w:spacing w:after="160" w:before="0" w:line="320"/>
        <w:jc w:val="both"/>
      </w:pPr>
      <w:r>
        <w:rPr>
          <w:rFonts w:ascii="Georgia" w:cs="Georgia" w:eastAsia="Georgia" w:hAnsi="Georgia"/>
          <w:sz w:val="22"/>
          <w:szCs w:val="22"/>
        </w:rPr>
        <w:t xml:space="preserve">A mediano plazo —año dos, no antes—, los rationales diarios y las señales generadas por el sistema son un producto de datos por sí mismo. Una API pública que expone los trades en tiempo real, las tesis individuales y los scores de convicción, suscripta con un fee mensual, es el formato que Bloomberg Terminal o Koyfin aplican a su negocio principal adaptado a una escala mucho más chica. Cien usuarios pagando treinta dólares mensuales por la API son tres mil al mes. Este formato requiere una capa de infraestructura adicional que no construimos en año uno pero que dejamos arquitecturalmente preparada.</w:t>
      </w:r>
    </w:p>
    <w:p>
      <w:pPr>
        <w:spacing w:after="180" w:before="280"/>
        <w:jc w:val="center"/>
      </w:pPr>
      <w:r>
        <w:rPr>
          <w:rFonts w:ascii="Georgia" w:cs="Georgia" w:eastAsia="Georgia" w:hAnsi="Georgia"/>
          <w:b/>
          <w:bCs/>
          <w:i/>
          <w:iCs/>
          <w:sz w:val="24"/>
          <w:szCs w:val="24"/>
        </w:rPr>
        <w:t xml:space="preserve">Nueve — copy trading cuando llegue la regulación</w:t>
      </w:r>
    </w:p>
    <w:p>
      <w:pPr>
        <w:spacing w:after="160" w:before="0" w:line="320"/>
        <w:jc w:val="both"/>
      </w:pPr>
      <w:r>
        <w:rPr>
          <w:rFonts w:ascii="Georgia" w:cs="Georgia" w:eastAsia="Georgia" w:hAnsi="Georgia"/>
          <w:sz w:val="22"/>
          <w:szCs w:val="22"/>
        </w:rPr>
        <w:t xml:space="preserve">El modelo de Autopilot en Estados Unidos —donde el creador de la estrategia recibe una comisión sobre los activos copiados, partiendo del fee que paga el cliente a la plataforma— no está disponible todavía en Argentina con esa lógica exacta. Pero el mercado va en esa dirección: plataformas locales como Cocos o Bull Market podrían habilitar en el mediano plazo un esquema de estrategias seguibles con revenue share para los autores. Cuando eso suceda —y hay señales de que va a suceder en los próximos dieciocho a veinticuatro meses—, Indigo AI va a estar posicionado como la estrategia más creíble de copiar: con track record público, tesis documentadas, y filosofía transparente. Es la apuesta más grande de esta lista, la más incierta, y la que mayor upside tiene si materializa.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2222" w:sz="6"/>
              <w:left w:val="single" w:color="222222" w:sz="6"/>
              <w:bottom w:val="single" w:color="222222" w:sz="6"/>
              <w:right w:val="single" w:color="222222" w:sz="6"/>
            </w:tcBorders>
            <w:shd w:fill="F3F1EC" w:val="clear"/>
            <w:tcMar>
              <w:top w:type="dxa" w:w="240"/>
              <w:left w:type="dxa" w:w="360"/>
              <w:bottom w:type="dxa" w:w="240"/>
              <w:right w:type="dxa" w:w="360"/>
            </w:tcMar>
          </w:tcPr>
          <w:p>
            <w:pPr>
              <w:spacing w:after="160"/>
              <w:jc w:val="center"/>
            </w:pPr>
            <w:r>
              <w:rPr>
                <w:rFonts w:ascii="Georgia" w:cs="Georgia" w:eastAsia="Georgia" w:hAnsi="Georgia"/>
                <w:b/>
                <w:bCs/>
                <w:spacing w:val="80"/>
                <w:sz w:val="22"/>
                <w:szCs w:val="22"/>
              </w:rPr>
              <w:t xml:space="preserve">EL INSIGHT FINANCIERO</w:t>
            </w:r>
          </w:p>
          <w:p>
            <w:pPr>
              <w:spacing w:after="120" w:line="320"/>
              <w:jc w:val="center"/>
            </w:pPr>
            <w:r>
              <w:rPr>
                <w:rFonts w:ascii="Georgia" w:cs="Georgia" w:eastAsia="Georgia" w:hAnsi="Georgia"/>
                <w:i/>
                <w:iCs/>
                <w:sz w:val="22"/>
                <w:szCs w:val="22"/>
              </w:rPr>
              <w:t xml:space="preserve">Ninguna de estas nueve vías, por sí sola, vale la pena optimizar en el año uno.</w:t>
            </w:r>
          </w:p>
          <w:p>
            <w:pPr>
              <w:spacing w:after="120" w:line="320"/>
              <w:jc w:val="center"/>
            </w:pPr>
            <w:r>
              <w:rPr>
                <w:rFonts w:ascii="Georgia" w:cs="Georgia" w:eastAsia="Georgia" w:hAnsi="Georgia"/>
                <w:i/>
                <w:iCs/>
                <w:sz w:val="22"/>
                <w:szCs w:val="22"/>
              </w:rPr>
              <w:t xml:space="preserve">Lo que sí vale la pena es dejar cada una arquitecturalmente preparada</w:t>
            </w:r>
          </w:p>
          <w:p>
            <w:pPr>
              <w:spacing w:after="120" w:line="320"/>
              <w:jc w:val="center"/>
            </w:pPr>
            <w:r>
              <w:rPr>
                <w:rFonts w:ascii="Georgia" w:cs="Georgia" w:eastAsia="Georgia" w:hAnsi="Georgia"/>
                <w:i/>
                <w:iCs/>
                <w:sz w:val="22"/>
                <w:szCs w:val="22"/>
              </w:rPr>
              <w:t xml:space="preserve">para que el día que la tracción aparezca, no haya que refactorizar nada para capturar el ingreso.</w:t>
            </w:r>
          </w:p>
        </w:tc>
      </w:tr>
    </w:tbl>
    <w:p>
      <w:pPr>
        <w:spacing w:after="180" w:before="280"/>
        <w:jc w:val="center"/>
      </w:pPr>
      <w:r>
        <w:rPr>
          <w:rFonts w:ascii="Georgia" w:cs="Georgia" w:eastAsia="Georgia" w:hAnsi="Georgia"/>
          <w:b/>
          <w:bCs/>
          <w:i/>
          <w:iCs/>
          <w:sz w:val="24"/>
          <w:szCs w:val="24"/>
        </w:rPr>
        <w:t xml:space="preserve">Cronograma realista de ingresos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9360"/>
            <w:gridSpan w:val="2"/>
            <w:tcBorders>
              <w:top w:val="single" w:color="999999" w:sz="4"/>
              <w:left w:val="none" w:color="FFFFFF" w:sz="0"/>
              <w:bottom w:val="single" w:color="999999" w:sz="4"/>
              <w:right w:val="none" w:color="FFFFFF" w:sz="0"/>
            </w:tcBorders>
            <w:tcMar>
              <w:top w:type="dxa" w:w="120"/>
              <w:left w:type="dxa" w:w="240"/>
              <w:bottom w:type="dxa" w:w="120"/>
              <w:right w:type="dxa" w:w="240"/>
            </w:tcMar>
          </w:tcPr>
          <w:p>
            <w:pPr>
              <w:jc w:val="center"/>
            </w:pPr>
            <w:r>
              <w:rPr>
                <w:rFonts w:ascii="Georgia" w:cs="Georgia" w:eastAsia="Georgia" w:hAnsi="Georgia"/>
                <w:b/>
                <w:bCs/>
                <w:i/>
                <w:iCs/>
                <w:spacing w:val="60"/>
                <w:sz w:val="22"/>
                <w:szCs w:val="22"/>
              </w:rPr>
              <w:t xml:space="preserve">Proyección conservadora de ingresos anuales</w:t>
            </w:r>
          </w:p>
        </w:tc>
      </w:tr>
      <w:tr>
        <w:tc>
          <w:tcPr>
            <w:tcW w:type="dxa" w:w="6560"/>
            <w:tcBorders>
              <w:top w:val="none" w:color="FFFFFF" w:sz="0"/>
              <w:left w:val="none" w:color="FFFFFF" w:sz="0"/>
              <w:bottom w:val="none" w:color="FFFFFF" w:sz="0"/>
              <w:right w:val="none" w:color="FFFFFF" w:sz="0"/>
            </w:tcBorders>
            <w:tcMar>
              <w:top w:type="dxa" w:w="60"/>
              <w:left w:type="dxa" w:w="240"/>
              <w:bottom w:type="dxa" w:w="60"/>
              <w:right w:type="dxa" w:w="120"/>
            </w:tcMar>
          </w:tcPr>
          <w:p>
            <w:r>
              <w:rPr>
                <w:rFonts w:ascii="Georgia" w:cs="Georgia" w:eastAsia="Georgia" w:hAnsi="Georgia"/>
                <w:i/>
                <w:iCs/>
                <w:sz w:val="22"/>
                <w:szCs w:val="22"/>
              </w:rPr>
              <w:t xml:space="preserve">Año 1 — afiliación emergente, primer newsletter pago</w:t>
            </w:r>
          </w:p>
        </w:tc>
        <w:tc>
          <w:tcPr>
            <w:tcW w:type="dxa" w:w="2800"/>
            <w:tcBorders>
              <w:top w:val="none" w:color="FFFFFF" w:sz="0"/>
              <w:left w:val="none" w:color="FFFFFF" w:sz="0"/>
              <w:bottom w:val="none" w:color="FFFFFF" w:sz="0"/>
              <w:right w:val="none" w:color="FFFFFF" w:sz="0"/>
            </w:tcBorders>
            <w:tcMar>
              <w:top w:type="dxa" w:w="60"/>
              <w:left w:type="dxa" w:w="120"/>
              <w:bottom w:type="dxa" w:w="60"/>
              <w:right w:type="dxa" w:w="240"/>
            </w:tcMar>
          </w:tcPr>
          <w:p>
            <w:pPr>
              <w:jc w:val="right"/>
            </w:pPr>
            <w:r>
              <w:rPr>
                <w:rFonts w:ascii="Georgia" w:cs="Georgia" w:eastAsia="Georgia" w:hAnsi="Georgia"/>
                <w:sz w:val="22"/>
                <w:szCs w:val="22"/>
              </w:rPr>
              <w:t xml:space="preserve">USD 1.500 – 4.000</w:t>
            </w:r>
          </w:p>
        </w:tc>
      </w:tr>
      <w:tr>
        <w:tc>
          <w:tcPr>
            <w:tcW w:type="dxa" w:w="6560"/>
            <w:tcBorders>
              <w:top w:val="none" w:color="FFFFFF" w:sz="0"/>
              <w:left w:val="none" w:color="FFFFFF" w:sz="0"/>
              <w:bottom w:val="none" w:color="FFFFFF" w:sz="0"/>
              <w:right w:val="none" w:color="FFFFFF" w:sz="0"/>
            </w:tcBorders>
            <w:tcMar>
              <w:top w:type="dxa" w:w="60"/>
              <w:left w:type="dxa" w:w="240"/>
              <w:bottom w:type="dxa" w:w="60"/>
              <w:right w:type="dxa" w:w="120"/>
            </w:tcMar>
          </w:tcPr>
          <w:p>
            <w:r>
              <w:rPr>
                <w:rFonts w:ascii="Georgia" w:cs="Georgia" w:eastAsia="Georgia" w:hAnsi="Georgia"/>
                <w:i/>
                <w:iCs/>
                <w:sz w:val="22"/>
                <w:szCs w:val="22"/>
              </w:rPr>
              <w:t xml:space="preserve">Año 2 — sponsors consolidados, tier pago, primer curso</w:t>
            </w:r>
          </w:p>
        </w:tc>
        <w:tc>
          <w:tcPr>
            <w:tcW w:type="dxa" w:w="2800"/>
            <w:tcBorders>
              <w:top w:val="none" w:color="FFFFFF" w:sz="0"/>
              <w:left w:val="none" w:color="FFFFFF" w:sz="0"/>
              <w:bottom w:val="none" w:color="FFFFFF" w:sz="0"/>
              <w:right w:val="none" w:color="FFFFFF" w:sz="0"/>
            </w:tcBorders>
            <w:tcMar>
              <w:top w:type="dxa" w:w="60"/>
              <w:left w:type="dxa" w:w="120"/>
              <w:bottom w:type="dxa" w:w="60"/>
              <w:right w:type="dxa" w:w="240"/>
            </w:tcMar>
          </w:tcPr>
          <w:p>
            <w:pPr>
              <w:jc w:val="right"/>
            </w:pPr>
            <w:r>
              <w:rPr>
                <w:rFonts w:ascii="Georgia" w:cs="Georgia" w:eastAsia="Georgia" w:hAnsi="Georgia"/>
                <w:sz w:val="22"/>
                <w:szCs w:val="22"/>
              </w:rPr>
              <w:t xml:space="preserve">USD 25.000 – 60.000</w:t>
            </w:r>
          </w:p>
        </w:tc>
      </w:tr>
      <w:tr>
        <w:tc>
          <w:tcPr>
            <w:tcW w:type="dxa" w:w="6560"/>
            <w:tcBorders>
              <w:top w:val="none" w:color="FFFFFF" w:sz="0"/>
              <w:left w:val="none" w:color="FFFFFF" w:sz="0"/>
              <w:bottom w:val="none" w:color="FFFFFF" w:sz="0"/>
              <w:right w:val="none" w:color="FFFFFF" w:sz="0"/>
            </w:tcBorders>
            <w:tcMar>
              <w:top w:type="dxa" w:w="60"/>
              <w:left w:type="dxa" w:w="240"/>
              <w:bottom w:type="dxa" w:w="60"/>
              <w:right w:type="dxa" w:w="120"/>
            </w:tcMar>
          </w:tcPr>
          <w:p>
            <w:r>
              <w:rPr>
                <w:rFonts w:ascii="Georgia" w:cs="Georgia" w:eastAsia="Georgia" w:hAnsi="Georgia"/>
                <w:i/>
                <w:iCs/>
                <w:sz w:val="22"/>
                <w:szCs w:val="22"/>
              </w:rPr>
              <w:t xml:space="preserve">Año 3 — licenciamiento, eventos, API, consultoría</w:t>
            </w:r>
          </w:p>
        </w:tc>
        <w:tc>
          <w:tcPr>
            <w:tcW w:type="dxa" w:w="2800"/>
            <w:tcBorders>
              <w:top w:val="none" w:color="FFFFFF" w:sz="0"/>
              <w:left w:val="none" w:color="FFFFFF" w:sz="0"/>
              <w:bottom w:val="none" w:color="FFFFFF" w:sz="0"/>
              <w:right w:val="none" w:color="FFFFFF" w:sz="0"/>
            </w:tcBorders>
            <w:tcMar>
              <w:top w:type="dxa" w:w="60"/>
              <w:left w:type="dxa" w:w="120"/>
              <w:bottom w:type="dxa" w:w="60"/>
              <w:right w:type="dxa" w:w="240"/>
            </w:tcMar>
          </w:tcPr>
          <w:p>
            <w:pPr>
              <w:jc w:val="right"/>
            </w:pPr>
            <w:r>
              <w:rPr>
                <w:rFonts w:ascii="Georgia" w:cs="Georgia" w:eastAsia="Georgia" w:hAnsi="Georgia"/>
                <w:sz w:val="22"/>
                <w:szCs w:val="22"/>
              </w:rPr>
              <w:t xml:space="preserve">USD 80.000 – 200.000</w:t>
            </w:r>
          </w:p>
        </w:tc>
      </w:tr>
      <w:tr>
        <w:tc>
          <w:tcPr>
            <w:tcW w:type="dxa" w:w="9360"/>
            <w:gridSpan w:val="2"/>
            <w:tcBorders>
              <w:top w:val="single" w:color="999999" w:sz="4"/>
              <w:left w:val="none" w:color="FFFFFF" w:sz="0"/>
              <w:bottom w:val="none" w:color="FFFFFF" w:sz="0"/>
              <w:right w:val="none" w:color="FFFFFF" w:sz="0"/>
            </w:tcBorders>
            <w:tcMar>
              <w:top w:type="dxa" w:w="60"/>
              <w:left w:type="dxa" w:w="240"/>
              <w:bottom w:type="dxa" w:w="60"/>
              <w:right w:type="dxa" w:w="240"/>
            </w:tcMar>
          </w:tcPr>
          <w:p>
            <w:r>
              <w:t xml:space="preserve"/>
            </w:r>
          </w:p>
        </w:tc>
      </w:tr>
    </w:tbl>
    <w:p>
      <w:pPr>
        <w:spacing w:after="200" w:before="0" w:line="320"/>
        <w:jc w:val="both"/>
      </w:pPr>
      <w:r>
        <w:rPr>
          <w:rFonts w:ascii="Georgia" w:cs="Georgia" w:eastAsia="Georgia" w:hAnsi="Georgia"/>
          <w:sz w:val="22"/>
          <w:szCs w:val="22"/>
        </w:rPr>
        <w:t xml:space="preserve">El proyecto es, bajo cualquier escenario razonable, rentable operativamente a partir del sexto mes. Las vías que requieren inversión previa —el curso, el evento, la infraestructura para API— se financian con los ingresos de las vías más tempranas. Y lo importante es que todo esto se construye sin nunca cobrar por la gestión del portafolio mismo, lo cual preserva la transparencia radical que es el corazón del proyecto.</w:t>
      </w:r>
    </w:p>
    <w:p>
      <w:r>
        <w:br w:type="page"/>
      </w:r>
    </w:p>
    <w:p>
      <w:pPr>
        <w:spacing w:after="120" w:before="480"/>
        <w:jc w:val="center"/>
      </w:pPr>
      <w:r>
        <w:rPr>
          <w:rFonts w:ascii="Georgia" w:cs="Georgia" w:eastAsia="Georgia" w:hAnsi="Georgia"/>
          <w:b/>
          <w:bCs/>
          <w:spacing w:val="80"/>
          <w:sz w:val="22"/>
          <w:szCs w:val="22"/>
        </w:rPr>
        <w:t xml:space="preserve">CAPÍTULO VII</w:t>
      </w:r>
    </w:p>
    <w:p>
      <w:pPr>
        <w:spacing w:after="360" w:before="0"/>
        <w:jc w:val="center"/>
      </w:pPr>
      <w:r>
        <w:rPr>
          <w:rFonts w:ascii="Georgia" w:cs="Georgia" w:eastAsia="Georgia" w:hAnsi="Georgia"/>
          <w:b/>
          <w:bCs/>
          <w:i/>
          <w:iCs/>
          <w:sz w:val="36"/>
          <w:szCs w:val="36"/>
        </w:rPr>
        <w:t xml:space="preserve">Lo que puede salir mal</w:t>
      </w:r>
    </w:p>
    <w:p>
      <w:pPr>
        <w:spacing w:after="200" w:before="0" w:line="320"/>
        <w:jc w:val="both"/>
      </w:pPr>
      <w:r>
        <w:rPr>
          <w:rFonts w:ascii="Georgia" w:cs="Georgia" w:eastAsia="Georgia" w:hAnsi="Georgia"/>
          <w:b/>
          <w:bCs/>
          <w:sz w:val="28"/>
          <w:szCs w:val="28"/>
        </w:rPr>
        <w:t xml:space="preserve">U</w:t>
      </w:r>
      <w:r>
        <w:rPr>
          <w:rFonts w:ascii="Georgia" w:cs="Georgia" w:eastAsia="Georgia" w:hAnsi="Georgia"/>
          <w:sz w:val="22"/>
          <w:szCs w:val="22"/>
        </w:rPr>
        <w:t xml:space="preserve">n plan sin capítulo de riesgos es una publicidad, no un plan. Lo que sigue es un inventario honesto de lo que razonablemente puede romperse durante los primeros doce meses, acompañado —cuando corresponde— del kill switch o del mitigante específico que lo contiene.</w:t>
      </w:r>
    </w:p>
    <w:p>
      <w:pPr>
        <w:spacing w:after="180" w:before="280"/>
        <w:jc w:val="center"/>
      </w:pPr>
      <w:r>
        <w:rPr>
          <w:rFonts w:ascii="Georgia" w:cs="Georgia" w:eastAsia="Georgia" w:hAnsi="Georgia"/>
          <w:b/>
          <w:bCs/>
          <w:i/>
          <w:iCs/>
          <w:sz w:val="24"/>
          <w:szCs w:val="24"/>
        </w:rPr>
        <w:t xml:space="preserve">Riesgo uno: la API de Claude se dispara en costos</w:t>
      </w:r>
    </w:p>
    <w:p>
      <w:pPr>
        <w:spacing w:after="160" w:before="0" w:line="320"/>
        <w:jc w:val="both"/>
      </w:pPr>
      <w:r>
        <w:rPr>
          <w:rFonts w:ascii="Georgia" w:cs="Georgia" w:eastAsia="Georgia" w:hAnsi="Georgia"/>
          <w:sz w:val="22"/>
          <w:szCs w:val="22"/>
        </w:rPr>
        <w:t xml:space="preserve">Un bug en un prompt, un loop infinito en un agente, una corrida extraordinaria descontrolada, cualquiera puede volar el presupuesto mensual en un día. Mitigantes: task_budget configurado en cada llamada, límites duros de gasto diario y mensual en la consola de Anthropic, alertas automáticas vía email si se supera el cincuenta por ciento del presupuesto mensual a mitad de mes, y circuit breaker en el código que suspende la pipeline si el gasto del día supera un umbral predefinido. Umbral duro mensual: trescientos dólares. Si se supera, el sistema se suspende automáticamente y manda notificación a los tres socios.</w:t>
      </w:r>
    </w:p>
    <w:p>
      <w:pPr>
        <w:spacing w:after="180" w:before="280"/>
        <w:jc w:val="center"/>
      </w:pPr>
      <w:r>
        <w:rPr>
          <w:rFonts w:ascii="Georgia" w:cs="Georgia" w:eastAsia="Georgia" w:hAnsi="Georgia"/>
          <w:b/>
          <w:bCs/>
          <w:i/>
          <w:iCs/>
          <w:sz w:val="24"/>
          <w:szCs w:val="24"/>
        </w:rPr>
        <w:t xml:space="preserve">Riesgo dos: el sistema decide algo catastrófico</w:t>
      </w:r>
    </w:p>
    <w:p>
      <w:pPr>
        <w:spacing w:after="160" w:before="0" w:line="320"/>
        <w:jc w:val="both"/>
      </w:pPr>
      <w:r>
        <w:rPr>
          <w:rFonts w:ascii="Georgia" w:cs="Georgia" w:eastAsia="Georgia" w:hAnsi="Georgia"/>
          <w:sz w:val="22"/>
          <w:szCs w:val="22"/>
        </w:rPr>
        <w:t xml:space="preserve">Dado que corremos en paper, el daño financiero directo es cero. Pero un trade claramente absurdo —comprar una empresa que está en delisting, entrar a una cartera sin liquidez, poner ochenta por ciento en un solo nombre violando la constitución— sería vergonzoso si se publica sin revisar. Mitigante: durante los primeros tres meses de operación pública, toda cartera nueva generada por el constructor pasa por una revisión humana antes de ejecutarse en paper. A partir del mes cuatro, solo los ciclos donde el drawdown de alguna posición excede el siete por ciento semanal, o donde aparece un nombre nuevo que rompe un criterio de la constitución, se suspenden para revisión.</w:t>
      </w:r>
    </w:p>
    <w:p>
      <w:pPr>
        <w:spacing w:after="180" w:before="280"/>
        <w:jc w:val="center"/>
      </w:pPr>
      <w:r>
        <w:rPr>
          <w:rFonts w:ascii="Georgia" w:cs="Georgia" w:eastAsia="Georgia" w:hAnsi="Georgia"/>
          <w:b/>
          <w:bCs/>
          <w:i/>
          <w:iCs/>
          <w:sz w:val="24"/>
          <w:szCs w:val="24"/>
        </w:rPr>
        <w:t xml:space="preserve">Riesgo tres: performance muy mala en los primeros meses</w:t>
      </w:r>
    </w:p>
    <w:p>
      <w:pPr>
        <w:spacing w:after="160" w:before="0" w:line="320"/>
        <w:jc w:val="both"/>
      </w:pPr>
      <w:r>
        <w:rPr>
          <w:rFonts w:ascii="Georgia" w:cs="Georgia" w:eastAsia="Georgia" w:hAnsi="Georgia"/>
          <w:sz w:val="22"/>
          <w:szCs w:val="22"/>
        </w:rPr>
        <w:t xml:space="preserve">Es estadísticamente probable. Cualquier sistema de selección activa pierde contra el benchmark en ventanas cortas con frecuencia razonable. Si los primeros tres meses terminan con el portafolio diez o quince por ciento atrás del S&amp;P 500, la reacción instintiva es cambiar el sistema. Mitigante doctrinal: ninguna decisión estructural se toma con menos de seis meses de datos. El sistema puede iterarse —prompts más claros, mejoras a la constitución— pero la arquitectura no se toca antes de ese plazo. Y lo más importante: se comunica cada drawdown con la misma voz narrativa con que se comunicaría una ganancia. La honestidad es más importante que la performance.</w:t>
      </w:r>
    </w:p>
    <w:p>
      <w:pPr>
        <w:spacing w:after="180" w:before="280"/>
        <w:jc w:val="center"/>
      </w:pPr>
      <w:r>
        <w:rPr>
          <w:rFonts w:ascii="Georgia" w:cs="Georgia" w:eastAsia="Georgia" w:hAnsi="Georgia"/>
          <w:b/>
          <w:bCs/>
          <w:i/>
          <w:iCs/>
          <w:sz w:val="24"/>
          <w:szCs w:val="24"/>
        </w:rPr>
        <w:t xml:space="preserve">Riesgo cuatro: el tercer socio se va</w:t>
      </w:r>
    </w:p>
    <w:p>
      <w:pPr>
        <w:spacing w:after="160" w:before="0" w:line="320"/>
        <w:jc w:val="both"/>
      </w:pPr>
      <w:r>
        <w:rPr>
          <w:rFonts w:ascii="Georgia" w:cs="Georgia" w:eastAsia="Georgia" w:hAnsi="Georgia"/>
          <w:sz w:val="22"/>
          <w:szCs w:val="22"/>
        </w:rPr>
        <w:t xml:space="preserve">Puede pasar por mil razones —oferta de trabajo irresistible, desencanto con el proyecto, necesidad personal. Mitigantes estructurales: acuerdo de prueba de tres meses con vesting cliff de un año, documentación exhaustiva de todo el código y la arquitectura desde la semana uno, repositorio en GitHub accesible por los tres socios, contraseñas en un gestor compartido. Si se va en el mes dos, el daño es aprender a mantener el sistema Franco y Felipe por encima de nuestra capacidad actual; doloroso pero no fatal. Si se va en el mes diez, el proyecto tiene suficientes semanas públicas como para atraer un reemplazo rápido.</w:t>
      </w:r>
    </w:p>
    <w:p>
      <w:pPr>
        <w:spacing w:after="180" w:before="280"/>
        <w:jc w:val="center"/>
      </w:pPr>
      <w:r>
        <w:rPr>
          <w:rFonts w:ascii="Georgia" w:cs="Georgia" w:eastAsia="Georgia" w:hAnsi="Georgia"/>
          <w:b/>
          <w:bCs/>
          <w:i/>
          <w:iCs/>
          <w:sz w:val="24"/>
          <w:szCs w:val="24"/>
        </w:rPr>
        <w:t xml:space="preserve">Riesgo cinco: alguien tilda al proyecto de oferta pública encubierta</w:t>
      </w:r>
    </w:p>
    <w:p>
      <w:pPr>
        <w:spacing w:after="160" w:before="0" w:line="320"/>
        <w:jc w:val="both"/>
      </w:pPr>
      <w:r>
        <w:rPr>
          <w:rFonts w:ascii="Georgia" w:cs="Georgia" w:eastAsia="Georgia" w:hAnsi="Georgia"/>
          <w:sz w:val="22"/>
          <w:szCs w:val="22"/>
        </w:rPr>
        <w:t xml:space="preserve">El riesgo regulatorio es bajo mientras operemos exclusivamente en paper y no cobremos por gestión. El sistema es un experimento editorial con un componente cuantitativo público; no maneja dinero ajeno ni emite recomendaciones individuales. Aun así, si algún actor interpreta lo contrario —un denuncante, un regulador celoso, un competidor molesto—, la respuesta preparada es la misma: todo el código es público, la filosofía es pública, el portafolio es paper y el dinero virtual es nuestro, no hay clientes, no hay fees de gestión, y cada trade tiene su disclaimer explícito de no ser recomendación personalizada. Tener redactada esta defensa de antemano, con la firma del abogado, es trabajo de la semana uno.</w:t>
      </w:r>
    </w:p>
    <w:p>
      <w:pPr>
        <w:spacing w:after="180" w:before="280"/>
        <w:jc w:val="center"/>
      </w:pPr>
      <w:r>
        <w:rPr>
          <w:rFonts w:ascii="Georgia" w:cs="Georgia" w:eastAsia="Georgia" w:hAnsi="Georgia"/>
          <w:b/>
          <w:bCs/>
          <w:i/>
          <w:iCs/>
          <w:sz w:val="24"/>
          <w:szCs w:val="24"/>
        </w:rPr>
        <w:t xml:space="preserve">Riesgo seis: alguien nos copia</w:t>
      </w:r>
    </w:p>
    <w:p>
      <w:pPr>
        <w:spacing w:after="160" w:before="0" w:line="320"/>
        <w:jc w:val="both"/>
      </w:pPr>
      <w:r>
        <w:rPr>
          <w:rFonts w:ascii="Georgia" w:cs="Georgia" w:eastAsia="Georgia" w:hAnsi="Georgia"/>
          <w:sz w:val="22"/>
          <w:szCs w:val="22"/>
        </w:rPr>
        <w:t xml:space="preserve">Casi garantizado si el proyecto funciona. Otro equipo, argentino o hispanohablante, va a montar algo similar al vernos crecer. La respuesta no es defensiva sino competitiva: para cuando lleguen, nosotros vamos a tener seis o doce meses de ventaja en track record y autoridad, que es exactamente el tipo de activo que no se copia con un fin de semana de vibe coding. El riesgo real no son los copiones; es que nosotros perdamos foco por pensar en ellos.</w:t>
      </w:r>
    </w:p>
    <w:p>
      <w:pPr>
        <w:spacing w:after="180" w:before="280"/>
        <w:jc w:val="center"/>
      </w:pPr>
      <w:r>
        <w:rPr>
          <w:rFonts w:ascii="Georgia" w:cs="Georgia" w:eastAsia="Georgia" w:hAnsi="Georgia"/>
          <w:b/>
          <w:bCs/>
          <w:i/>
          <w:iCs/>
          <w:sz w:val="24"/>
          <w:szCs w:val="24"/>
        </w:rPr>
        <w:t xml:space="preserve">Riesgo siete: Anthropic cambia radicalmente pricing o términos</w:t>
      </w:r>
    </w:p>
    <w:p>
      <w:pPr>
        <w:spacing w:after="160" w:before="0" w:line="320"/>
        <w:jc w:val="both"/>
      </w:pPr>
      <w:r>
        <w:rPr>
          <w:rFonts w:ascii="Georgia" w:cs="Georgia" w:eastAsia="Georgia" w:hAnsi="Georgia"/>
          <w:sz w:val="22"/>
          <w:szCs w:val="22"/>
        </w:rPr>
        <w:t xml:space="preserve">Improbable en los próximos doce meses dado el momentum de la empresa, pero no imposible. Mitigante arquitectural: toda la pipeline está escrita en un wrapper agnóstico de proveedor, que nos permite cambiar a OpenAI o Gemini con cambios localizados si hace falta. No es trivial pero es viable. La filosofía se mantiene; el motor es reemplazable.</w:t>
      </w:r>
    </w:p>
    <w:p>
      <w:r>
        <w:br w:type="page"/>
      </w:r>
    </w:p>
    <w:p>
      <w:pPr>
        <w:spacing w:after="120" w:before="320"/>
        <w:jc w:val="center"/>
      </w:pPr>
      <w:r>
        <w:rPr>
          <w:rFonts w:ascii="Georgia" w:cs="Georgia" w:eastAsia="Georgia" w:hAnsi="Georgia"/>
          <w:b/>
          <w:bCs/>
          <w:spacing w:val="80"/>
          <w:sz w:val="22"/>
          <w:szCs w:val="22"/>
        </w:rPr>
        <w:t xml:space="preserve">CIERRE</w:t>
      </w:r>
    </w:p>
    <w:p>
      <w:pPr>
        <w:spacing w:after="360" w:before="0"/>
        <w:jc w:val="center"/>
      </w:pPr>
      <w:r>
        <w:rPr>
          <w:rFonts w:ascii="Georgia" w:cs="Georgia" w:eastAsia="Georgia" w:hAnsi="Georgia"/>
          <w:b/>
          <w:bCs/>
          <w:i/>
          <w:iCs/>
          <w:sz w:val="36"/>
          <w:szCs w:val="36"/>
        </w:rPr>
        <w:t xml:space="preserve">Lo que pasa el lunes que viene</w:t>
      </w:r>
    </w:p>
    <w:p>
      <w:pPr>
        <w:spacing w:after="200" w:before="0" w:line="320"/>
        <w:jc w:val="both"/>
      </w:pPr>
      <w:r>
        <w:rPr>
          <w:rFonts w:ascii="Georgia" w:cs="Georgia" w:eastAsia="Georgia" w:hAnsi="Georgia"/>
          <w:b/>
          <w:bCs/>
          <w:sz w:val="28"/>
          <w:szCs w:val="28"/>
        </w:rPr>
        <w:t xml:space="preserve">U</w:t>
      </w:r>
      <w:r>
        <w:rPr>
          <w:rFonts w:ascii="Georgia" w:cs="Georgia" w:eastAsia="Georgia" w:hAnsi="Georgia"/>
          <w:sz w:val="22"/>
          <w:szCs w:val="22"/>
        </w:rPr>
        <w:t xml:space="preserve">n plan de ejecución tiene una prueba sencilla: si, después de leerlo, uno sabe qué hacer el lunes a la mañana, funciona. Si queda la sensación de que hay que seguir planificando, falla. Este documento intenta cumplir esa prueba y el testeo es directo.</w:t>
      </w:r>
    </w:p>
    <w:p>
      <w:pPr>
        <w:spacing w:after="160" w:before="0" w:line="320"/>
        <w:jc w:val="both"/>
      </w:pPr>
      <w:r>
        <w:rPr>
          <w:rFonts w:ascii="Georgia" w:cs="Georgia" w:eastAsia="Georgia" w:hAnsi="Georgia"/>
          <w:sz w:val="22"/>
          <w:szCs w:val="22"/>
        </w:rPr>
        <w:t xml:space="preserve">El lunes que viene, Franco se sienta con un abogado comercial amigo para redactar el primer borrador del acuerdo societario de la SAS que va a cobijar Indigo AI. Felipe empieza la primera ronda de contactos con los tres o cuatro profesores de UdeSA y UADE que nos van a presentar candidatos al rol técnico. Se crea la cuenta paper en Alpaca con los correos correspondientes. Se abre el repositorio público en GitHub con el README inicial del proyecto. Se redacta la primera versión de la constitución del sistema, dos páginas, en un documento compartido que los tres socios van a iterar durante las semanas siguientes.</w:t>
      </w:r>
    </w:p>
    <w:p>
      <w:pPr>
        <w:spacing w:after="160" w:before="0" w:line="320"/>
        <w:jc w:val="both"/>
      </w:pPr>
      <w:r>
        <w:rPr>
          <w:rFonts w:ascii="Georgia" w:cs="Georgia" w:eastAsia="Georgia" w:hAnsi="Georgia"/>
          <w:sz w:val="22"/>
          <w:szCs w:val="22"/>
        </w:rPr>
        <w:t xml:space="preserve">Para el lunes que viene en dos semanas, el tercer socio está identificado y el stipend del primer mes ya transfirido. El corpus filosófico está descargado, normalizado y comprimido. El bloque cacheable definitivo es un archivo que el tercer socio carga sin fricción a las llamadas de prueba de la API.</w:t>
      </w:r>
    </w:p>
    <w:p>
      <w:pPr>
        <w:spacing w:after="160" w:before="0" w:line="320"/>
        <w:jc w:val="both"/>
      </w:pPr>
      <w:r>
        <w:rPr>
          <w:rFonts w:ascii="Georgia" w:cs="Georgia" w:eastAsia="Georgia" w:hAnsi="Georgia"/>
          <w:sz w:val="22"/>
          <w:szCs w:val="22"/>
        </w:rPr>
        <w:t xml:space="preserve">Para el lunes que viene en doce semanas, el primer ciclo público de Indigo AI se ejecuta a las diez y media de la mañana hora Nueva York, los tweets salen automatizados al mediodía hora Buenos Aires, el dashboard se actualiza en tiempo real con la primera equity curve del proyecto, y la conversación sobre inteligencia artificial aplicada al mercado hispanohablante tiene, por primera vez, un punto de referencia concreto y público al que mirar.</w:t>
      </w:r>
    </w:p>
    <w:p>
      <w:pPr>
        <w:spacing w:after="160" w:before="0" w:line="320"/>
        <w:jc w:val="both"/>
      </w:pPr>
      <w:r>
        <w:rPr>
          <w:rFonts w:ascii="Georgia" w:cs="Georgia" w:eastAsia="Georgia" w:hAnsi="Georgia"/>
          <w:sz w:val="22"/>
          <w:szCs w:val="22"/>
        </w:rPr>
        <w:t xml:space="preserve">Entre hoy y ese lunes hay noventa días y una lista de cosas por hacer que acabamos de enumerar. No es un proyecto fácil. Pero es un proyecto chico en términos económicos, bien definido en términos operativos, y con asimetría favorable en términos de retorno reputacional. Tres socios ejecutando quince, quince y treinta horas semanales, con doscientos dólares al mes de gasto operativo, producen al cabo de doce semanas algo que en Argentina no existe todavía. Esa es toda la tesis que este plan necesita.</w:t>
      </w:r>
    </w:p>
    <w:p>
      <w:pPr>
        <w:spacing w:after="360" w:before="360" w:line="360"/>
        <w:ind w:left="720" w:right="720"/>
        <w:jc w:val="center"/>
      </w:pPr>
      <w:r>
        <w:rPr>
          <w:rFonts w:ascii="Georgia" w:cs="Georgia" w:eastAsia="Georgia" w:hAnsi="Georgia"/>
          <w:i/>
          <w:iCs/>
          <w:sz w:val="26"/>
          <w:szCs w:val="26"/>
        </w:rPr>
        <w:t xml:space="preserve">"  La ambición no se mide en lo que uno sueña sino en lo que uno ejecuta el lunes a la mañana. Empezar es, literalmente, casi todo.  "</w:t>
      </w:r>
    </w:p>
    <w:p>
      <w:pPr>
        <w:spacing w:after="0" w:before="480"/>
        <w:jc w:val="center"/>
      </w:pPr>
      <w:r>
        <w:rPr>
          <w:rFonts w:ascii="Georgia" w:cs="Georgia" w:eastAsia="Georgia" w:hAnsi="Georgia"/>
          <w:i/>
          <w:iCs/>
          <w:sz w:val="22"/>
          <w:szCs w:val="22"/>
        </w:rPr>
        <w:t xml:space="preserve">— fin del documento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Indigo AI — Plan de ejecución</dc:title>
  <dc:creator>Franco</dc:creator>
  <cp:lastModifiedBy>Un-named</cp:lastModifiedBy>
  <cp:revision>1</cp:revision>
  <dcterms:created xsi:type="dcterms:W3CDTF">2026-04-17T19:49:02.343Z</dcterms:created>
  <dcterms:modified xsi:type="dcterms:W3CDTF">2026-04-17T19:49:02.344Z</dcterms:modified>
</cp:coreProperties>
</file>

<file path=docProps/custom.xml><?xml version="1.0" encoding="utf-8"?>
<Properties xmlns="http://schemas.openxmlformats.org/officeDocument/2006/custom-properties" xmlns:vt="http://schemas.openxmlformats.org/officeDocument/2006/docPropsVTypes"/>
</file>