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FoodStore  FNBC y desnormalización controlada</w:t>
      </w:r>
    </w:p>
    <w:p>
      <w:r>
        <w:rPr>
          <w:color w:val="1F4E79"/>
        </w:rPr>
        <w:t>Base de Datos II · Unidad 4 · PostgreSQL 17</w:t>
      </w:r>
    </w:p>
    <w:p>
      <w:r>
        <w:t>Se trabajó sobre foodstore_tp_u4, una copia de la base poblada. El trabajo muestra una descomposición sin pérdida y compara el reporte diario de categorías con una vista materializada. La equivalencia se comprobó con EXCEPT en ambas direcciones.</w:t>
      </w:r>
    </w:p>
    <w:p>
      <w:pPr>
        <w:pStyle w:val="Heading1"/>
      </w:pPr>
      <w:r>
        <w:t>1  Control de lotes y FNBC</w:t>
      </w:r>
    </w:p>
    <w:p>
      <w:r>
        <w:t>La relación original es ControlLoteAlmacen(LoteID, DepositoID, ResponsableControlID), con clave primaria (LoteID, DepositoID). Las reglas de negocio producen estas dependencias:</w:t>
      </w:r>
    </w:p>
    <w:p>
      <w:pPr>
        <w:spacing w:before="40" w:after="140"/>
        <w:ind w:left="173"/>
      </w:pPr>
      <w:r>
        <w:rPr>
          <w:rFonts w:ascii="Consolas" w:hAnsi="Consolas"/>
          <w:color w:val="3C3C3C"/>
          <w:sz w:val="16"/>
        </w:rPr>
        <w:t>(LoteID, DepositoID) -&gt; ResponsableControlID</w:t>
        <w:br/>
      </w:r>
      <w:r>
        <w:rPr>
          <w:rFonts w:ascii="Consolas" w:hAnsi="Consolas"/>
          <w:color w:val="3C3C3C"/>
          <w:sz w:val="16"/>
        </w:rPr>
        <w:t>ResponsableControlID -&gt; DepositoID</w:t>
      </w:r>
    </w:p>
    <w:tbl>
      <w:tblPr>
        <w:tblW w:type="auto" w:w="0"/>
        <w:jc w:val="center"/>
        <w:tblLayout w:type="fixed"/>
        <w:tblLook w:firstColumn="1" w:firstRow="1" w:lastColumn="0" w:lastRow="0" w:noHBand="0" w:noVBand="1" w:val="04A0"/>
      </w:tblPr>
      <w:tblGrid>
        <w:gridCol w:w="4968"/>
        <w:gridCol w:w="4968"/>
      </w:tblGrid>
      <w:tr>
        <w:tc>
          <w:tcPr>
            <w:tcW w:type="dxa" w:w="4176"/>
            <w:vAlign w:val="center"/>
            <w:shd w:fill="EAF1F8"/>
            <w:tcBorders>
              <w:top w:val="single" w:sz="4" w:color="D9D9D9"/>
              <w:left w:val="single" w:sz="4" w:color="D9D9D9"/>
              <w:bottom w:val="single" w:sz="4" w:color="D9D9D9"/>
              <w:right w:val="single" w:sz="4" w:color="D9D9D9"/>
            </w:tcBorders>
          </w:tcPr>
          <w:p>
            <w:pPr>
              <w:spacing w:after="40" w:before="40"/>
            </w:pPr>
            <w:r>
              <w:rPr>
                <w:b/>
                <w:sz w:val="18"/>
              </w:rPr>
              <w:t>Conjunto</w:t>
            </w:r>
          </w:p>
        </w:tc>
        <w:tc>
          <w:tcPr>
            <w:tcW w:type="dxa" w:w="5616"/>
            <w:vAlign w:val="center"/>
            <w:shd w:fill="EAF1F8"/>
            <w:tcBorders>
              <w:top w:val="single" w:sz="4" w:color="D9D9D9"/>
              <w:left w:val="single" w:sz="4" w:color="D9D9D9"/>
              <w:bottom w:val="single" w:sz="4" w:color="D9D9D9"/>
              <w:right w:val="single" w:sz="4" w:color="D9D9D9"/>
            </w:tcBorders>
          </w:tcPr>
          <w:p>
            <w:pPr>
              <w:spacing w:after="40" w:before="40"/>
              <w:jc w:val="center"/>
            </w:pPr>
            <w:r>
              <w:rPr>
                <w:b/>
                <w:sz w:val="18"/>
              </w:rPr>
              <w:t>Clausura relevante</w:t>
            </w:r>
          </w:p>
        </w:tc>
      </w:tr>
      <w:tr>
        <w:tc>
          <w:tcPr>
            <w:tcW w:type="dxa" w:w="4176"/>
            <w:vAlign w:val="center"/>
            <w:tcBorders>
              <w:top w:val="single" w:sz="4" w:color="D9D9D9"/>
              <w:left w:val="single" w:sz="4" w:color="D9D9D9"/>
              <w:bottom w:val="single" w:sz="4" w:color="D9D9D9"/>
              <w:right w:val="single" w:sz="4" w:color="D9D9D9"/>
            </w:tcBorders>
          </w:tcPr>
          <w:p>
            <w:pPr>
              <w:spacing w:after="40" w:before="40"/>
            </w:pPr>
            <w:r>
              <w:rPr>
                <w:b w:val="0"/>
                <w:sz w:val="18"/>
              </w:rPr>
              <w:t>{LoteID, DepositoID}</w:t>
            </w:r>
          </w:p>
        </w:tc>
        <w:tc>
          <w:tcPr>
            <w:tcW w:type="dxa" w:w="5616"/>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Los tres atributos</w:t>
            </w:r>
          </w:p>
        </w:tc>
      </w:tr>
      <w:tr>
        <w:tc>
          <w:tcPr>
            <w:tcW w:type="dxa" w:w="4176"/>
            <w:vAlign w:val="center"/>
            <w:tcBorders>
              <w:top w:val="single" w:sz="4" w:color="D9D9D9"/>
              <w:left w:val="single" w:sz="4" w:color="D9D9D9"/>
              <w:bottom w:val="single" w:sz="4" w:color="D9D9D9"/>
              <w:right w:val="single" w:sz="4" w:color="D9D9D9"/>
            </w:tcBorders>
          </w:tcPr>
          <w:p>
            <w:pPr>
              <w:spacing w:after="40" w:before="40"/>
            </w:pPr>
            <w:r>
              <w:rPr>
                <w:b w:val="0"/>
                <w:sz w:val="18"/>
              </w:rPr>
              <w:t>{LoteID, ResponsableControlID}</w:t>
            </w:r>
          </w:p>
        </w:tc>
        <w:tc>
          <w:tcPr>
            <w:tcW w:type="dxa" w:w="5616"/>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Los tres atributos</w:t>
            </w:r>
          </w:p>
        </w:tc>
      </w:tr>
      <w:tr>
        <w:tc>
          <w:tcPr>
            <w:tcW w:type="dxa" w:w="4176"/>
            <w:vAlign w:val="center"/>
            <w:tcBorders>
              <w:top w:val="single" w:sz="4" w:color="D9D9D9"/>
              <w:left w:val="single" w:sz="4" w:color="D9D9D9"/>
              <w:bottom w:val="single" w:sz="4" w:color="D9D9D9"/>
              <w:right w:val="single" w:sz="4" w:color="D9D9D9"/>
            </w:tcBorders>
          </w:tcPr>
          <w:p>
            <w:pPr>
              <w:spacing w:after="40" w:before="40"/>
            </w:pPr>
            <w:r>
              <w:rPr>
                <w:b w:val="0"/>
                <w:sz w:val="18"/>
              </w:rPr>
              <w:t>{LoteID}</w:t>
            </w:r>
          </w:p>
        </w:tc>
        <w:tc>
          <w:tcPr>
            <w:tcW w:type="dxa" w:w="5616"/>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Solo LoteID</w:t>
            </w:r>
          </w:p>
        </w:tc>
      </w:tr>
      <w:tr>
        <w:tc>
          <w:tcPr>
            <w:tcW w:type="dxa" w:w="4176"/>
            <w:vAlign w:val="center"/>
            <w:tcBorders>
              <w:top w:val="single" w:sz="4" w:color="D9D9D9"/>
              <w:left w:val="single" w:sz="4" w:color="D9D9D9"/>
              <w:bottom w:val="single" w:sz="4" w:color="D9D9D9"/>
              <w:right w:val="single" w:sz="4" w:color="D9D9D9"/>
            </w:tcBorders>
          </w:tcPr>
          <w:p>
            <w:pPr>
              <w:spacing w:after="40" w:before="40"/>
            </w:pPr>
            <w:r>
              <w:rPr>
                <w:b w:val="0"/>
                <w:sz w:val="18"/>
              </w:rPr>
              <w:t>{ResponsableControlID}</w:t>
            </w:r>
          </w:p>
        </w:tc>
        <w:tc>
          <w:tcPr>
            <w:tcW w:type="dxa" w:w="5616"/>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ResponsableControlID y DepositoID</w:t>
            </w:r>
          </w:p>
        </w:tc>
      </w:tr>
    </w:tbl>
    <w:p>
      <w:pPr>
        <w:spacing w:after="0"/>
      </w:pPr>
    </w:p>
    <w:p>
      <w:r>
        <w:t>Las dos primeras combinaciones son las claves candidatas completas. Los tres atributos son primos. La relación cumple 3FN, pero ResponsableControlID -&gt; DepositoID viola FNBC porque ResponsableControlID no determina LoteID y, por lo tanto, no es superclave.</w:t>
      </w:r>
    </w:p>
    <w:p>
      <w:pPr>
        <w:pStyle w:val="Heading2"/>
      </w:pPr>
      <w:r>
        <w:t>Anomalías de la relación original</w:t>
      </w:r>
    </w:p>
    <w:p>
      <w:r>
        <w:t>Inserción: para registrar que un responsable 803 pertenece al depósito 31 habría que inventar un lote, aunque todavía no tenga controles asignados.</w:t>
      </w:r>
    </w:p>
    <w:p>
      <w:r>
        <w:t>Borrado: al eliminar el único control (503, 31, 802) también se perdería el dato de que el responsable 802 pertenece al depósito 31.</w:t>
      </w:r>
    </w:p>
    <w:p>
      <w:r>
        <w:t>Actualización: si el responsable 801 cambiara de depósito, habría que modificar las filas de los lotes 501 y 502. Cambiar una sola dejaría dos depósitos distintos para el mismo responsable.</w:t>
      </w:r>
    </w:p>
    <w:p>
      <w:pPr>
        <w:pStyle w:val="Heading2"/>
      </w:pPr>
      <w:r>
        <w:t>Descomposición y comprobación</w:t>
      </w:r>
    </w:p>
    <w:p>
      <w:pPr>
        <w:spacing w:before="40" w:after="140"/>
        <w:ind w:left="173"/>
      </w:pPr>
      <w:r>
        <w:rPr>
          <w:rFonts w:ascii="Consolas" w:hAnsi="Consolas"/>
          <w:color w:val="3C3C3C"/>
          <w:sz w:val="16"/>
        </w:rPr>
        <w:t>R1(ResponsableControlID, DepositoID)   PK ResponsableControlID</w:t>
        <w:br/>
      </w:r>
      <w:r>
        <w:rPr>
          <w:rFonts w:ascii="Consolas" w:hAnsi="Consolas"/>
          <w:color w:val="3C3C3C"/>
          <w:sz w:val="16"/>
        </w:rPr>
        <w:t>R2(LoteID, ResponsableControlID)      PK (LoteID, ResponsableControlID)</w:t>
      </w:r>
    </w:p>
    <w:p>
      <w:r>
        <w:t>El atributo común es ResponsableControlID, clave de R1. Por ese criterio, la reunión R1 ⋈ R2 es sin pérdida. La vista de compatibilidad reconstruyó las tres filas originales: (501, 30, 801), (502, 30, 801) y (503, 31, 802). Los dos EXCEPT entre tabla original y vista devolvieron 0 filas. La dependencia (LoteID, DepositoID) -&gt; ResponsableControlID no queda impuesta automáticamente por una restricción local de R1 o R2.</w:t>
      </w:r>
    </w:p>
    <w:p>
      <w:r>
        <w:br w:type="page"/>
      </w:r>
    </w:p>
    <w:p>
      <w:pPr>
        <w:pStyle w:val="Heading1"/>
      </w:pPr>
      <w:r>
        <w:t>2  Top diario de categorías</w:t>
      </w:r>
    </w:p>
    <w:p>
      <w:r>
        <w:t>La base no tenía ventas fechadas hoy. Se creó un pedido de prueba con sp_crear_pedido, respetando las validaciones y el descuento de stock; la comprobación posterior mostró dos detalles vigentes del día, correspondientes a dos categorías.</w:t>
      </w:r>
    </w:p>
    <w:p>
      <w:r>
        <w:t>La consulta directa une detalle_pedido, pedido, producto y categoria, agrupa el subtotal por categoría y ordena el resultado. La vista materializada guarda esa agregación para el día del último REFRESH; el top 5 se aplica al leerla.</w:t>
      </w:r>
    </w:p>
    <w:tbl>
      <w:tblPr>
        <w:tblW w:type="auto" w:w="0"/>
        <w:jc w:val="center"/>
        <w:tblLayout w:type="fixed"/>
        <w:tblLook w:firstColumn="1" w:firstRow="1" w:lastColumn="0" w:lastRow="0" w:noHBand="0" w:noVBand="1" w:val="04A0"/>
      </w:tblPr>
      <w:tblGrid>
        <w:gridCol w:w="3312"/>
        <w:gridCol w:w="3312"/>
        <w:gridCol w:w="3312"/>
      </w:tblGrid>
      <w:tr>
        <w:tc>
          <w:tcPr>
            <w:tcW w:type="dxa" w:w="2376"/>
            <w:vAlign w:val="center"/>
            <w:shd w:fill="EAF1F8"/>
            <w:tcBorders>
              <w:top w:val="single" w:sz="4" w:color="D9D9D9"/>
              <w:left w:val="single" w:sz="4" w:color="D9D9D9"/>
              <w:bottom w:val="single" w:sz="4" w:color="D9D9D9"/>
              <w:right w:val="single" w:sz="4" w:color="D9D9D9"/>
            </w:tcBorders>
          </w:tcPr>
          <w:p>
            <w:pPr>
              <w:spacing w:after="40" w:before="40"/>
            </w:pPr>
            <w:r>
              <w:rPr>
                <w:b/>
                <w:sz w:val="18"/>
              </w:rPr>
              <w:t>Medición</w:t>
            </w:r>
          </w:p>
        </w:tc>
        <w:tc>
          <w:tcPr>
            <w:tcW w:type="dxa" w:w="3672"/>
            <w:vAlign w:val="center"/>
            <w:shd w:fill="EAF1F8"/>
            <w:tcBorders>
              <w:top w:val="single" w:sz="4" w:color="D9D9D9"/>
              <w:left w:val="single" w:sz="4" w:color="D9D9D9"/>
              <w:bottom w:val="single" w:sz="4" w:color="D9D9D9"/>
              <w:right w:val="single" w:sz="4" w:color="D9D9D9"/>
            </w:tcBorders>
          </w:tcPr>
          <w:p>
            <w:pPr>
              <w:spacing w:after="40" w:before="40"/>
              <w:jc w:val="center"/>
            </w:pPr>
            <w:r>
              <w:rPr>
                <w:b/>
                <w:sz w:val="18"/>
              </w:rPr>
              <w:t>Consulta directa</w:t>
            </w:r>
          </w:p>
        </w:tc>
        <w:tc>
          <w:tcPr>
            <w:tcW w:type="dxa" w:w="3744"/>
            <w:vAlign w:val="center"/>
            <w:shd w:fill="EAF1F8"/>
            <w:tcBorders>
              <w:top w:val="single" w:sz="4" w:color="D9D9D9"/>
              <w:left w:val="single" w:sz="4" w:color="D9D9D9"/>
              <w:bottom w:val="single" w:sz="4" w:color="D9D9D9"/>
              <w:right w:val="single" w:sz="4" w:color="D9D9D9"/>
            </w:tcBorders>
          </w:tcPr>
          <w:p>
            <w:pPr>
              <w:spacing w:after="40" w:before="40"/>
              <w:jc w:val="center"/>
            </w:pPr>
            <w:r>
              <w:rPr>
                <w:b/>
                <w:sz w:val="18"/>
              </w:rPr>
              <w:t>Vista materializada</w:t>
            </w:r>
          </w:p>
        </w:tc>
      </w:tr>
      <w:tr>
        <w:tc>
          <w:tcPr>
            <w:tcW w:type="dxa" w:w="2376"/>
            <w:vAlign w:val="center"/>
            <w:tcBorders>
              <w:top w:val="single" w:sz="4" w:color="D9D9D9"/>
              <w:left w:val="single" w:sz="4" w:color="D9D9D9"/>
              <w:bottom w:val="single" w:sz="4" w:color="D9D9D9"/>
              <w:right w:val="single" w:sz="4" w:color="D9D9D9"/>
            </w:tcBorders>
          </w:tcPr>
          <w:p>
            <w:pPr>
              <w:spacing w:after="40" w:before="40"/>
            </w:pPr>
            <w:r>
              <w:rPr>
                <w:b w:val="0"/>
                <w:sz w:val="18"/>
              </w:rPr>
              <w:t>Execution Time</w:t>
            </w:r>
          </w:p>
        </w:tc>
        <w:tc>
          <w:tcPr>
            <w:tcW w:type="dxa" w:w="3672"/>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4,335 ms</w:t>
            </w:r>
          </w:p>
        </w:tc>
        <w:tc>
          <w:tcPr>
            <w:tcW w:type="dxa" w:w="3744"/>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1,561 ms</w:t>
            </w:r>
          </w:p>
        </w:tc>
      </w:tr>
      <w:tr>
        <w:tc>
          <w:tcPr>
            <w:tcW w:type="dxa" w:w="2376"/>
            <w:vAlign w:val="center"/>
            <w:tcBorders>
              <w:top w:val="single" w:sz="4" w:color="D9D9D9"/>
              <w:left w:val="single" w:sz="4" w:color="D9D9D9"/>
              <w:bottom w:val="single" w:sz="4" w:color="D9D9D9"/>
              <w:right w:val="single" w:sz="4" w:color="D9D9D9"/>
            </w:tcBorders>
          </w:tcPr>
          <w:p>
            <w:pPr>
              <w:spacing w:after="40" w:before="40"/>
            </w:pPr>
            <w:r>
              <w:rPr>
                <w:b w:val="0"/>
                <w:sz w:val="18"/>
              </w:rPr>
              <w:t>Acceso principal</w:t>
            </w:r>
          </w:p>
        </w:tc>
        <w:tc>
          <w:tcPr>
            <w:tcW w:type="dxa" w:w="3672"/>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Índice de fecha y Nested Loop</w:t>
            </w:r>
          </w:p>
        </w:tc>
        <w:tc>
          <w:tcPr>
            <w:tcW w:type="dxa" w:w="3744"/>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Seq Scan de 2 filas</w:t>
            </w:r>
          </w:p>
        </w:tc>
      </w:tr>
      <w:tr>
        <w:tc>
          <w:tcPr>
            <w:tcW w:type="dxa" w:w="2376"/>
            <w:vAlign w:val="center"/>
            <w:tcBorders>
              <w:top w:val="single" w:sz="4" w:color="D9D9D9"/>
              <w:left w:val="single" w:sz="4" w:color="D9D9D9"/>
              <w:bottom w:val="single" w:sz="4" w:color="D9D9D9"/>
              <w:right w:val="single" w:sz="4" w:color="D9D9D9"/>
            </w:tcBorders>
          </w:tcPr>
          <w:p>
            <w:pPr>
              <w:spacing w:after="40" w:before="40"/>
            </w:pPr>
            <w:r>
              <w:rPr>
                <w:b w:val="0"/>
                <w:sz w:val="18"/>
              </w:rPr>
              <w:t>Procesamiento final</w:t>
            </w:r>
          </w:p>
        </w:tc>
        <w:tc>
          <w:tcPr>
            <w:tcW w:type="dxa" w:w="3672"/>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GroupAggregate y Sort</w:t>
            </w:r>
          </w:p>
        </w:tc>
        <w:tc>
          <w:tcPr>
            <w:tcW w:type="dxa" w:w="3744"/>
            <w:vAlign w:val="center"/>
            <w:tcBorders>
              <w:top w:val="single" w:sz="4" w:color="D9D9D9"/>
              <w:left w:val="single" w:sz="4" w:color="D9D9D9"/>
              <w:bottom w:val="single" w:sz="4" w:color="D9D9D9"/>
              <w:right w:val="single" w:sz="4" w:color="D9D9D9"/>
            </w:tcBorders>
          </w:tcPr>
          <w:p>
            <w:pPr>
              <w:spacing w:after="40" w:before="40"/>
              <w:jc w:val="center"/>
            </w:pPr>
            <w:r>
              <w:rPr>
                <w:b w:val="0"/>
                <w:sz w:val="18"/>
              </w:rPr>
              <w:t>Sort y Limit</w:t>
            </w:r>
          </w:p>
        </w:tc>
      </w:tr>
    </w:tbl>
    <w:p>
      <w:pPr>
        <w:spacing w:after="0"/>
      </w:pPr>
    </w:p>
    <w:p>
      <w:r>
        <w:t>La lectura de la vista fue aproximadamente 2,8 veces más rápida en estas ejecuciones. El índice de fecha localizó un pedido y el índice por pedido encontró sus dos detalles: la consulta directa no barrió los más de 400.000 detalles históricos. Con solo dos ventas de hoy, esta medición no demuestra un cuello de botella general ni permite extrapolar el factor de mejora a otra jornada.</w:t>
      </w:r>
    </w:p>
    <w:p>
      <w:r>
        <w:t>La vista se creó con WITH DATA y tiene un índice único por id_categoria, necesario para REFRESH MATERIALIZED VIEW CONCURRENTLY. Tras poblarla, contenía dos filas. La auditoría de agregación directa contra vista, en ambas direcciones, devolvió 0 filas.</w:t>
      </w:r>
    </w:p>
    <w:p>
      <w:r>
        <w:t>El dato es reversible porque se recalcula desde las cuatro tablas base. Para mantenerlo actualizado se propone refrescarlo periódicamente durante el horario operativo; entre refrescos puede quedar atrasado. La frecuencia concreta debe ajustarse al nivel de actualización requerido por el panel.</w:t>
      </w:r>
    </w:p>
    <w:p>
      <w:pPr>
        <w:pStyle w:val="Heading2"/>
      </w:pPr>
      <w:r>
        <w:t>Salidas de EXPLAIN ANALYZE</w:t>
      </w:r>
    </w:p>
    <w:p>
      <w:r>
        <w:t>Fragmentos de los planes reales obtenidos en DBeaver:</w:t>
      </w:r>
    </w:p>
    <w:p>
      <w:pPr>
        <w:spacing w:before="40" w:after="140"/>
        <w:ind w:left="173"/>
      </w:pPr>
      <w:r>
        <w:rPr>
          <w:rFonts w:ascii="Consolas" w:hAnsi="Consolas"/>
          <w:color w:val="3C3C3C"/>
          <w:sz w:val="16"/>
        </w:rPr>
        <w:t>ANTES  Bitmap Index Scan on idx_pedido_fecha: 1 pedido</w:t>
        <w:br/>
      </w:r>
      <w:r>
        <w:rPr>
          <w:rFonts w:ascii="Consolas" w:hAnsi="Consolas"/>
          <w:color w:val="3C3C3C"/>
          <w:sz w:val="16"/>
        </w:rPr>
        <w:t xml:space="preserve">       Index Scan on detalle_pedido...key: 2 detalles</w:t>
        <w:br/>
      </w:r>
      <w:r>
        <w:rPr>
          <w:rFonts w:ascii="Consolas" w:hAnsi="Consolas"/>
          <w:color w:val="3C3C3C"/>
          <w:sz w:val="16"/>
        </w:rPr>
        <w:t xml:space="preserve">       Nested Loop -&gt; GroupAggregate -&gt; Sort -&gt; Limit</w:t>
        <w:br/>
      </w:r>
      <w:r>
        <w:rPr>
          <w:rFonts w:ascii="Consolas" w:hAnsi="Consolas"/>
          <w:color w:val="3C3C3C"/>
          <w:sz w:val="16"/>
        </w:rPr>
        <w:t xml:space="preserve">       Buffers: shared hit=16 read=2; Execution Time: 4.335 ms</w:t>
        <w:br/>
      </w:r>
      <w:r>
        <w:rPr>
          <w:rFonts w:ascii="Consolas" w:hAnsi="Consolas"/>
          <w:color w:val="3C3C3C"/>
          <w:sz w:val="16"/>
        </w:rPr>
        <w:t>DESPUÉS Seq Scan on mv_tp_u4_top5_cat_dia: 2 filas</w:t>
        <w:br/>
      </w:r>
      <w:r>
        <w:rPr>
          <w:rFonts w:ascii="Consolas" w:hAnsi="Consolas"/>
          <w:color w:val="3C3C3C"/>
          <w:sz w:val="16"/>
        </w:rPr>
        <w:t xml:space="preserve">        Sort -&gt; Limit; Execution Time: 1.561 ms</w:t>
      </w:r>
    </w:p>
    <w:p>
      <w:pPr>
        <w:pStyle w:val="Heading1"/>
      </w:pPr>
      <w:r>
        <w:t>3  Herramientas y entrega</w:t>
      </w:r>
    </w:p>
    <w:p>
      <w:r>
        <w:t>Kiro preparó la especificación. Su primer análisis agregó atributos ajenos a la consigna; se corrigió con la relación literal de tres atributos. OpenCode generó los scripts y el borrador del informe. Se corrigieron la conservación de los IDs originales, la prueba EXCEPT contra la tabla original y la medición EXPLAIN ANALYZE de la vista. Codex revisó los planes y completó este informe con las salidas ejecutadas manualmente en DBeaver.</w:t>
      </w:r>
    </w:p>
    <w:p>
      <w:r>
        <w:t>Scripts: sql/tp_fnbc_control_lote.sql y sql/tp_desnormalizacion_top_categorias.sql.</w:t>
      </w:r>
    </w:p>
    <w:p>
      <w:r>
        <w:t>Repositorio: https://github.com/francosampieri/TP2_BDD2_FoodStore</w:t>
      </w:r>
    </w:p>
    <w:sectPr w:rsidR="00FC693F" w:rsidRPr="0006063C" w:rsidSect="00034616">
      <w:footerReference w:type="default" r:id="rId9"/>
      <w:pgSz w:w="12240" w:h="15840"/>
      <w:pgMar w:top="1037" w:right="1152" w:bottom="95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Base de Datos II · FoodStore · Unidad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