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how8901map5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f2o2qmt1up4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d37gki1m4x5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sz w:val="82"/>
          <w:szCs w:val="82"/>
        </w:rPr>
      </w:pPr>
      <w:bookmarkStart w:colFirst="0" w:colLast="0" w:name="_19a214db02am" w:id="3"/>
      <w:bookmarkEnd w:id="3"/>
      <w:r w:rsidDel="00000000" w:rsidR="00000000" w:rsidRPr="00000000">
        <w:rPr>
          <w:sz w:val="82"/>
          <w:szCs w:val="82"/>
          <w:rtl w:val="0"/>
        </w:rPr>
        <w:t xml:space="preserve">Proyecto: Food Store</w:t>
      </w:r>
    </w:p>
    <w:p w:rsidR="00000000" w:rsidDel="00000000" w:rsidP="00000000" w:rsidRDefault="00000000" w:rsidRPr="00000000" w14:paraId="00000005">
      <w:pPr>
        <w:pStyle w:val="Heading1"/>
        <w:jc w:val="right"/>
        <w:rPr/>
      </w:pPr>
      <w:bookmarkStart w:colFirst="0" w:colLast="0" w:name="_5tfsvxskzd4a" w:id="4"/>
      <w:bookmarkEnd w:id="4"/>
      <w:r w:rsidDel="00000000" w:rsidR="00000000" w:rsidRPr="00000000">
        <w:rPr>
          <w:rtl w:val="0"/>
        </w:rPr>
        <w:t xml:space="preserve">Sistema de Gestión de Pedidos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color w:val="000000"/>
        </w:rPr>
      </w:pPr>
      <w:bookmarkStart w:colFirst="0" w:colLast="0" w:name="_wtd5bdbco0m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center"/>
        <w:rPr>
          <w:rFonts w:ascii="Arial" w:cs="Arial" w:eastAsia="Arial" w:hAnsi="Arial"/>
          <w:color w:val="000000"/>
        </w:rPr>
      </w:pPr>
      <w:bookmarkStart w:colFirst="0" w:colLast="0" w:name="_d8z4j5byhk89" w:id="6"/>
      <w:bookmarkEnd w:id="6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Facultad Regional Mendoza</w:t>
      </w:r>
    </w:p>
    <w:p w:rsidR="00000000" w:rsidDel="00000000" w:rsidP="00000000" w:rsidRDefault="00000000" w:rsidRPr="00000000" w14:paraId="00000009">
      <w:pPr>
        <w:pStyle w:val="Heading2"/>
        <w:jc w:val="center"/>
        <w:rPr>
          <w:rFonts w:ascii="Arial" w:cs="Arial" w:eastAsia="Arial" w:hAnsi="Arial"/>
          <w:color w:val="000000"/>
        </w:rPr>
      </w:pPr>
      <w:bookmarkStart w:colFirst="0" w:colLast="0" w:name="_q11r8muluvr7" w:id="7"/>
      <w:bookmarkEnd w:id="7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Tecnicatura Universitaria en Programación</w:t>
      </w:r>
    </w:p>
    <w:p w:rsidR="00000000" w:rsidDel="00000000" w:rsidP="00000000" w:rsidRDefault="00000000" w:rsidRPr="00000000" w14:paraId="0000000A">
      <w:pPr>
        <w:pStyle w:val="Heading2"/>
        <w:jc w:val="center"/>
        <w:rPr>
          <w:rFonts w:ascii="Arial" w:cs="Arial" w:eastAsia="Arial" w:hAnsi="Arial"/>
          <w:color w:val="000000"/>
        </w:rPr>
      </w:pPr>
      <w:bookmarkStart w:colFirst="0" w:colLast="0" w:name="_tc4sj9w6jp2d" w:id="8"/>
      <w:bookmarkEnd w:id="8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Base de Datos II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Grupo de Trabajo:</w:t>
      </w:r>
      <w:r w:rsidDel="00000000" w:rsidR="00000000" w:rsidRPr="00000000">
        <w:rPr>
          <w:rtl w:val="0"/>
        </w:rPr>
        <w:t xml:space="preserve">Franco Sampieri, Mauro Di Pietro,Renzo Victoria,Thomas Martinez,Alam Gonzales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20 de agosto de 2026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widowControl w:val="0"/>
        <w:spacing w:after="60" w:before="240" w:line="240" w:lineRule="auto"/>
        <w:rPr/>
      </w:pPr>
      <w:bookmarkStart w:colFirst="0" w:colLast="0" w:name="_auan5qzeprdc" w:id="9"/>
      <w:bookmarkEnd w:id="9"/>
      <w:r w:rsidDel="00000000" w:rsidR="00000000" w:rsidRPr="00000000">
        <w:rPr>
          <w:rFonts w:ascii="Arial" w:cs="Arial" w:eastAsia="Arial" w:hAnsi="Arial"/>
          <w:color w:val="0f172a"/>
          <w:sz w:val="40"/>
          <w:szCs w:val="40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dt>
      <w:sdtPr>
        <w:id w:val="-8427127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Marco Teórico: Base de Datos Relacional</w:t>
            </w:r>
          </w:hyperlink>
          <w:hyperlink w:anchor="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Modelo Relacional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Normalización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Restricciones e Integridad de 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Transacciones y Propiedades ACID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czt9j8zhqpr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Decisiones de Diseño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Normalización y Descomposición Relacional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Manejo del Total y Cálculo Automático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Borrado Lógico (Soft Delete)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6adoetrn8c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Estrategia de Indexación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Dificultades, Soluciones y Referencias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Dificultades Encontradas y Soluciones Implementadas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Bibliografía y Webgrafía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ht2qlqnqx8i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Enlaces al Repositorio y Video Demostrativo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widowControl w:val="0"/>
        <w:spacing w:after="60" w:before="240" w:line="240" w:lineRule="auto"/>
        <w:rPr>
          <w:rFonts w:ascii="Arial" w:cs="Arial" w:eastAsia="Arial" w:hAnsi="Arial"/>
          <w:color w:val="0f172a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0f172a"/>
          <w:sz w:val="40"/>
          <w:szCs w:val="40"/>
          <w:rtl w:val="0"/>
        </w:rPr>
        <w:t xml:space="preserve">Marco Teórico: Base de Datos Relacional</w:t>
      </w:r>
    </w:p>
    <w:p w:rsidR="00000000" w:rsidDel="00000000" w:rsidP="00000000" w:rsidRDefault="00000000" w:rsidRPr="00000000" w14:paraId="00000039">
      <w:pPr>
        <w:widowControl w:val="0"/>
        <w:spacing w:after="360" w:line="240" w:lineRule="auto"/>
        <w:rPr>
          <w:rFonts w:ascii="Arial" w:cs="Arial" w:eastAsia="Arial" w:hAnsi="Arial"/>
          <w:i w:val="1"/>
          <w:iCs w:val="1"/>
          <w:color w:val="47556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475569"/>
          <w:sz w:val="22"/>
          <w:szCs w:val="22"/>
          <w:rtl w:val="0"/>
        </w:rPr>
        <w:t xml:space="preserve">Fundamentos teóricos y su aplicación en la base de datos FoodStore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widowControl w:val="0"/>
        <w:spacing w:after="285" w:before="0" w:line="240" w:lineRule="auto"/>
        <w:rPr>
          <w:rFonts w:ascii="Arial" w:cs="Arial" w:eastAsia="Arial" w:hAnsi="Arial"/>
          <w:color w:val="1e3a8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e3a8a"/>
          <w:sz w:val="28"/>
          <w:szCs w:val="28"/>
          <w:rtl w:val="0"/>
        </w:rPr>
        <w:t xml:space="preserve">1. Modelo Relacional</w:t>
      </w:r>
    </w:p>
    <w:p w:rsidR="00000000" w:rsidDel="00000000" w:rsidP="00000000" w:rsidRDefault="00000000" w:rsidRPr="00000000" w14:paraId="0000003B">
      <w:pPr>
        <w:widowControl w:val="0"/>
        <w:jc w:val="both"/>
        <w:rPr>
          <w:rFonts w:ascii="Arial" w:cs="Arial" w:eastAsia="Arial" w:hAnsi="Arial"/>
          <w:color w:val="1e293b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Propuesto formalmente por Edgar F. Codd en 1970, el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Modelo Relacional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estructura y organiza la información a través de relaciones matemáticas representadas visualmente como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e293b"/>
          <w:sz w:val="20"/>
          <w:szCs w:val="20"/>
          <w:rtl w:val="0"/>
        </w:rPr>
        <w:t xml:space="preserve">tablas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compuestas por </w:t>
      </w:r>
      <w:r w:rsidDel="00000000" w:rsidR="00000000" w:rsidRPr="00000000">
        <w:rPr>
          <w:rFonts w:ascii="Arial" w:cs="Arial" w:eastAsia="Arial" w:hAnsi="Arial"/>
          <w:i w:val="1"/>
          <w:iCs w:val="1"/>
          <w:color w:val="1e293b"/>
          <w:sz w:val="20"/>
          <w:szCs w:val="20"/>
          <w:rtl w:val="0"/>
        </w:rPr>
        <w:t xml:space="preserve">tuplas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(filas o registros) y </w:t>
      </w:r>
      <w:r w:rsidDel="00000000" w:rsidR="00000000" w:rsidRPr="00000000">
        <w:rPr>
          <w:rFonts w:ascii="Arial" w:cs="Arial" w:eastAsia="Arial" w:hAnsi="Arial"/>
          <w:i w:val="1"/>
          <w:iCs w:val="1"/>
          <w:color w:val="1e293b"/>
          <w:sz w:val="20"/>
          <w:szCs w:val="20"/>
          <w:rtl w:val="0"/>
        </w:rPr>
        <w:t xml:space="preserve">atributos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(columnas o campos). Cada relación define un conjunto ordenado de datos con tipos estrictos, asegurando la separación clara entre la representación lógica y la implementación física del motor de almacenamiento.</w:t>
      </w:r>
    </w:p>
    <w:p w:rsidR="00000000" w:rsidDel="00000000" w:rsidP="00000000" w:rsidRDefault="00000000" w:rsidRPr="00000000" w14:paraId="0000003C">
      <w:pPr>
        <w:widowControl w:val="0"/>
        <w:spacing w:after="300" w:lineRule="auto"/>
        <w:jc w:val="both"/>
        <w:rPr>
          <w:rFonts w:ascii="Arial" w:cs="Arial" w:eastAsia="Arial" w:hAnsi="Arial"/>
          <w:color w:val="1e293b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Aplicación en FoodStore: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El sistema modela el dominio del negocio descomponiéndolo en entidades normalizadas: usuario, categoria, producto, pedido y detalle_pedido. Las dependencias e interacciones entre estas entidades se estructuran mediante asociaciones explícitas fundamentadas en claves primarias y foráneas, garantizando la consistencia y escalabilidad de los datos.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widowControl w:val="0"/>
        <w:spacing w:after="285" w:before="0" w:line="240" w:lineRule="auto"/>
        <w:rPr>
          <w:rFonts w:ascii="Arial" w:cs="Arial" w:eastAsia="Arial" w:hAnsi="Arial"/>
          <w:color w:val="1e3a8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e3a8a"/>
          <w:sz w:val="28"/>
          <w:szCs w:val="28"/>
          <w:rtl w:val="0"/>
        </w:rPr>
        <w:t xml:space="preserve">2. Normalización</w:t>
      </w:r>
    </w:p>
    <w:p w:rsidR="00000000" w:rsidDel="00000000" w:rsidP="00000000" w:rsidRDefault="00000000" w:rsidRPr="00000000" w14:paraId="0000003E">
      <w:pPr>
        <w:widowControl w:val="0"/>
        <w:spacing w:after="180" w:lineRule="auto"/>
        <w:jc w:val="both"/>
        <w:rPr>
          <w:rFonts w:ascii="Arial" w:cs="Arial" w:eastAsia="Arial" w:hAnsi="Arial"/>
          <w:color w:val="1e293b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La normalización es la técnica formal empleada en el diseño de bases de datos relacionales cuyo objetivo principal 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minimizar la redundancia de datos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y erradicar las posibles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anomalías de inserción, actualización y borrado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. El esquema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e293b"/>
          <w:sz w:val="20"/>
          <w:szCs w:val="20"/>
          <w:rtl w:val="0"/>
        </w:rPr>
        <w:t xml:space="preserve">FoodStore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cumple con los estándares de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Tercera Forma Normal (3FN)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:</w:t>
      </w:r>
    </w:p>
    <w:tbl>
      <w:tblPr>
        <w:tblStyle w:val="Table1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059.2"/>
        <w:gridCol w:w="3556.8"/>
        <w:gridCol w:w="3744"/>
        <w:tblGridChange w:id="0">
          <w:tblGrid>
            <w:gridCol w:w="2059.2"/>
            <w:gridCol w:w="3556.8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120" w:before="120" w:line="240" w:lineRule="auto"/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Forma Normal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120" w:before="120" w:line="240" w:lineRule="auto"/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Criterio Teórico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120" w:before="120" w:line="240" w:lineRule="auto"/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Implementación en FoodStore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120" w:before="12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1FN (Primera FN)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120" w:before="12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Todos los atributos contienen valores atómicos indivisibles; no existen grupos repetitivos ni atributos multivaluados en las tablas base.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120" w:before="12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Atributos atómicos directos como precio, stock, mail o nombre_usuario.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120" w:before="12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2FN (Segunda FN)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120" w:before="12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Cumple con la 1FN y cada atributo no clave posee dependencia funcional completa de la clave primaria.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120" w:before="12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En detalle_pedido, valores como cantidad y subtotal dependen de la instancia específica de la línea de pedido.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120" w:before="12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3FN (Tercera FN)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120" w:before="12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Cumple con la 2FN y no existen dependencias funcionales transitivas entre atributos no clave.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120" w:before="12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entidad categoria se independiza de producto, evitando la redundancia y desincronización de descripciones.</w:t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keepNext w:val="0"/>
        <w:keepLines w:val="0"/>
        <w:widowControl w:val="0"/>
        <w:spacing w:after="285" w:before="300" w:line="240" w:lineRule="auto"/>
        <w:rPr>
          <w:rFonts w:ascii="Arial" w:cs="Arial" w:eastAsia="Arial" w:hAnsi="Arial"/>
          <w:color w:val="1e3a8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e3a8a"/>
          <w:sz w:val="28"/>
          <w:szCs w:val="28"/>
          <w:rtl w:val="0"/>
        </w:rPr>
        <w:t xml:space="preserve">3. Restricciones e Integridad de Datos</w:t>
      </w:r>
    </w:p>
    <w:p w:rsidR="00000000" w:rsidDel="00000000" w:rsidP="00000000" w:rsidRDefault="00000000" w:rsidRPr="00000000" w14:paraId="0000004D">
      <w:pPr>
        <w:widowControl w:val="0"/>
        <w:jc w:val="both"/>
        <w:rPr>
          <w:rFonts w:ascii="Arial" w:cs="Arial" w:eastAsia="Arial" w:hAnsi="Arial"/>
          <w:color w:val="1e293b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El motor relacional aplica políticas de integridad para preservar la exactitud, coherencia y validez de la información almacenada: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6"/>
        </w:numPr>
        <w:spacing w:after="0" w:afterAutospacing="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Integridad de Entidad: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Garantizada mediante identificadores únicos primarios (BIGINT GENERATED ALWAYS AS IDENTITY PRIMARY KEY), asegurando registros únicos e irrepetibles.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Integridad Referencial: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Controlada a través de claves foráneas (REFERENCES) con cláusulas restrictivas (ON DELETE RESTRICT), impidiendo registros huérfanos en pedidos y detalles.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Integridad de Dominio: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Implementación de tipos de datos estrictos, tipos enumerados (rol, estado_pedido, forma_pago) y validaciones explícitas CHECK (precio &gt;= 0, stock &gt;= 0, cantidad &gt; 0).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6"/>
        </w:numPr>
        <w:spacing w:after="90" w:before="0" w:beforeAutospacing="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Baja Lógica vs. Baja Física: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Estrategia de borrado lógico mediante la columna eliminado BOOLEAN, protegiendo el historial contable y la trazabilidad de transacciones previas.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widowControl w:val="0"/>
        <w:spacing w:after="285" w:before="300" w:line="240" w:lineRule="auto"/>
        <w:rPr>
          <w:rFonts w:ascii="Arial" w:cs="Arial" w:eastAsia="Arial" w:hAnsi="Arial"/>
          <w:color w:val="1e3a8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e3a8a"/>
          <w:sz w:val="28"/>
          <w:szCs w:val="28"/>
          <w:rtl w:val="0"/>
        </w:rPr>
        <w:t xml:space="preserve">4. Transacciones y Propiedades ACID</w:t>
      </w:r>
    </w:p>
    <w:p w:rsidR="00000000" w:rsidDel="00000000" w:rsidP="00000000" w:rsidRDefault="00000000" w:rsidRPr="00000000" w14:paraId="00000053">
      <w:pPr>
        <w:widowControl w:val="0"/>
        <w:jc w:val="both"/>
        <w:rPr>
          <w:rFonts w:ascii="Arial" w:cs="Arial" w:eastAsia="Arial" w:hAnsi="Arial"/>
          <w:color w:val="1e293b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Una transacción es una secuencia indivisible de operaciones tratada como una única unidad lógica de trabajo. El sistema garantiza el estándar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ACID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5"/>
        </w:numPr>
        <w:spacing w:after="0" w:afterAutospacing="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Atomicidad (A):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Ejecución bajo el criterio de "todo o nada". En el procedimiento sp_crear_pedido, si ocurre un fallo o validación inválida, la transacción completa se revierte (ROLLBACK), evitando estados parciales o inconsistentes.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Consistencia (C):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Asegura que la base de datos transicione únicamente de un estado válido a otro, cumpliendo todas las reglas de negocio y restricciones relacionales.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Aislamiento (I):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Bloqueo pesimista a nivel de fila mediante SELECT ... FOR UPDATE sobre las tuplas de producto para impedir condiciones de carrera y sobreventa en operaciones concurrentes.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5"/>
        </w:numPr>
        <w:spacing w:after="90" w:before="0" w:beforeAutospacing="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Durabilidad (D):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Una vez confirmada la operación (COMMIT), las modificaciones registradas en pedidos y stock persisten permanentemente, incluso ante fallas críticas del sistema.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widowControl w:val="0"/>
        <w:spacing w:after="60" w:before="240" w:line="240" w:lineRule="auto"/>
        <w:rPr>
          <w:rFonts w:ascii="Arial" w:cs="Arial" w:eastAsia="Arial" w:hAnsi="Arial"/>
          <w:color w:val="0f172a"/>
          <w:sz w:val="40"/>
          <w:szCs w:val="40"/>
        </w:rPr>
      </w:pPr>
      <w:bookmarkStart w:colFirst="0" w:colLast="0" w:name="_s58lrsp513r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widowControl w:val="0"/>
        <w:spacing w:after="60" w:before="240" w:line="240" w:lineRule="auto"/>
        <w:rPr>
          <w:rFonts w:ascii="Arial" w:cs="Arial" w:eastAsia="Arial" w:hAnsi="Arial"/>
          <w:color w:val="0f172a"/>
          <w:sz w:val="40"/>
          <w:szCs w:val="40"/>
        </w:rPr>
      </w:pPr>
      <w:bookmarkStart w:colFirst="0" w:colLast="0" w:name="_gn5yrxl4g3n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widowControl w:val="0"/>
        <w:spacing w:after="60" w:before="240" w:line="240" w:lineRule="auto"/>
        <w:rPr>
          <w:rFonts w:ascii="Arial" w:cs="Arial" w:eastAsia="Arial" w:hAnsi="Arial"/>
          <w:color w:val="0f172a"/>
          <w:sz w:val="40"/>
          <w:szCs w:val="40"/>
        </w:rPr>
      </w:pPr>
      <w:bookmarkStart w:colFirst="0" w:colLast="0" w:name="_h71lqx5k6az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widowControl w:val="0"/>
        <w:spacing w:after="60" w:before="240" w:line="240" w:lineRule="auto"/>
        <w:rPr>
          <w:rFonts w:ascii="Arial" w:cs="Arial" w:eastAsia="Arial" w:hAnsi="Arial"/>
          <w:color w:val="0f172a"/>
          <w:sz w:val="40"/>
          <w:szCs w:val="40"/>
        </w:rPr>
      </w:pPr>
      <w:bookmarkStart w:colFirst="0" w:colLast="0" w:name="_vswcv5hxtsj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widowControl w:val="0"/>
        <w:spacing w:after="60" w:before="240" w:line="240" w:lineRule="auto"/>
        <w:rPr>
          <w:rFonts w:ascii="Arial" w:cs="Arial" w:eastAsia="Arial" w:hAnsi="Arial"/>
          <w:color w:val="0f172a"/>
          <w:sz w:val="40"/>
          <w:szCs w:val="40"/>
        </w:rPr>
      </w:pPr>
      <w:bookmarkStart w:colFirst="0" w:colLast="0" w:name="_1ne3v8oozacw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widowControl w:val="0"/>
        <w:spacing w:after="60" w:before="240" w:line="240" w:lineRule="auto"/>
        <w:rPr>
          <w:rFonts w:ascii="Arial" w:cs="Arial" w:eastAsia="Arial" w:hAnsi="Arial"/>
          <w:color w:val="0f172a"/>
          <w:sz w:val="40"/>
          <w:szCs w:val="40"/>
        </w:rPr>
      </w:pPr>
      <w:bookmarkStart w:colFirst="0" w:colLast="0" w:name="_6gaum78a2ke4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widowControl w:val="0"/>
        <w:spacing w:after="60" w:before="240" w:line="240" w:lineRule="auto"/>
        <w:rPr>
          <w:rFonts w:ascii="Arial" w:cs="Arial" w:eastAsia="Arial" w:hAnsi="Arial"/>
          <w:color w:val="0f172a"/>
          <w:sz w:val="40"/>
          <w:szCs w:val="40"/>
        </w:rPr>
      </w:pPr>
      <w:bookmarkStart w:colFirst="0" w:colLast="0" w:name="_brdi3f8r6yi2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widowControl w:val="0"/>
        <w:spacing w:after="60" w:before="240" w:line="240" w:lineRule="auto"/>
        <w:rPr>
          <w:rFonts w:ascii="Arial" w:cs="Arial" w:eastAsia="Arial" w:hAnsi="Arial"/>
          <w:color w:val="0f172a"/>
          <w:sz w:val="40"/>
          <w:szCs w:val="40"/>
        </w:rPr>
      </w:pPr>
      <w:bookmarkStart w:colFirst="0" w:colLast="0" w:name="_5czt9j8zhqpr" w:id="17"/>
      <w:bookmarkEnd w:id="17"/>
      <w:r w:rsidDel="00000000" w:rsidR="00000000" w:rsidRPr="00000000">
        <w:rPr>
          <w:rFonts w:ascii="Arial" w:cs="Arial" w:eastAsia="Arial" w:hAnsi="Arial"/>
          <w:color w:val="0f172a"/>
          <w:sz w:val="40"/>
          <w:szCs w:val="40"/>
          <w:rtl w:val="0"/>
        </w:rPr>
        <w:t xml:space="preserve">Diagrama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81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widowControl w:val="0"/>
        <w:spacing w:after="285" w:before="0" w:line="240" w:lineRule="auto"/>
        <w:rPr>
          <w:rFonts w:ascii="Arial" w:cs="Arial" w:eastAsia="Arial" w:hAnsi="Arial"/>
          <w:color w:val="1e3a8a"/>
          <w:sz w:val="28"/>
          <w:szCs w:val="28"/>
        </w:rPr>
      </w:pPr>
      <w:bookmarkStart w:colFirst="0" w:colLast="0" w:name="_mn00xpggq7lv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widowControl w:val="0"/>
        <w:spacing w:after="60" w:before="240" w:line="240" w:lineRule="auto"/>
        <w:rPr>
          <w:rFonts w:ascii="Arial" w:cs="Arial" w:eastAsia="Arial" w:hAnsi="Arial"/>
          <w:color w:val="0f172a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0f172a"/>
          <w:sz w:val="40"/>
          <w:szCs w:val="40"/>
          <w:rtl w:val="0"/>
        </w:rPr>
        <w:t xml:space="preserve">Decisiones de Diseño</w:t>
      </w:r>
    </w:p>
    <w:p w:rsidR="00000000" w:rsidDel="00000000" w:rsidP="00000000" w:rsidRDefault="00000000" w:rsidRPr="00000000" w14:paraId="00000064">
      <w:pPr>
        <w:widowControl w:val="0"/>
        <w:spacing w:after="360" w:line="240" w:lineRule="auto"/>
        <w:rPr>
          <w:rFonts w:ascii="Arial" w:cs="Arial" w:eastAsia="Arial" w:hAnsi="Arial"/>
          <w:i w:val="1"/>
          <w:iCs w:val="1"/>
          <w:color w:val="47556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475569"/>
          <w:sz w:val="22"/>
          <w:szCs w:val="22"/>
          <w:rtl w:val="0"/>
        </w:rPr>
        <w:t xml:space="preserve">Arquitectura y estrategias aplicadas en la base de datos FoodStore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widowControl w:val="0"/>
        <w:spacing w:after="285" w:before="0" w:line="240" w:lineRule="auto"/>
        <w:rPr>
          <w:rFonts w:ascii="Arial" w:cs="Arial" w:eastAsia="Arial" w:hAnsi="Arial"/>
          <w:color w:val="1e3a8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e3a8a"/>
          <w:sz w:val="28"/>
          <w:szCs w:val="28"/>
          <w:rtl w:val="0"/>
        </w:rPr>
        <w:t xml:space="preserve">1. Normalización y Descomposición Relacional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3"/>
        </w:numPr>
        <w:spacing w:after="0" w:afterAutospacing="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Alcance hasta 3FN: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El esquema fue normalizado hasta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Tercera Forma Normal (3FN)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para erradicar la redundancia y prevenir anomalías de inserción, actualización y borrado. Se separó la entidad categoria de producto para evitar inconsistencias en nombres y descripciones.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Resolución de Relación N:M: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La relación muchos a muchos entre pedido y producto se materializó a través de la tabla intermedia detalle_pedido, la cual contiene una restricción de unicidad compuesta UNIQUE (id_pedido, id_producto) para evitar ítems duplicados en una misma orden.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3"/>
        </w:numPr>
        <w:spacing w:after="90" w:before="0" w:beforeAutospacing="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Inmutabilidad de Precios Históricos: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En detalle_pedido se almacena una copia explícita del precio_unitario y subtotal al momento de la compra. Esto desacopla el registro contable de futuras variaciones de precios en la tabla producto, garantizando la validez histórica de las ventas.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widowControl w:val="0"/>
        <w:spacing w:after="285" w:before="300" w:line="240" w:lineRule="auto"/>
        <w:rPr>
          <w:rFonts w:ascii="Arial" w:cs="Arial" w:eastAsia="Arial" w:hAnsi="Arial"/>
          <w:color w:val="1e3a8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e3a8a"/>
          <w:sz w:val="28"/>
          <w:szCs w:val="28"/>
          <w:rtl w:val="0"/>
        </w:rPr>
        <w:t xml:space="preserve">2. Manejo del Total y Cálculo Automático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8"/>
        </w:numPr>
        <w:spacing w:after="0" w:afterAutospacing="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Desnormalización Controlada del Total: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La columna total se mantiene en la tabla pedido para optimizar consultas frecuentes de listado y facturación (evitando agregaciones costosas SUM() en cada lectura masiva).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Integridad Automatizada vía Triggers:</w:t>
      </w:r>
    </w:p>
    <w:p w:rsidR="00000000" w:rsidDel="00000000" w:rsidP="00000000" w:rsidRDefault="00000000" w:rsidRPr="00000000" w14:paraId="0000006C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2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trg_subtotal (BEFORE INSERT/UPDATE):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Completa automáticamente el precio_unitario tomando el valor actual de producto si no fue provisto, y calcula el subtotal = cantidad * precio_unitario a nivel de fila.</w:t>
      </w:r>
    </w:p>
    <w:p w:rsidR="00000000" w:rsidDel="00000000" w:rsidP="00000000" w:rsidRDefault="00000000" w:rsidRPr="00000000" w14:paraId="0000006D">
      <w:pPr>
        <w:widowControl w:val="0"/>
        <w:numPr>
          <w:ilvl w:val="1"/>
          <w:numId w:val="4"/>
        </w:numPr>
        <w:spacing w:after="60" w:before="0" w:beforeAutospacing="0" w:lineRule="auto"/>
        <w:ind w:left="12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trg_total_ins / trg_total_upd (AFTER STATEMENT):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Utilizan tablas de transición (REFERENCING NEW TABLE AS afectados) para recalcular el total del pedido mediante la función calcular_total_pedido() en una única pasada por sentencia, maximizando el rendimiento en inserciones por lote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e293b"/>
          <w:sz w:val="20"/>
          <w:szCs w:val="20"/>
          <w:rtl w:val="0"/>
        </w:rPr>
        <w:t xml:space="preserve">bulk inserts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widowControl w:val="0"/>
        <w:spacing w:after="285" w:before="300" w:line="240" w:lineRule="auto"/>
        <w:rPr>
          <w:rFonts w:ascii="Arial" w:cs="Arial" w:eastAsia="Arial" w:hAnsi="Arial"/>
          <w:color w:val="1e3a8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e3a8a"/>
          <w:sz w:val="28"/>
          <w:szCs w:val="28"/>
          <w:rtl w:val="0"/>
        </w:rPr>
        <w:t xml:space="preserve">3. Borrado Lógico (Soft Delete)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9"/>
        </w:numPr>
        <w:spacing w:after="0" w:afterAutospacing="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Preservación del Histórico y Trazabilidad: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En lugar de borrados físicos destructivos (DELETE), todas las entidades implementan la columna eliminado BOOLEAN NOT NULL DEFAULT FALSE.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Protección de Integridad Referencial: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Evita errores de clave foránea (ON DELETE RESTRICT) o registros huérfanos. Si un usuario o producto se da de baja del catálogo activo, los pedidos históricos facturados siguen siendo válidos y consultables.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9"/>
        </w:numPr>
        <w:spacing w:after="90" w:before="0" w:beforeAutospacing="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Abstracción con Vistas: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Se implementaron vistas especializadas (v_productos_vigentes, v_pedidos_resumen, v_categorias_vigentes) que encapsulan el filtro WHERE eliminado = FALSE, simplificando las consultas de la capa de aplicación y reduciendo el riesgo de errores humanos.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widowControl w:val="0"/>
        <w:spacing w:after="285" w:before="300" w:line="240" w:lineRule="auto"/>
        <w:rPr>
          <w:rFonts w:ascii="Arial" w:cs="Arial" w:eastAsia="Arial" w:hAnsi="Arial"/>
          <w:color w:val="1e3a8a"/>
          <w:sz w:val="28"/>
          <w:szCs w:val="28"/>
        </w:rPr>
      </w:pPr>
      <w:bookmarkStart w:colFirst="0" w:colLast="0" w:name="_16adoetrn8cj" w:id="19"/>
      <w:bookmarkEnd w:id="19"/>
      <w:r w:rsidDel="00000000" w:rsidR="00000000" w:rsidRPr="00000000">
        <w:rPr>
          <w:rFonts w:ascii="Arial" w:cs="Arial" w:eastAsia="Arial" w:hAnsi="Arial"/>
          <w:color w:val="1e3a8a"/>
          <w:sz w:val="28"/>
          <w:szCs w:val="28"/>
          <w:rtl w:val="0"/>
        </w:rPr>
        <w:t xml:space="preserve">4. Estrategia de Indexación</w:t>
      </w:r>
    </w:p>
    <w:p w:rsidR="00000000" w:rsidDel="00000000" w:rsidP="00000000" w:rsidRDefault="00000000" w:rsidRPr="00000000" w14:paraId="00000073">
      <w:pPr>
        <w:widowControl w:val="0"/>
        <w:jc w:val="both"/>
        <w:rPr>
          <w:rFonts w:ascii="Arial" w:cs="Arial" w:eastAsia="Arial" w:hAnsi="Arial"/>
          <w:color w:val="1e293b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Para optimizar los planes de ejecución y acelerar las consultas más críticas, se crearon los siguientes índices: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2"/>
        </w:numPr>
        <w:spacing w:after="0" w:afterAutospacing="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Índices en Claves Foráneas (idx_producto_id_categoria, idx_id_pedido_usuario):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PostgreSQL no indexa automáticamente las claves foráneas. Estos índices aceleran drásticamente las operaciones de combinación (JOIN) entre productos-categorías y pedidos-usuarios.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Índice Parcial (idx_producto_nombre):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Definido con la cláusula WHERE eliminado = FALSE. Al indexar únicamente los productos activos, se reduce el tamaño del árbol B-Tree en disco, optimizando la búsqueda por catálogo y reduciendo el costo de mantenimiento del índice.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2"/>
        </w:numPr>
        <w:spacing w:after="90" w:before="0" w:beforeAutospacing="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Índice Temporal (idx_pedido_fecha):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Diseñado para acelerar los filtros por rango de fechas, generación de reportes mensuales y análisis de facturación temporal.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widowControl w:val="0"/>
        <w:spacing w:after="60" w:before="240" w:line="240" w:lineRule="auto"/>
        <w:rPr>
          <w:rFonts w:ascii="Arial" w:cs="Arial" w:eastAsia="Arial" w:hAnsi="Arial"/>
          <w:color w:val="0f172a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0f172a"/>
          <w:sz w:val="40"/>
          <w:szCs w:val="40"/>
          <w:rtl w:val="0"/>
        </w:rPr>
        <w:t xml:space="preserve">Dificultades, Soluciones y Referencias</w:t>
      </w:r>
    </w:p>
    <w:p w:rsidR="00000000" w:rsidDel="00000000" w:rsidP="00000000" w:rsidRDefault="00000000" w:rsidRPr="00000000" w14:paraId="00000078">
      <w:pPr>
        <w:widowControl w:val="0"/>
        <w:spacing w:after="360" w:line="240" w:lineRule="auto"/>
        <w:rPr>
          <w:rFonts w:ascii="Arial" w:cs="Arial" w:eastAsia="Arial" w:hAnsi="Arial"/>
          <w:i w:val="1"/>
          <w:iCs w:val="1"/>
          <w:color w:val="47556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475569"/>
          <w:sz w:val="22"/>
          <w:szCs w:val="22"/>
          <w:rtl w:val="0"/>
        </w:rPr>
        <w:t xml:space="preserve">Documentación complementaria de implementación y entregables del proyecto FoodStore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widowControl w:val="0"/>
        <w:spacing w:after="285" w:before="0" w:line="240" w:lineRule="auto"/>
        <w:rPr>
          <w:rFonts w:ascii="Arial" w:cs="Arial" w:eastAsia="Arial" w:hAnsi="Arial"/>
          <w:color w:val="1e3a8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e3a8a"/>
          <w:sz w:val="28"/>
          <w:szCs w:val="28"/>
          <w:rtl w:val="0"/>
        </w:rPr>
        <w:t xml:space="preserve">1. Dificultades Encontradas y Soluciones Implementadas</w:t>
      </w:r>
    </w:p>
    <w:p w:rsidR="00000000" w:rsidDel="00000000" w:rsidP="00000000" w:rsidRDefault="00000000" w:rsidRPr="00000000" w14:paraId="0000007A">
      <w:pPr>
        <w:widowControl w:val="0"/>
        <w:spacing w:line="276" w:lineRule="auto"/>
        <w:rPr>
          <w:rFonts w:ascii="Arial" w:cs="Arial" w:eastAsia="Arial" w:hAnsi="Arial"/>
          <w:color w:val="1e3a8a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4212"/>
        <w:gridCol w:w="5148"/>
        <w:tblGridChange w:id="0">
          <w:tblGrid>
            <w:gridCol w:w="4212"/>
            <w:gridCol w:w="51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120" w:before="120" w:line="240" w:lineRule="auto"/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Dificultad / Desafío Técnico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120" w:before="120" w:line="240" w:lineRule="auto"/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Solución Implementada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Recálculo del total de pedidos en inserciones masivas</w:t>
            </w:r>
          </w:p>
          <w:p w:rsidR="00000000" w:rsidDel="00000000" w:rsidP="00000000" w:rsidRDefault="00000000" w:rsidRPr="00000000" w14:paraId="0000007F">
            <w:pPr>
              <w:widowControl w:val="0"/>
              <w:spacing w:after="120" w:before="12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Al insertar múltiples detalles en una sola sentencia, recalcular el total fila por fila mediante triggers FOR EACH ROW generaba sobrecarga y bloqueos innecesarios.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120" w:before="12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implementaron triggers a nivel de sentencia (FOR EACH STATEMENT) utilizando tablas de transición (REFERENCING NEW TABLE AS afectados) para procesar y actualizar todos los pedidos involucrados en un único paso eficiente.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Concurrencia y riesgo de sobreventa (Race Conditions)</w:t>
            </w:r>
          </w:p>
          <w:p w:rsidR="00000000" w:rsidDel="00000000" w:rsidP="00000000" w:rsidRDefault="00000000" w:rsidRPr="00000000" w14:paraId="00000082">
            <w:pPr>
              <w:widowControl w:val="0"/>
              <w:spacing w:after="120" w:before="12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En compras simultáneas sobre productos con bajo stock, existía el riesgo de vender más unidades de las disponibles físicamente.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120" w:before="12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encapsuló la lógica en el procedimiento almacenado sp_crear_pedido aplicando un bloqueo pesimista a nivel de fila con SELECT ... FOR UPDATE antes de validar y descontar el stock dentro de la misma transacción.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Pérdida de precios históricos tras variaciones de catálogo</w:t>
            </w:r>
          </w:p>
          <w:p w:rsidR="00000000" w:rsidDel="00000000" w:rsidP="00000000" w:rsidRDefault="00000000" w:rsidRPr="00000000" w14:paraId="00000085">
            <w:pPr>
              <w:widowControl w:val="0"/>
              <w:spacing w:after="120" w:before="12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Si el precio de un producto cambiaba en la tabla maestra, se alteraban retrospectivamente los totales de compras previas.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120" w:before="12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definió una copia inmutable del precio_unitario y subtotal en detalle_pedido, congelando el precio mediante el trigger trg_subtotal al momento exacto de la compra.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Mantenimiento de integridad referencial con bajas de datos</w:t>
            </w:r>
          </w:p>
          <w:p w:rsidR="00000000" w:rsidDel="00000000" w:rsidP="00000000" w:rsidRDefault="00000000" w:rsidRPr="00000000" w14:paraId="00000088">
            <w:pPr>
              <w:widowControl w:val="0"/>
              <w:spacing w:after="120" w:before="12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borrado físico (DELETE) de productos o usuarios con historial rompía las restricciones de clave foránea o borraba transacciones pasadas.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120" w:before="12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implementó un patrón de borrado lógico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Soft Delete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) con la bandera eliminado BOOLEAN y se crearon vistas especializadas (v_productos_vigentes, etc.) para abstraer los filtros activos en la capa de consumo.</w:t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keepNext w:val="0"/>
        <w:keepLines w:val="0"/>
        <w:widowControl w:val="0"/>
        <w:spacing w:after="285" w:before="300" w:line="240" w:lineRule="auto"/>
        <w:rPr>
          <w:rFonts w:ascii="Arial" w:cs="Arial" w:eastAsia="Arial" w:hAnsi="Arial"/>
          <w:color w:val="1e3a8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e3a8a"/>
          <w:sz w:val="28"/>
          <w:szCs w:val="28"/>
          <w:rtl w:val="0"/>
        </w:rPr>
        <w:t xml:space="preserve">2. Bibliografía y Webgrafía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1"/>
        </w:numPr>
        <w:spacing w:after="0" w:afterAutospacing="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Silberschatz, A., Korth, H. F., &amp; Sudarshan, S.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(2020).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e293b"/>
          <w:sz w:val="20"/>
          <w:szCs w:val="20"/>
          <w:rtl w:val="0"/>
        </w:rPr>
        <w:t xml:space="preserve">Database System Concepts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(7ma ed.). McGraw-Hill. (Conceptos de modelo relacional, normalización y propiedades ACID).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PostgreSQL Global Development Group.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(2024).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e293b"/>
          <w:sz w:val="20"/>
          <w:szCs w:val="20"/>
          <w:rtl w:val="0"/>
        </w:rPr>
        <w:t xml:space="preserve">PostgreSQL Documentation: PL/pgSQL - SQL Procedural Language, Triggers &amp; Concurrency Control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. Recuperado de la documentación oficial de PostgreSQL.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Elmasri, R., &amp; Navathe, S. B.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(2016).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e293b"/>
          <w:sz w:val="20"/>
          <w:szCs w:val="20"/>
          <w:rtl w:val="0"/>
        </w:rPr>
        <w:t xml:space="preserve">Fundamentals of Database Systems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(7ma ed.). Pearson. (Diseño conceptual, lógico e integridad referencial).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1"/>
        </w:numPr>
        <w:spacing w:after="90" w:before="0" w:beforeAutospacing="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Codd, E. F.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(1970).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e293b"/>
          <w:sz w:val="20"/>
          <w:szCs w:val="20"/>
          <w:rtl w:val="0"/>
        </w:rPr>
        <w:t xml:space="preserve">A Relational Model of Data for Large Shared Data Banks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. Communications of the ACM, 13(6), 377-387.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widowControl w:val="0"/>
        <w:spacing w:after="285" w:before="300" w:line="240" w:lineRule="auto"/>
        <w:rPr>
          <w:rFonts w:ascii="Arial" w:cs="Arial" w:eastAsia="Arial" w:hAnsi="Arial"/>
          <w:color w:val="1e3a8a"/>
          <w:sz w:val="28"/>
          <w:szCs w:val="28"/>
        </w:rPr>
      </w:pPr>
      <w:bookmarkStart w:colFirst="0" w:colLast="0" w:name="_3ht2qlqnqx8i" w:id="20"/>
      <w:bookmarkEnd w:id="20"/>
      <w:r w:rsidDel="00000000" w:rsidR="00000000" w:rsidRPr="00000000">
        <w:rPr>
          <w:rFonts w:ascii="Arial" w:cs="Arial" w:eastAsia="Arial" w:hAnsi="Arial"/>
          <w:color w:val="1e3a8a"/>
          <w:sz w:val="28"/>
          <w:szCs w:val="28"/>
          <w:rtl w:val="0"/>
        </w:rPr>
        <w:t xml:space="preserve">3. Enlaces al Repositorio y Video Demostrativo</w:t>
      </w:r>
    </w:p>
    <w:p w:rsidR="00000000" w:rsidDel="00000000" w:rsidP="00000000" w:rsidRDefault="00000000" w:rsidRPr="00000000" w14:paraId="00000090">
      <w:pPr>
        <w:widowControl w:val="0"/>
        <w:jc w:val="both"/>
        <w:rPr>
          <w:rFonts w:ascii="Arial" w:cs="Arial" w:eastAsia="Arial" w:hAnsi="Arial"/>
          <w:color w:val="1e293b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A continuación se detallan los enlaces correspondientes al código fuente, scripts de despliegue y video explicativo del proyecto: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7"/>
        </w:numPr>
        <w:spacing w:after="0" w:afterAutospacing="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Repositorio en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7"/>
        </w:numPr>
        <w:spacing w:after="120" w:before="0" w:beforeAutospacing="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Video de Demostración / Defensa: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ayfair Display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02124"/>
        <w:sz w:val="24"/>
        <w:szCs w:val="24"/>
        <w:lang w:val="es_419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60" w:lineRule="auto"/>
    </w:pPr>
    <w:rPr>
      <w:rFonts w:ascii="Roboto" w:cs="Roboto" w:eastAsia="Roboto" w:hAnsi="Roboto"/>
      <w:b w:val="1"/>
      <w:bCs w:val="1"/>
      <w:i w:val="0"/>
      <w:iCs w:val="0"/>
      <w:color w:val="1a73e8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60" w:lineRule="auto"/>
    </w:pPr>
    <w:rPr>
      <w:rFonts w:ascii="Roboto" w:cs="Roboto" w:eastAsia="Roboto" w:hAnsi="Roboto"/>
      <w:b w:val="1"/>
      <w:bCs w:val="1"/>
      <w:i w:val="0"/>
      <w:iCs w:val="0"/>
      <w:color w:val="3c4043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ayfair Display" w:cs="Playfair Display" w:eastAsia="Playfair Display" w:hAnsi="Playfair Display"/>
      <w:b w:val="1"/>
      <w:bCs w:val="1"/>
      <w:i w:val="0"/>
      <w:iCs w:val="0"/>
      <w:color w:val="003366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Roboto" w:cs="Roboto" w:eastAsia="Roboto" w:hAnsi="Roboto"/>
      <w:b w:val="0"/>
      <w:bCs w:val="0"/>
      <w:i w:val="1"/>
      <w:iCs w:val="1"/>
      <w:color w:val="5f6368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layfairDisplay-regular.ttf"/><Relationship Id="rId6" Type="http://schemas.openxmlformats.org/officeDocument/2006/relationships/font" Target="fonts/PlayfairDisplay-bold.ttf"/><Relationship Id="rId7" Type="http://schemas.openxmlformats.org/officeDocument/2006/relationships/font" Target="fonts/PlayfairDisplay-italic.ttf"/><Relationship Id="rId8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