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77B0A" w:rsidRDefault="00000000" w:rsidP="00513BE1">
      <w:pPr>
        <w:spacing w:after="0" w:line="360" w:lineRule="auto"/>
      </w:pPr>
      <w:r>
        <w:rPr>
          <w:rFonts w:ascii="inter" w:eastAsia="inter" w:hAnsi="inter" w:cs="inter"/>
          <w:noProof/>
          <w:color w:val="000000"/>
        </w:rPr>
        <w:drawing>
          <wp:inline distT="0" distB="0" distL="0" distR="0">
            <wp:extent cx="2420112" cy="609600"/>
            <wp:effectExtent l="0" t="0" r="0" b="0"/>
            <wp:docPr id="1" name="image-7618cee0f524b07c77134dfef5b6f1696a1630a0.png"/>
            <wp:cNvGraphicFramePr/>
            <a:graphic xmlns:a="http://schemas.openxmlformats.org/drawingml/2006/main">
              <a:graphicData uri="http://schemas.openxmlformats.org/drawingml/2006/picture">
                <pic:pic xmlns:pic="http://schemas.openxmlformats.org/drawingml/2006/picture">
                  <pic:nvPicPr>
                    <pic:cNvPr id="1" name="image-7618cee0f524b07c77134dfef5b6f1696a1630a0.png"/>
                    <pic:cNvPicPr/>
                  </pic:nvPicPr>
                  <pic:blipFill>
                    <a:blip r:embed="rId5" cstate="print"/>
                    <a:srcRect/>
                    <a:stretch>
                      <a:fillRect/>
                    </a:stretch>
                  </pic:blipFill>
                  <pic:spPr>
                    <a:xfrm>
                      <a:off x="0" y="0"/>
                      <a:ext cx="2420112" cy="609600"/>
                    </a:xfrm>
                    <a:prstGeom prst="rect">
                      <a:avLst/>
                    </a:prstGeom>
                  </pic:spPr>
                </pic:pic>
              </a:graphicData>
            </a:graphic>
          </wp:inline>
        </w:drawing>
      </w:r>
      <w:r w:rsidR="005B587A">
        <w:rPr>
          <w:noProof/>
        </w:rPr>
      </w:r>
      <w:r w:rsidR="005B587A">
        <w:rPr>
          <w:noProof/>
        </w:rPr>
        <w:pict>
          <v:rect id="_x0000_s103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rsidR="00577B0A" w:rsidRDefault="00000000">
      <w:pPr>
        <w:spacing w:before="157" w:after="157" w:line="270" w:lineRule="auto"/>
      </w:pPr>
      <w:r>
        <w:rPr>
          <w:rFonts w:ascii="inter" w:eastAsia="inter" w:hAnsi="inter" w:cs="inter"/>
          <w:b/>
          <w:color w:val="000000"/>
          <w:sz w:val="39"/>
        </w:rPr>
        <w:t>All-in-One vs. Multiple Product Integration Strategy:</w:t>
      </w:r>
    </w:p>
    <w:p w:rsidR="00577B0A" w:rsidRDefault="00000000">
      <w:pPr>
        <w:spacing w:before="315" w:after="105" w:line="360" w:lineRule="auto"/>
        <w:ind w:left="-30"/>
      </w:pPr>
      <w:r>
        <w:rPr>
          <w:rFonts w:ascii="inter" w:eastAsia="inter" w:hAnsi="inter" w:cs="inter"/>
          <w:b/>
          <w:color w:val="000000"/>
          <w:sz w:val="24"/>
        </w:rPr>
        <w:t>Analysis and Recommendations for Lumber’s White-Label HRIS Platform</w:t>
      </w:r>
    </w:p>
    <w:p w:rsidR="00577B0A" w:rsidRDefault="005B587A">
      <w:pPr>
        <w:spacing w:before="210" w:after="0" w:line="360" w:lineRule="auto"/>
      </w:pPr>
      <w:r>
        <w:rPr>
          <w:noProof/>
        </w:rPr>
      </w:r>
      <w:r>
        <w:rPr>
          <w:noProof/>
        </w:rPr>
        <w:pict>
          <v:rect id="_x0000_s103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rsidR="00577B0A" w:rsidRDefault="00000000">
      <w:pPr>
        <w:spacing w:before="315" w:after="105" w:line="360" w:lineRule="auto"/>
        <w:ind w:left="-30"/>
      </w:pPr>
      <w:r>
        <w:rPr>
          <w:rFonts w:ascii="inter" w:eastAsia="inter" w:hAnsi="inter" w:cs="inter"/>
          <w:b/>
          <w:color w:val="000000"/>
          <w:sz w:val="24"/>
        </w:rPr>
        <w:t>Executive Summary</w:t>
      </w:r>
    </w:p>
    <w:p w:rsidR="00577B0A" w:rsidRDefault="00000000">
      <w:pPr>
        <w:spacing w:after="210" w:line="360" w:lineRule="auto"/>
      </w:pPr>
      <w:r>
        <w:rPr>
          <w:rFonts w:ascii="inter" w:eastAsia="inter" w:hAnsi="inter" w:cs="inter"/>
          <w:color w:val="000000"/>
        </w:rPr>
        <w:t xml:space="preserve">This report analyzes two primary approaches for Lumber, a workforce management company, in licensing and white-labeling HRIS capabilities: (1) adopting an </w:t>
      </w:r>
      <w:r>
        <w:rPr>
          <w:rFonts w:ascii="inter" w:eastAsia="inter" w:hAnsi="inter" w:cs="inter"/>
          <w:b/>
          <w:color w:val="000000"/>
        </w:rPr>
        <w:t>all-in-one</w:t>
      </w:r>
      <w:r>
        <w:rPr>
          <w:rFonts w:ascii="inter" w:eastAsia="inter" w:hAnsi="inter" w:cs="inter"/>
          <w:color w:val="000000"/>
        </w:rPr>
        <w:t xml:space="preserve"> white-label HRIS platform versus (2) licensing multiple </w:t>
      </w:r>
      <w:r>
        <w:rPr>
          <w:rFonts w:ascii="inter" w:eastAsia="inter" w:hAnsi="inter" w:cs="inter"/>
          <w:b/>
          <w:color w:val="000000"/>
        </w:rPr>
        <w:t>best-of-breed</w:t>
      </w:r>
      <w:r>
        <w:rPr>
          <w:rFonts w:ascii="inter" w:eastAsia="inter" w:hAnsi="inter" w:cs="inter"/>
          <w:color w:val="000000"/>
        </w:rPr>
        <w:t xml:space="preserve"> specialized modules from different providers to embed and resell under Lumber’s brand. Both approaches are evaluated across key HR modules critical to Lumber’s platform need, including organizational structure, position management, leave management, performance management, talent acquisition, learning &amp; development, succession planning, compensation management, and workforce planning.</w:t>
      </w:r>
    </w:p>
    <w:p w:rsidR="00577B0A" w:rsidRDefault="005B587A">
      <w:pPr>
        <w:spacing w:before="210" w:after="0" w:line="360" w:lineRule="auto"/>
      </w:pPr>
      <w:r>
        <w:rPr>
          <w:noProof/>
        </w:rPr>
      </w:r>
      <w:r>
        <w:rPr>
          <w:noProof/>
        </w:rPr>
        <w:pict>
          <v:rect id="_x0000_s103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rsidR="00577B0A" w:rsidRDefault="00000000">
      <w:pPr>
        <w:spacing w:before="315" w:after="105" w:line="360" w:lineRule="auto"/>
        <w:ind w:left="-30"/>
      </w:pPr>
      <w:r>
        <w:rPr>
          <w:rFonts w:ascii="inter" w:eastAsia="inter" w:hAnsi="inter" w:cs="inter"/>
          <w:b/>
          <w:color w:val="000000"/>
          <w:sz w:val="24"/>
        </w:rPr>
        <w:t>Approaches Evaluated</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167"/>
        <w:gridCol w:w="7337"/>
      </w:tblGrid>
      <w:tr w:rsidR="00577B0A">
        <w:trPr>
          <w:cantSplit/>
          <w:tblCellSpacing w:w="0" w:type="dxa"/>
          <w:jc w:val="center"/>
        </w:trPr>
        <w:tc>
          <w:tcPr>
            <w:tcW w:w="0" w:type="auto"/>
            <w:tcBorders>
              <w:top w:val="single" w:sz="1" w:space="0" w:color="000000"/>
              <w:bottom w:val="single" w:sz="1" w:space="0" w:color="000000"/>
              <w:right w:val="single" w:sz="1" w:space="0" w:color="000000"/>
            </w:tcBorders>
          </w:tcPr>
          <w:p w:rsidR="00577B0A" w:rsidRDefault="00000000">
            <w:pPr>
              <w:spacing w:line="360" w:lineRule="auto"/>
            </w:pPr>
            <w:r>
              <w:rPr>
                <w:rFonts w:ascii="inter" w:eastAsia="inter" w:hAnsi="inter" w:cs="inter"/>
                <w:color w:val="000000"/>
                <w:sz w:val="17"/>
              </w:rPr>
              <w:t>Approach</w:t>
            </w:r>
          </w:p>
        </w:tc>
        <w:tc>
          <w:tcPr>
            <w:tcW w:w="0" w:type="auto"/>
            <w:tcBorders>
              <w:top w:val="single" w:sz="1" w:space="0" w:color="000000"/>
              <w:bottom w:val="single" w:sz="1" w:space="0" w:color="000000"/>
            </w:tcBorders>
          </w:tcPr>
          <w:p w:rsidR="00577B0A" w:rsidRDefault="00000000">
            <w:pPr>
              <w:spacing w:line="360" w:lineRule="auto"/>
            </w:pPr>
            <w:r>
              <w:rPr>
                <w:rFonts w:ascii="inter" w:eastAsia="inter" w:hAnsi="inter" w:cs="inter"/>
                <w:color w:val="000000"/>
                <w:sz w:val="17"/>
              </w:rPr>
              <w:t>Description</w:t>
            </w:r>
          </w:p>
        </w:tc>
      </w:tr>
      <w:tr w:rsidR="00577B0A">
        <w:trPr>
          <w:cantSplit/>
          <w:tblCellSpacing w:w="0" w:type="dxa"/>
          <w:jc w:val="center"/>
        </w:trPr>
        <w:tc>
          <w:tcPr>
            <w:tcW w:w="0" w:type="auto"/>
            <w:tcBorders>
              <w:top w:val="single" w:sz="1" w:space="0" w:color="000000"/>
              <w:bottom w:val="single" w:sz="1" w:space="0" w:color="000000"/>
              <w:right w:val="single" w:sz="1" w:space="0" w:color="000000"/>
            </w:tcBorders>
          </w:tcPr>
          <w:p w:rsidR="00577B0A" w:rsidRDefault="00000000">
            <w:pPr>
              <w:spacing w:line="360" w:lineRule="auto"/>
            </w:pPr>
            <w:r>
              <w:rPr>
                <w:rFonts w:ascii="inter" w:eastAsia="inter" w:hAnsi="inter" w:cs="inter"/>
                <w:b/>
                <w:color w:val="000000"/>
                <w:sz w:val="17"/>
              </w:rPr>
              <w:t>All-in-One White Label Licensing</w:t>
            </w:r>
          </w:p>
        </w:tc>
        <w:tc>
          <w:tcPr>
            <w:tcW w:w="0" w:type="auto"/>
            <w:tcBorders>
              <w:top w:val="single" w:sz="1" w:space="0" w:color="000000"/>
              <w:bottom w:val="single" w:sz="1" w:space="0" w:color="000000"/>
            </w:tcBorders>
          </w:tcPr>
          <w:p w:rsidR="00577B0A" w:rsidRDefault="00000000">
            <w:pPr>
              <w:spacing w:line="360" w:lineRule="auto"/>
            </w:pPr>
            <w:r>
              <w:rPr>
                <w:rFonts w:ascii="inter" w:eastAsia="inter" w:hAnsi="inter" w:cs="inter"/>
                <w:color w:val="000000"/>
                <w:sz w:val="17"/>
              </w:rPr>
              <w:t>Partnering with a single vendor offering a comprehensive HRIS solution covering most or all required modules, provided as a fully branded, turnkey system.</w:t>
            </w:r>
          </w:p>
        </w:tc>
      </w:tr>
      <w:tr w:rsidR="00577B0A">
        <w:trPr>
          <w:cantSplit/>
          <w:tblCellSpacing w:w="0" w:type="dxa"/>
          <w:jc w:val="center"/>
        </w:trPr>
        <w:tc>
          <w:tcPr>
            <w:tcW w:w="0" w:type="auto"/>
            <w:tcBorders>
              <w:top w:val="single" w:sz="1" w:space="0" w:color="000000"/>
              <w:bottom w:val="single" w:sz="1" w:space="0" w:color="000000"/>
              <w:right w:val="single" w:sz="1" w:space="0" w:color="000000"/>
            </w:tcBorders>
          </w:tcPr>
          <w:p w:rsidR="00577B0A" w:rsidRDefault="00000000">
            <w:pPr>
              <w:spacing w:line="360" w:lineRule="auto"/>
            </w:pPr>
            <w:r>
              <w:rPr>
                <w:rFonts w:ascii="inter" w:eastAsia="inter" w:hAnsi="inter" w:cs="inter"/>
                <w:b/>
                <w:color w:val="000000"/>
                <w:sz w:val="17"/>
              </w:rPr>
              <w:t>Multi-Provider Best-of-Breed Licensing</w:t>
            </w:r>
          </w:p>
        </w:tc>
        <w:tc>
          <w:tcPr>
            <w:tcW w:w="0" w:type="auto"/>
            <w:tcBorders>
              <w:top w:val="single" w:sz="1" w:space="0" w:color="000000"/>
              <w:bottom w:val="single" w:sz="1" w:space="0" w:color="000000"/>
            </w:tcBorders>
          </w:tcPr>
          <w:p w:rsidR="00577B0A" w:rsidRDefault="00000000">
            <w:pPr>
              <w:spacing w:line="360" w:lineRule="auto"/>
            </w:pPr>
            <w:r>
              <w:rPr>
                <w:rFonts w:ascii="inter" w:eastAsia="inter" w:hAnsi="inter" w:cs="inter"/>
                <w:color w:val="000000"/>
                <w:sz w:val="17"/>
              </w:rPr>
              <w:t>Integrating and white-labeling specialized standalone modules from multiple vendors that excel in specific HR functionalities, unifying them via APIs or middleware under Lumber’s brand.</w:t>
            </w:r>
          </w:p>
        </w:tc>
      </w:tr>
    </w:tbl>
    <w:p w:rsidR="00577B0A" w:rsidRDefault="00577B0A"/>
    <w:p w:rsidR="00577B0A" w:rsidRDefault="005B587A">
      <w:pPr>
        <w:spacing w:before="210" w:after="0" w:line="360" w:lineRule="auto"/>
      </w:pPr>
      <w:r>
        <w:rPr>
          <w:noProof/>
        </w:rPr>
      </w:r>
      <w:r>
        <w:rPr>
          <w:noProof/>
        </w:rPr>
        <w:pict>
          <v:rect id="_x0000_s103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rsidR="00577B0A" w:rsidRDefault="00000000">
      <w:pPr>
        <w:spacing w:before="315" w:after="105" w:line="360" w:lineRule="auto"/>
        <w:ind w:left="-30"/>
      </w:pPr>
      <w:r>
        <w:rPr>
          <w:rFonts w:ascii="inter" w:eastAsia="inter" w:hAnsi="inter" w:cs="inter"/>
          <w:b/>
          <w:color w:val="000000"/>
          <w:sz w:val="24"/>
        </w:rPr>
        <w:t>Comparative Analysis</w:t>
      </w:r>
    </w:p>
    <w:p w:rsidR="00577B0A" w:rsidRDefault="00000000">
      <w:pPr>
        <w:spacing w:before="315" w:after="105" w:line="360" w:lineRule="auto"/>
        <w:ind w:left="-30"/>
      </w:pPr>
      <w:r>
        <w:rPr>
          <w:rFonts w:ascii="inter" w:eastAsia="inter" w:hAnsi="inter" w:cs="inter"/>
          <w:b/>
          <w:color w:val="000000"/>
          <w:sz w:val="24"/>
        </w:rPr>
        <w:t>Integration and Time-to-Market</w:t>
      </w:r>
    </w:p>
    <w:p w:rsidR="00577B0A" w:rsidRDefault="00000000">
      <w:pPr>
        <w:numPr>
          <w:ilvl w:val="0"/>
          <w:numId w:val="1"/>
        </w:numPr>
        <w:spacing w:before="105" w:after="105" w:line="360" w:lineRule="auto"/>
      </w:pPr>
      <w:r>
        <w:rPr>
          <w:rFonts w:ascii="inter" w:eastAsia="inter" w:hAnsi="inter" w:cs="inter"/>
          <w:b/>
          <w:color w:val="000000"/>
        </w:rPr>
        <w:lastRenderedPageBreak/>
        <w:t>All-in-One:</w:t>
      </w:r>
      <w:r>
        <w:rPr>
          <w:rFonts w:ascii="inter" w:eastAsia="inter" w:hAnsi="inter" w:cs="inter"/>
          <w:color w:val="000000"/>
        </w:rPr>
        <w:t xml:space="preserve"> Faster initial deployment with pre-integrated modules and a unified user experience, minimizing internal development and integration efforts. Recommended if rapid market entry and ease of use are priorities.</w:t>
      </w:r>
    </w:p>
    <w:p w:rsidR="00577B0A" w:rsidRDefault="00000000">
      <w:pPr>
        <w:numPr>
          <w:ilvl w:val="0"/>
          <w:numId w:val="1"/>
        </w:numPr>
        <w:spacing w:before="105" w:after="105" w:line="360" w:lineRule="auto"/>
      </w:pPr>
      <w:r>
        <w:rPr>
          <w:rFonts w:ascii="inter" w:eastAsia="inter" w:hAnsi="inter" w:cs="inter"/>
          <w:b/>
          <w:color w:val="000000"/>
        </w:rPr>
        <w:t>Multi-Provider:</w:t>
      </w:r>
      <w:r>
        <w:rPr>
          <w:rFonts w:ascii="inter" w:eastAsia="inter" w:hAnsi="inter" w:cs="inter"/>
          <w:color w:val="000000"/>
        </w:rPr>
        <w:t xml:space="preserve"> Longer integration lifecycle given the need to coordinate APIs, data synchronization, and branded UI consistency among multiple systems. Allows phased rollout but requires a more experienced technical team.</w:t>
      </w:r>
    </w:p>
    <w:p w:rsidR="00577B0A" w:rsidRDefault="00000000">
      <w:pPr>
        <w:spacing w:before="315" w:after="105" w:line="360" w:lineRule="auto"/>
        <w:ind w:left="-30"/>
      </w:pPr>
      <w:r>
        <w:rPr>
          <w:rFonts w:ascii="inter" w:eastAsia="inter" w:hAnsi="inter" w:cs="inter"/>
          <w:b/>
          <w:color w:val="000000"/>
          <w:sz w:val="24"/>
        </w:rPr>
        <w:t>Customization and Feature Depth</w:t>
      </w:r>
    </w:p>
    <w:p w:rsidR="00577B0A" w:rsidRDefault="00000000">
      <w:pPr>
        <w:numPr>
          <w:ilvl w:val="0"/>
          <w:numId w:val="2"/>
        </w:numPr>
        <w:spacing w:before="105" w:after="105" w:line="360" w:lineRule="auto"/>
      </w:pPr>
      <w:r>
        <w:rPr>
          <w:rFonts w:ascii="inter" w:eastAsia="inter" w:hAnsi="inter" w:cs="inter"/>
          <w:b/>
          <w:color w:val="000000"/>
        </w:rPr>
        <w:t>All-in-One:</w:t>
      </w:r>
      <w:r>
        <w:rPr>
          <w:rFonts w:ascii="inter" w:eastAsia="inter" w:hAnsi="inter" w:cs="inter"/>
          <w:color w:val="000000"/>
        </w:rPr>
        <w:t xml:space="preserve"> Delivers standardized workflows good for broad applicability but often lacks advanced, domain-specific capabilities in complex areas like compensation modeling or workforce scenario analysis.</w:t>
      </w:r>
    </w:p>
    <w:p w:rsidR="00577B0A" w:rsidRDefault="00000000">
      <w:pPr>
        <w:numPr>
          <w:ilvl w:val="0"/>
          <w:numId w:val="2"/>
        </w:numPr>
        <w:spacing w:before="105" w:after="105" w:line="360" w:lineRule="auto"/>
      </w:pPr>
      <w:r>
        <w:rPr>
          <w:rFonts w:ascii="inter" w:eastAsia="inter" w:hAnsi="inter" w:cs="inter"/>
          <w:b/>
          <w:color w:val="000000"/>
        </w:rPr>
        <w:t>Multi-Provider:</w:t>
      </w:r>
      <w:r>
        <w:rPr>
          <w:rFonts w:ascii="inter" w:eastAsia="inter" w:hAnsi="inter" w:cs="inter"/>
          <w:color w:val="000000"/>
        </w:rPr>
        <w:t xml:space="preserve"> Enables selection of market-leading modules optimized for each function (e.g., </w:t>
      </w:r>
      <w:proofErr w:type="spellStart"/>
      <w:r>
        <w:rPr>
          <w:rFonts w:ascii="inter" w:eastAsia="inter" w:hAnsi="inter" w:cs="inter"/>
          <w:color w:val="000000"/>
        </w:rPr>
        <w:t>ChartHop</w:t>
      </w:r>
      <w:proofErr w:type="spellEnd"/>
      <w:r>
        <w:rPr>
          <w:rFonts w:ascii="inter" w:eastAsia="inter" w:hAnsi="inter" w:cs="inter"/>
          <w:color w:val="000000"/>
        </w:rPr>
        <w:t xml:space="preserve"> for org design, Greenhouse for ATS, </w:t>
      </w:r>
      <w:proofErr w:type="spellStart"/>
      <w:r>
        <w:rPr>
          <w:rFonts w:ascii="inter" w:eastAsia="inter" w:hAnsi="inter" w:cs="inter"/>
          <w:color w:val="000000"/>
        </w:rPr>
        <w:t>beqom</w:t>
      </w:r>
      <w:proofErr w:type="spellEnd"/>
      <w:r>
        <w:rPr>
          <w:rFonts w:ascii="inter" w:eastAsia="inter" w:hAnsi="inter" w:cs="inter"/>
          <w:color w:val="000000"/>
        </w:rPr>
        <w:t xml:space="preserve"> for compensation), providing best-of-class features and differentiation potential.</w:t>
      </w:r>
    </w:p>
    <w:p w:rsidR="00577B0A" w:rsidRDefault="00000000">
      <w:pPr>
        <w:spacing w:before="315" w:after="105" w:line="360" w:lineRule="auto"/>
        <w:ind w:left="-30"/>
      </w:pPr>
      <w:r>
        <w:rPr>
          <w:rFonts w:ascii="inter" w:eastAsia="inter" w:hAnsi="inter" w:cs="inter"/>
          <w:b/>
          <w:color w:val="000000"/>
          <w:sz w:val="24"/>
        </w:rPr>
        <w:t>Maintenance and Support Complexity</w:t>
      </w:r>
    </w:p>
    <w:p w:rsidR="00577B0A" w:rsidRDefault="00000000">
      <w:pPr>
        <w:numPr>
          <w:ilvl w:val="0"/>
          <w:numId w:val="3"/>
        </w:numPr>
        <w:spacing w:before="105" w:after="105" w:line="360" w:lineRule="auto"/>
      </w:pPr>
      <w:r>
        <w:rPr>
          <w:rFonts w:ascii="inter" w:eastAsia="inter" w:hAnsi="inter" w:cs="inter"/>
          <w:b/>
          <w:color w:val="000000"/>
        </w:rPr>
        <w:t>All-in-One:</w:t>
      </w:r>
      <w:r>
        <w:rPr>
          <w:rFonts w:ascii="inter" w:eastAsia="inter" w:hAnsi="inter" w:cs="inter"/>
          <w:color w:val="000000"/>
        </w:rPr>
        <w:t xml:space="preserve"> Single vendor simplifies upgrades, patches, and support, reducing operational risk and vendor management overhead.</w:t>
      </w:r>
    </w:p>
    <w:p w:rsidR="00577B0A" w:rsidRDefault="00000000">
      <w:pPr>
        <w:numPr>
          <w:ilvl w:val="0"/>
          <w:numId w:val="3"/>
        </w:numPr>
        <w:spacing w:before="105" w:after="105" w:line="360" w:lineRule="auto"/>
      </w:pPr>
      <w:r>
        <w:rPr>
          <w:rFonts w:ascii="inter" w:eastAsia="inter" w:hAnsi="inter" w:cs="inter"/>
          <w:b/>
          <w:color w:val="000000"/>
        </w:rPr>
        <w:t>Multi-Provider:</w:t>
      </w:r>
      <w:r>
        <w:rPr>
          <w:rFonts w:ascii="inter" w:eastAsia="inter" w:hAnsi="inter" w:cs="inter"/>
          <w:color w:val="000000"/>
        </w:rPr>
        <w:t xml:space="preserve"> Increases complexity with multiple contracts, support teams, update schedules, and potential integration breakages requiring ongoing vigilance.</w:t>
      </w:r>
    </w:p>
    <w:p w:rsidR="00577B0A" w:rsidRDefault="00000000">
      <w:pPr>
        <w:spacing w:before="315" w:after="105" w:line="360" w:lineRule="auto"/>
        <w:ind w:left="-30"/>
      </w:pPr>
      <w:r>
        <w:rPr>
          <w:rFonts w:ascii="inter" w:eastAsia="inter" w:hAnsi="inter" w:cs="inter"/>
          <w:b/>
          <w:color w:val="000000"/>
          <w:sz w:val="24"/>
        </w:rPr>
        <w:t>Cost Considerations</w:t>
      </w:r>
    </w:p>
    <w:p w:rsidR="00577B0A" w:rsidRDefault="00000000">
      <w:pPr>
        <w:numPr>
          <w:ilvl w:val="0"/>
          <w:numId w:val="4"/>
        </w:numPr>
        <w:spacing w:before="105" w:after="105" w:line="360" w:lineRule="auto"/>
      </w:pPr>
      <w:r>
        <w:rPr>
          <w:rFonts w:ascii="inter" w:eastAsia="inter" w:hAnsi="inter" w:cs="inter"/>
          <w:b/>
          <w:color w:val="000000"/>
        </w:rPr>
        <w:t>All-in-One:</w:t>
      </w:r>
      <w:r>
        <w:rPr>
          <w:rFonts w:ascii="inter" w:eastAsia="inter" w:hAnsi="inter" w:cs="inter"/>
          <w:color w:val="000000"/>
        </w:rPr>
        <w:t xml:space="preserve"> Predictable licensing and implementation costs but may include paying for unused modules; higher upfront commitment.</w:t>
      </w:r>
    </w:p>
    <w:p w:rsidR="00577B0A" w:rsidRDefault="00000000">
      <w:pPr>
        <w:numPr>
          <w:ilvl w:val="0"/>
          <w:numId w:val="4"/>
        </w:numPr>
        <w:spacing w:before="105" w:after="105" w:line="360" w:lineRule="auto"/>
      </w:pPr>
      <w:r>
        <w:rPr>
          <w:rFonts w:ascii="inter" w:eastAsia="inter" w:hAnsi="inter" w:cs="inter"/>
          <w:b/>
          <w:color w:val="000000"/>
        </w:rPr>
        <w:t>Multi-Provider:</w:t>
      </w:r>
      <w:r>
        <w:rPr>
          <w:rFonts w:ascii="inter" w:eastAsia="inter" w:hAnsi="inter" w:cs="inter"/>
          <w:color w:val="000000"/>
        </w:rPr>
        <w:t xml:space="preserve"> Potentially higher cumulative licensing and integration costs; however, more flexibility in module licensing and incremental investment by client segment.</w:t>
      </w:r>
    </w:p>
    <w:p w:rsidR="00577B0A" w:rsidRDefault="00000000">
      <w:pPr>
        <w:spacing w:before="315" w:after="105" w:line="360" w:lineRule="auto"/>
        <w:ind w:left="-30"/>
      </w:pPr>
      <w:r>
        <w:rPr>
          <w:rFonts w:ascii="inter" w:eastAsia="inter" w:hAnsi="inter" w:cs="inter"/>
          <w:b/>
          <w:color w:val="000000"/>
          <w:sz w:val="24"/>
        </w:rPr>
        <w:t>Brand Consistency and User Experience</w:t>
      </w:r>
    </w:p>
    <w:p w:rsidR="00577B0A" w:rsidRDefault="00000000">
      <w:pPr>
        <w:numPr>
          <w:ilvl w:val="0"/>
          <w:numId w:val="5"/>
        </w:numPr>
        <w:spacing w:before="105" w:after="105" w:line="360" w:lineRule="auto"/>
      </w:pPr>
      <w:r>
        <w:rPr>
          <w:rFonts w:ascii="inter" w:eastAsia="inter" w:hAnsi="inter" w:cs="inter"/>
          <w:b/>
          <w:color w:val="000000"/>
        </w:rPr>
        <w:t>All-in-One:</w:t>
      </w:r>
      <w:r>
        <w:rPr>
          <w:rFonts w:ascii="inter" w:eastAsia="inter" w:hAnsi="inter" w:cs="inter"/>
          <w:color w:val="000000"/>
        </w:rPr>
        <w:t xml:space="preserve"> Branded interface is consistent across all modules, enhancing usability and training efficiency.</w:t>
      </w:r>
    </w:p>
    <w:p w:rsidR="00577B0A" w:rsidRDefault="00000000">
      <w:pPr>
        <w:numPr>
          <w:ilvl w:val="0"/>
          <w:numId w:val="5"/>
        </w:numPr>
        <w:spacing w:before="105" w:after="105" w:line="360" w:lineRule="auto"/>
      </w:pPr>
      <w:r>
        <w:rPr>
          <w:rFonts w:ascii="inter" w:eastAsia="inter" w:hAnsi="inter" w:cs="inter"/>
          <w:b/>
          <w:color w:val="000000"/>
        </w:rPr>
        <w:t>Multi-Provider:</w:t>
      </w:r>
      <w:r>
        <w:rPr>
          <w:rFonts w:ascii="inter" w:eastAsia="inter" w:hAnsi="inter" w:cs="inter"/>
          <w:color w:val="000000"/>
        </w:rPr>
        <w:t xml:space="preserve"> Requires more engineering effort to harmonize UX and avoid fragmented user interfaces, potentially impacting client perception.</w:t>
      </w:r>
    </w:p>
    <w:p w:rsidR="00577B0A" w:rsidRDefault="00000000">
      <w:pPr>
        <w:spacing w:before="315" w:after="105" w:line="360" w:lineRule="auto"/>
        <w:ind w:left="-30"/>
      </w:pPr>
      <w:r>
        <w:rPr>
          <w:rFonts w:ascii="inter" w:eastAsia="inter" w:hAnsi="inter" w:cs="inter"/>
          <w:b/>
          <w:color w:val="000000"/>
          <w:sz w:val="24"/>
        </w:rPr>
        <w:lastRenderedPageBreak/>
        <w:t>Vendor Dependence and Agility</w:t>
      </w:r>
    </w:p>
    <w:p w:rsidR="00577B0A" w:rsidRDefault="00000000">
      <w:pPr>
        <w:numPr>
          <w:ilvl w:val="0"/>
          <w:numId w:val="6"/>
        </w:numPr>
        <w:spacing w:before="105" w:after="105" w:line="360" w:lineRule="auto"/>
      </w:pPr>
      <w:r>
        <w:rPr>
          <w:rFonts w:ascii="inter" w:eastAsia="inter" w:hAnsi="inter" w:cs="inter"/>
          <w:b/>
          <w:color w:val="000000"/>
        </w:rPr>
        <w:t>All-in-One:</w:t>
      </w:r>
      <w:r>
        <w:rPr>
          <w:rFonts w:ascii="inter" w:eastAsia="inter" w:hAnsi="inter" w:cs="inter"/>
          <w:color w:val="000000"/>
        </w:rPr>
        <w:t xml:space="preserve"> Dependence on a single vendor’s roadmap limits platform agility and innovation speed.</w:t>
      </w:r>
    </w:p>
    <w:p w:rsidR="00577B0A" w:rsidRDefault="00000000">
      <w:pPr>
        <w:numPr>
          <w:ilvl w:val="0"/>
          <w:numId w:val="6"/>
        </w:numPr>
        <w:spacing w:before="105" w:after="105" w:line="360" w:lineRule="auto"/>
      </w:pPr>
      <w:r>
        <w:rPr>
          <w:rFonts w:ascii="inter" w:eastAsia="inter" w:hAnsi="inter" w:cs="inter"/>
          <w:b/>
          <w:color w:val="000000"/>
        </w:rPr>
        <w:t>Multi-Provider:</w:t>
      </w:r>
      <w:r>
        <w:rPr>
          <w:rFonts w:ascii="inter" w:eastAsia="inter" w:hAnsi="inter" w:cs="inter"/>
          <w:color w:val="000000"/>
        </w:rPr>
        <w:t xml:space="preserve"> Greater agility with the ability to swap or upgrade modules independently as client needs evolve.</w:t>
      </w:r>
    </w:p>
    <w:p w:rsidR="00577B0A" w:rsidRDefault="005B587A">
      <w:pPr>
        <w:spacing w:before="210" w:after="0" w:line="360" w:lineRule="auto"/>
      </w:pPr>
      <w:r>
        <w:rPr>
          <w:noProof/>
        </w:rPr>
      </w:r>
      <w:r>
        <w:rPr>
          <w:noProof/>
        </w:rPr>
        <w:pict>
          <v:rect id="_x0000_s103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rsidR="00577B0A" w:rsidRDefault="00000000">
      <w:pPr>
        <w:spacing w:before="315" w:after="105" w:line="360" w:lineRule="auto"/>
        <w:ind w:left="-30"/>
      </w:pPr>
      <w:r>
        <w:rPr>
          <w:rFonts w:ascii="inter" w:eastAsia="inter" w:hAnsi="inter" w:cs="inter"/>
          <w:b/>
          <w:color w:val="000000"/>
          <w:sz w:val="24"/>
        </w:rPr>
        <w:t>Module-Specific Licensing and Build Recommendations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885"/>
        <w:gridCol w:w="2029"/>
        <w:gridCol w:w="1654"/>
        <w:gridCol w:w="3936"/>
      </w:tblGrid>
      <w:tr w:rsidR="00577B0A">
        <w:trPr>
          <w:cantSplit/>
          <w:tblCellSpacing w:w="0" w:type="dxa"/>
          <w:jc w:val="center"/>
        </w:trPr>
        <w:tc>
          <w:tcPr>
            <w:tcW w:w="0" w:type="auto"/>
            <w:tcBorders>
              <w:top w:val="single" w:sz="1" w:space="0" w:color="000000"/>
              <w:bottom w:val="single" w:sz="1" w:space="0" w:color="000000"/>
              <w:right w:val="single" w:sz="1" w:space="0" w:color="000000"/>
            </w:tcBorders>
          </w:tcPr>
          <w:p w:rsidR="00577B0A" w:rsidRDefault="00000000">
            <w:pPr>
              <w:spacing w:line="360" w:lineRule="auto"/>
            </w:pPr>
            <w:r>
              <w:rPr>
                <w:rFonts w:ascii="inter" w:eastAsia="inter" w:hAnsi="inter" w:cs="inter"/>
                <w:color w:val="000000"/>
                <w:sz w:val="17"/>
              </w:rPr>
              <w:t>Module</w:t>
            </w:r>
          </w:p>
        </w:tc>
        <w:tc>
          <w:tcPr>
            <w:tcW w:w="0" w:type="auto"/>
            <w:tcBorders>
              <w:top w:val="single" w:sz="1" w:space="0" w:color="000000"/>
              <w:bottom w:val="single" w:sz="1" w:space="0" w:color="000000"/>
              <w:right w:val="single" w:sz="1" w:space="0" w:color="000000"/>
            </w:tcBorders>
          </w:tcPr>
          <w:p w:rsidR="00577B0A" w:rsidRDefault="00000000">
            <w:pPr>
              <w:spacing w:line="360" w:lineRule="auto"/>
            </w:pPr>
            <w:r>
              <w:rPr>
                <w:rFonts w:ascii="inter" w:eastAsia="inter" w:hAnsi="inter" w:cs="inter"/>
                <w:color w:val="000000"/>
                <w:sz w:val="17"/>
              </w:rPr>
              <w:t>Recommended Licensing Model</w:t>
            </w:r>
          </w:p>
        </w:tc>
        <w:tc>
          <w:tcPr>
            <w:tcW w:w="0" w:type="auto"/>
            <w:tcBorders>
              <w:top w:val="single" w:sz="1" w:space="0" w:color="000000"/>
              <w:bottom w:val="single" w:sz="1" w:space="0" w:color="000000"/>
              <w:right w:val="single" w:sz="1" w:space="0" w:color="000000"/>
            </w:tcBorders>
          </w:tcPr>
          <w:p w:rsidR="00577B0A" w:rsidRDefault="00000000">
            <w:pPr>
              <w:spacing w:line="360" w:lineRule="auto"/>
            </w:pPr>
            <w:r>
              <w:rPr>
                <w:rFonts w:ascii="inter" w:eastAsia="inter" w:hAnsi="inter" w:cs="inter"/>
                <w:color w:val="000000"/>
                <w:sz w:val="17"/>
              </w:rPr>
              <w:t>Build vs. License for Lumber</w:t>
            </w:r>
          </w:p>
        </w:tc>
        <w:tc>
          <w:tcPr>
            <w:tcW w:w="0" w:type="auto"/>
            <w:tcBorders>
              <w:top w:val="single" w:sz="1" w:space="0" w:color="000000"/>
              <w:bottom w:val="single" w:sz="1" w:space="0" w:color="000000"/>
            </w:tcBorders>
          </w:tcPr>
          <w:p w:rsidR="00577B0A" w:rsidRDefault="00000000">
            <w:pPr>
              <w:spacing w:line="360" w:lineRule="auto"/>
            </w:pPr>
            <w:r>
              <w:rPr>
                <w:rFonts w:ascii="inter" w:eastAsia="inter" w:hAnsi="inter" w:cs="inter"/>
                <w:color w:val="000000"/>
                <w:sz w:val="17"/>
              </w:rPr>
              <w:t>Rationale</w:t>
            </w:r>
          </w:p>
        </w:tc>
      </w:tr>
      <w:tr w:rsidR="00577B0A">
        <w:trPr>
          <w:cantSplit/>
          <w:tblCellSpacing w:w="0" w:type="dxa"/>
          <w:jc w:val="center"/>
        </w:trPr>
        <w:tc>
          <w:tcPr>
            <w:tcW w:w="0" w:type="auto"/>
            <w:tcBorders>
              <w:top w:val="single" w:sz="1" w:space="0" w:color="000000"/>
              <w:bottom w:val="single" w:sz="1" w:space="0" w:color="000000"/>
              <w:right w:val="single" w:sz="1" w:space="0" w:color="000000"/>
            </w:tcBorders>
          </w:tcPr>
          <w:p w:rsidR="00577B0A" w:rsidRDefault="00000000">
            <w:pPr>
              <w:spacing w:line="360" w:lineRule="auto"/>
            </w:pPr>
            <w:r>
              <w:rPr>
                <w:rFonts w:ascii="inter" w:eastAsia="inter" w:hAnsi="inter" w:cs="inter"/>
                <w:color w:val="000000"/>
                <w:sz w:val="17"/>
              </w:rPr>
              <w:t>Organizational Structure</w:t>
            </w:r>
          </w:p>
        </w:tc>
        <w:tc>
          <w:tcPr>
            <w:tcW w:w="0" w:type="auto"/>
            <w:tcBorders>
              <w:top w:val="single" w:sz="1" w:space="0" w:color="000000"/>
              <w:bottom w:val="single" w:sz="1" w:space="0" w:color="000000"/>
              <w:right w:val="single" w:sz="1" w:space="0" w:color="000000"/>
            </w:tcBorders>
          </w:tcPr>
          <w:p w:rsidR="00577B0A" w:rsidRDefault="00000000">
            <w:pPr>
              <w:spacing w:line="360" w:lineRule="auto"/>
            </w:pPr>
            <w:r>
              <w:rPr>
                <w:rFonts w:ascii="inter" w:eastAsia="inter" w:hAnsi="inter" w:cs="inter"/>
                <w:color w:val="000000"/>
                <w:sz w:val="17"/>
              </w:rPr>
              <w:t>Standalone (License)</w:t>
            </w:r>
          </w:p>
        </w:tc>
        <w:tc>
          <w:tcPr>
            <w:tcW w:w="0" w:type="auto"/>
            <w:tcBorders>
              <w:top w:val="single" w:sz="1" w:space="0" w:color="000000"/>
              <w:bottom w:val="single" w:sz="1" w:space="0" w:color="000000"/>
              <w:right w:val="single" w:sz="1" w:space="0" w:color="000000"/>
            </w:tcBorders>
          </w:tcPr>
          <w:p w:rsidR="00577B0A" w:rsidRDefault="00000000">
            <w:pPr>
              <w:spacing w:line="360" w:lineRule="auto"/>
            </w:pPr>
            <w:r>
              <w:rPr>
                <w:rFonts w:ascii="inter" w:eastAsia="inter" w:hAnsi="inter" w:cs="inter"/>
                <w:color w:val="000000"/>
                <w:sz w:val="17"/>
              </w:rPr>
              <w:t>License</w:t>
            </w:r>
          </w:p>
        </w:tc>
        <w:tc>
          <w:tcPr>
            <w:tcW w:w="0" w:type="auto"/>
            <w:tcBorders>
              <w:top w:val="single" w:sz="1" w:space="0" w:color="000000"/>
              <w:bottom w:val="single" w:sz="1" w:space="0" w:color="000000"/>
            </w:tcBorders>
          </w:tcPr>
          <w:p w:rsidR="00577B0A" w:rsidRDefault="00000000">
            <w:pPr>
              <w:spacing w:line="360" w:lineRule="auto"/>
            </w:pPr>
            <w:r>
              <w:rPr>
                <w:rFonts w:ascii="inter" w:eastAsia="inter" w:hAnsi="inter" w:cs="inter"/>
                <w:color w:val="000000"/>
                <w:sz w:val="17"/>
              </w:rPr>
              <w:t xml:space="preserve">High complexity and visualization </w:t>
            </w:r>
            <w:proofErr w:type="gramStart"/>
            <w:r>
              <w:rPr>
                <w:rFonts w:ascii="inter" w:eastAsia="inter" w:hAnsi="inter" w:cs="inter"/>
                <w:color w:val="000000"/>
                <w:sz w:val="17"/>
              </w:rPr>
              <w:t>demands</w:t>
            </w:r>
            <w:proofErr w:type="gramEnd"/>
            <w:r>
              <w:rPr>
                <w:rFonts w:ascii="inter" w:eastAsia="inter" w:hAnsi="inter" w:cs="inter"/>
                <w:color w:val="000000"/>
                <w:sz w:val="17"/>
              </w:rPr>
              <w:t xml:space="preserve"> make it better licensed (e.g., </w:t>
            </w:r>
            <w:proofErr w:type="spellStart"/>
            <w:r>
              <w:rPr>
                <w:rFonts w:ascii="inter" w:eastAsia="inter" w:hAnsi="inter" w:cs="inter"/>
                <w:color w:val="000000"/>
                <w:sz w:val="17"/>
              </w:rPr>
              <w:t>ChartHop</w:t>
            </w:r>
            <w:proofErr w:type="spellEnd"/>
            <w:r>
              <w:rPr>
                <w:rFonts w:ascii="inter" w:eastAsia="inter" w:hAnsi="inter" w:cs="inter"/>
                <w:color w:val="000000"/>
                <w:sz w:val="17"/>
              </w:rPr>
              <w:t>).</w:t>
            </w:r>
          </w:p>
        </w:tc>
      </w:tr>
      <w:tr w:rsidR="00577B0A">
        <w:trPr>
          <w:cantSplit/>
          <w:tblCellSpacing w:w="0" w:type="dxa"/>
          <w:jc w:val="center"/>
        </w:trPr>
        <w:tc>
          <w:tcPr>
            <w:tcW w:w="0" w:type="auto"/>
            <w:tcBorders>
              <w:top w:val="single" w:sz="1" w:space="0" w:color="000000"/>
              <w:bottom w:val="single" w:sz="1" w:space="0" w:color="000000"/>
              <w:right w:val="single" w:sz="1" w:space="0" w:color="000000"/>
            </w:tcBorders>
          </w:tcPr>
          <w:p w:rsidR="00577B0A" w:rsidRDefault="00000000">
            <w:pPr>
              <w:spacing w:line="360" w:lineRule="auto"/>
            </w:pPr>
            <w:r>
              <w:rPr>
                <w:rFonts w:ascii="inter" w:eastAsia="inter" w:hAnsi="inter" w:cs="inter"/>
                <w:color w:val="000000"/>
                <w:sz w:val="17"/>
              </w:rPr>
              <w:t>Position Management</w:t>
            </w:r>
          </w:p>
        </w:tc>
        <w:tc>
          <w:tcPr>
            <w:tcW w:w="0" w:type="auto"/>
            <w:tcBorders>
              <w:top w:val="single" w:sz="1" w:space="0" w:color="000000"/>
              <w:bottom w:val="single" w:sz="1" w:space="0" w:color="000000"/>
              <w:right w:val="single" w:sz="1" w:space="0" w:color="000000"/>
            </w:tcBorders>
          </w:tcPr>
          <w:p w:rsidR="00577B0A" w:rsidRDefault="00000000">
            <w:pPr>
              <w:spacing w:line="360" w:lineRule="auto"/>
            </w:pPr>
            <w:r>
              <w:rPr>
                <w:rFonts w:ascii="inter" w:eastAsia="inter" w:hAnsi="inter" w:cs="inter"/>
                <w:color w:val="000000"/>
                <w:sz w:val="17"/>
              </w:rPr>
              <w:t>Standalone (License)</w:t>
            </w:r>
          </w:p>
        </w:tc>
        <w:tc>
          <w:tcPr>
            <w:tcW w:w="0" w:type="auto"/>
            <w:tcBorders>
              <w:top w:val="single" w:sz="1" w:space="0" w:color="000000"/>
              <w:bottom w:val="single" w:sz="1" w:space="0" w:color="000000"/>
              <w:right w:val="single" w:sz="1" w:space="0" w:color="000000"/>
            </w:tcBorders>
          </w:tcPr>
          <w:p w:rsidR="00577B0A" w:rsidRDefault="00000000">
            <w:pPr>
              <w:spacing w:line="360" w:lineRule="auto"/>
            </w:pPr>
            <w:r>
              <w:rPr>
                <w:rFonts w:ascii="inter" w:eastAsia="inter" w:hAnsi="inter" w:cs="inter"/>
                <w:color w:val="000000"/>
                <w:sz w:val="17"/>
              </w:rPr>
              <w:t>License</w:t>
            </w:r>
          </w:p>
        </w:tc>
        <w:tc>
          <w:tcPr>
            <w:tcW w:w="0" w:type="auto"/>
            <w:tcBorders>
              <w:top w:val="single" w:sz="1" w:space="0" w:color="000000"/>
              <w:bottom w:val="single" w:sz="1" w:space="0" w:color="000000"/>
            </w:tcBorders>
          </w:tcPr>
          <w:p w:rsidR="00577B0A" w:rsidRDefault="00000000">
            <w:pPr>
              <w:spacing w:line="360" w:lineRule="auto"/>
            </w:pPr>
            <w:r>
              <w:rPr>
                <w:rFonts w:ascii="inter" w:eastAsia="inter" w:hAnsi="inter" w:cs="inter"/>
                <w:color w:val="000000"/>
                <w:sz w:val="17"/>
              </w:rPr>
              <w:t>Linked to org design, complex HR logic better licensed.</w:t>
            </w:r>
          </w:p>
        </w:tc>
      </w:tr>
      <w:tr w:rsidR="00577B0A">
        <w:trPr>
          <w:cantSplit/>
          <w:tblCellSpacing w:w="0" w:type="dxa"/>
          <w:jc w:val="center"/>
        </w:trPr>
        <w:tc>
          <w:tcPr>
            <w:tcW w:w="0" w:type="auto"/>
            <w:tcBorders>
              <w:top w:val="single" w:sz="1" w:space="0" w:color="000000"/>
              <w:bottom w:val="single" w:sz="1" w:space="0" w:color="000000"/>
              <w:right w:val="single" w:sz="1" w:space="0" w:color="000000"/>
            </w:tcBorders>
          </w:tcPr>
          <w:p w:rsidR="00577B0A" w:rsidRDefault="00000000">
            <w:pPr>
              <w:spacing w:line="360" w:lineRule="auto"/>
            </w:pPr>
            <w:r>
              <w:rPr>
                <w:rFonts w:ascii="inter" w:eastAsia="inter" w:hAnsi="inter" w:cs="inter"/>
                <w:color w:val="000000"/>
                <w:sz w:val="17"/>
              </w:rPr>
              <w:t>Leave Management</w:t>
            </w:r>
          </w:p>
        </w:tc>
        <w:tc>
          <w:tcPr>
            <w:tcW w:w="0" w:type="auto"/>
            <w:tcBorders>
              <w:top w:val="single" w:sz="1" w:space="0" w:color="000000"/>
              <w:bottom w:val="single" w:sz="1" w:space="0" w:color="000000"/>
              <w:right w:val="single" w:sz="1" w:space="0" w:color="000000"/>
            </w:tcBorders>
          </w:tcPr>
          <w:p w:rsidR="00577B0A" w:rsidRDefault="00000000">
            <w:pPr>
              <w:spacing w:line="360" w:lineRule="auto"/>
            </w:pPr>
            <w:r>
              <w:rPr>
                <w:rFonts w:ascii="inter" w:eastAsia="inter" w:hAnsi="inter" w:cs="inter"/>
                <w:color w:val="000000"/>
                <w:sz w:val="17"/>
              </w:rPr>
              <w:t>Bundled (All-in-One or Build)</w:t>
            </w:r>
          </w:p>
        </w:tc>
        <w:tc>
          <w:tcPr>
            <w:tcW w:w="0" w:type="auto"/>
            <w:tcBorders>
              <w:top w:val="single" w:sz="1" w:space="0" w:color="000000"/>
              <w:bottom w:val="single" w:sz="1" w:space="0" w:color="000000"/>
              <w:right w:val="single" w:sz="1" w:space="0" w:color="000000"/>
            </w:tcBorders>
          </w:tcPr>
          <w:p w:rsidR="00577B0A" w:rsidRDefault="00000000">
            <w:pPr>
              <w:spacing w:line="360" w:lineRule="auto"/>
            </w:pPr>
            <w:r>
              <w:rPr>
                <w:rFonts w:ascii="inter" w:eastAsia="inter" w:hAnsi="inter" w:cs="inter"/>
                <w:color w:val="000000"/>
                <w:sz w:val="17"/>
              </w:rPr>
              <w:t>Build</w:t>
            </w:r>
          </w:p>
        </w:tc>
        <w:tc>
          <w:tcPr>
            <w:tcW w:w="0" w:type="auto"/>
            <w:tcBorders>
              <w:top w:val="single" w:sz="1" w:space="0" w:color="000000"/>
              <w:bottom w:val="single" w:sz="1" w:space="0" w:color="000000"/>
            </w:tcBorders>
          </w:tcPr>
          <w:p w:rsidR="00577B0A" w:rsidRDefault="00000000">
            <w:pPr>
              <w:spacing w:line="360" w:lineRule="auto"/>
            </w:pPr>
            <w:r>
              <w:rPr>
                <w:rFonts w:ascii="inter" w:eastAsia="inter" w:hAnsi="inter" w:cs="inter"/>
                <w:color w:val="000000"/>
                <w:sz w:val="17"/>
              </w:rPr>
              <w:t>Standardized processes; aligns with Lumber’s workforce management strengths.</w:t>
            </w:r>
          </w:p>
        </w:tc>
      </w:tr>
      <w:tr w:rsidR="00577B0A">
        <w:trPr>
          <w:cantSplit/>
          <w:tblCellSpacing w:w="0" w:type="dxa"/>
          <w:jc w:val="center"/>
        </w:trPr>
        <w:tc>
          <w:tcPr>
            <w:tcW w:w="0" w:type="auto"/>
            <w:tcBorders>
              <w:top w:val="single" w:sz="1" w:space="0" w:color="000000"/>
              <w:bottom w:val="single" w:sz="1" w:space="0" w:color="000000"/>
              <w:right w:val="single" w:sz="1" w:space="0" w:color="000000"/>
            </w:tcBorders>
          </w:tcPr>
          <w:p w:rsidR="00577B0A" w:rsidRDefault="00000000">
            <w:pPr>
              <w:spacing w:line="360" w:lineRule="auto"/>
            </w:pPr>
            <w:r>
              <w:rPr>
                <w:rFonts w:ascii="inter" w:eastAsia="inter" w:hAnsi="inter" w:cs="inter"/>
                <w:color w:val="000000"/>
                <w:sz w:val="17"/>
              </w:rPr>
              <w:t>Performance Management</w:t>
            </w:r>
          </w:p>
        </w:tc>
        <w:tc>
          <w:tcPr>
            <w:tcW w:w="0" w:type="auto"/>
            <w:tcBorders>
              <w:top w:val="single" w:sz="1" w:space="0" w:color="000000"/>
              <w:bottom w:val="single" w:sz="1" w:space="0" w:color="000000"/>
              <w:right w:val="single" w:sz="1" w:space="0" w:color="000000"/>
            </w:tcBorders>
          </w:tcPr>
          <w:p w:rsidR="00577B0A" w:rsidRDefault="00000000">
            <w:pPr>
              <w:spacing w:line="360" w:lineRule="auto"/>
            </w:pPr>
            <w:r>
              <w:rPr>
                <w:rFonts w:ascii="inter" w:eastAsia="inter" w:hAnsi="inter" w:cs="inter"/>
                <w:color w:val="000000"/>
                <w:sz w:val="17"/>
              </w:rPr>
              <w:t>Bundled (All-in-One or Build)</w:t>
            </w:r>
          </w:p>
        </w:tc>
        <w:tc>
          <w:tcPr>
            <w:tcW w:w="0" w:type="auto"/>
            <w:tcBorders>
              <w:top w:val="single" w:sz="1" w:space="0" w:color="000000"/>
              <w:bottom w:val="single" w:sz="1" w:space="0" w:color="000000"/>
              <w:right w:val="single" w:sz="1" w:space="0" w:color="000000"/>
            </w:tcBorders>
          </w:tcPr>
          <w:p w:rsidR="00577B0A" w:rsidRDefault="00000000">
            <w:pPr>
              <w:spacing w:line="360" w:lineRule="auto"/>
            </w:pPr>
            <w:r>
              <w:rPr>
                <w:rFonts w:ascii="inter" w:eastAsia="inter" w:hAnsi="inter" w:cs="inter"/>
                <w:color w:val="000000"/>
                <w:sz w:val="17"/>
              </w:rPr>
              <w:t>Build</w:t>
            </w:r>
          </w:p>
        </w:tc>
        <w:tc>
          <w:tcPr>
            <w:tcW w:w="0" w:type="auto"/>
            <w:tcBorders>
              <w:top w:val="single" w:sz="1" w:space="0" w:color="000000"/>
              <w:bottom w:val="single" w:sz="1" w:space="0" w:color="000000"/>
            </w:tcBorders>
          </w:tcPr>
          <w:p w:rsidR="00577B0A" w:rsidRDefault="00000000">
            <w:pPr>
              <w:spacing w:line="360" w:lineRule="auto"/>
            </w:pPr>
            <w:r>
              <w:rPr>
                <w:rFonts w:ascii="inter" w:eastAsia="inter" w:hAnsi="inter" w:cs="inter"/>
                <w:color w:val="000000"/>
                <w:sz w:val="17"/>
              </w:rPr>
              <w:t>Basic goals and reviews manageable and differentiating to build internally.</w:t>
            </w:r>
          </w:p>
        </w:tc>
      </w:tr>
      <w:tr w:rsidR="00577B0A">
        <w:trPr>
          <w:cantSplit/>
          <w:tblCellSpacing w:w="0" w:type="dxa"/>
          <w:jc w:val="center"/>
        </w:trPr>
        <w:tc>
          <w:tcPr>
            <w:tcW w:w="0" w:type="auto"/>
            <w:tcBorders>
              <w:top w:val="single" w:sz="1" w:space="0" w:color="000000"/>
              <w:bottom w:val="single" w:sz="1" w:space="0" w:color="000000"/>
              <w:right w:val="single" w:sz="1" w:space="0" w:color="000000"/>
            </w:tcBorders>
          </w:tcPr>
          <w:p w:rsidR="00577B0A" w:rsidRDefault="00000000">
            <w:pPr>
              <w:spacing w:line="360" w:lineRule="auto"/>
            </w:pPr>
            <w:r>
              <w:rPr>
                <w:rFonts w:ascii="inter" w:eastAsia="inter" w:hAnsi="inter" w:cs="inter"/>
                <w:color w:val="000000"/>
                <w:sz w:val="17"/>
              </w:rPr>
              <w:t>Talent Acquisition</w:t>
            </w:r>
          </w:p>
        </w:tc>
        <w:tc>
          <w:tcPr>
            <w:tcW w:w="0" w:type="auto"/>
            <w:tcBorders>
              <w:top w:val="single" w:sz="1" w:space="0" w:color="000000"/>
              <w:bottom w:val="single" w:sz="1" w:space="0" w:color="000000"/>
              <w:right w:val="single" w:sz="1" w:space="0" w:color="000000"/>
            </w:tcBorders>
          </w:tcPr>
          <w:p w:rsidR="00577B0A" w:rsidRDefault="00000000">
            <w:pPr>
              <w:spacing w:line="360" w:lineRule="auto"/>
            </w:pPr>
            <w:r>
              <w:rPr>
                <w:rFonts w:ascii="inter" w:eastAsia="inter" w:hAnsi="inter" w:cs="inter"/>
                <w:color w:val="000000"/>
                <w:sz w:val="17"/>
              </w:rPr>
              <w:t>Standalone (License)</w:t>
            </w:r>
          </w:p>
        </w:tc>
        <w:tc>
          <w:tcPr>
            <w:tcW w:w="0" w:type="auto"/>
            <w:tcBorders>
              <w:top w:val="single" w:sz="1" w:space="0" w:color="000000"/>
              <w:bottom w:val="single" w:sz="1" w:space="0" w:color="000000"/>
              <w:right w:val="single" w:sz="1" w:space="0" w:color="000000"/>
            </w:tcBorders>
          </w:tcPr>
          <w:p w:rsidR="00577B0A" w:rsidRDefault="00000000">
            <w:pPr>
              <w:spacing w:line="360" w:lineRule="auto"/>
            </w:pPr>
            <w:r>
              <w:rPr>
                <w:rFonts w:ascii="inter" w:eastAsia="inter" w:hAnsi="inter" w:cs="inter"/>
                <w:color w:val="000000"/>
                <w:sz w:val="17"/>
              </w:rPr>
              <w:t>License</w:t>
            </w:r>
          </w:p>
        </w:tc>
        <w:tc>
          <w:tcPr>
            <w:tcW w:w="0" w:type="auto"/>
            <w:tcBorders>
              <w:top w:val="single" w:sz="1" w:space="0" w:color="000000"/>
              <w:bottom w:val="single" w:sz="1" w:space="0" w:color="000000"/>
            </w:tcBorders>
          </w:tcPr>
          <w:p w:rsidR="00577B0A" w:rsidRDefault="00000000">
            <w:pPr>
              <w:spacing w:line="360" w:lineRule="auto"/>
            </w:pPr>
            <w:r>
              <w:rPr>
                <w:rFonts w:ascii="inter" w:eastAsia="inter" w:hAnsi="inter" w:cs="inter"/>
                <w:color w:val="000000"/>
                <w:sz w:val="17"/>
              </w:rPr>
              <w:t>ATS requires rapid innovation; better licensed (e.g., Greenhouse).</w:t>
            </w:r>
          </w:p>
        </w:tc>
      </w:tr>
      <w:tr w:rsidR="00577B0A">
        <w:trPr>
          <w:cantSplit/>
          <w:tblCellSpacing w:w="0" w:type="dxa"/>
          <w:jc w:val="center"/>
        </w:trPr>
        <w:tc>
          <w:tcPr>
            <w:tcW w:w="0" w:type="auto"/>
            <w:tcBorders>
              <w:top w:val="single" w:sz="1" w:space="0" w:color="000000"/>
              <w:bottom w:val="single" w:sz="1" w:space="0" w:color="000000"/>
              <w:right w:val="single" w:sz="1" w:space="0" w:color="000000"/>
            </w:tcBorders>
          </w:tcPr>
          <w:p w:rsidR="00577B0A" w:rsidRDefault="00000000">
            <w:pPr>
              <w:spacing w:line="360" w:lineRule="auto"/>
            </w:pPr>
            <w:r>
              <w:rPr>
                <w:rFonts w:ascii="inter" w:eastAsia="inter" w:hAnsi="inter" w:cs="inter"/>
                <w:color w:val="000000"/>
                <w:sz w:val="17"/>
              </w:rPr>
              <w:t>Learning &amp; Development</w:t>
            </w:r>
          </w:p>
        </w:tc>
        <w:tc>
          <w:tcPr>
            <w:tcW w:w="0" w:type="auto"/>
            <w:tcBorders>
              <w:top w:val="single" w:sz="1" w:space="0" w:color="000000"/>
              <w:bottom w:val="single" w:sz="1" w:space="0" w:color="000000"/>
              <w:right w:val="single" w:sz="1" w:space="0" w:color="000000"/>
            </w:tcBorders>
          </w:tcPr>
          <w:p w:rsidR="00577B0A" w:rsidRDefault="00000000">
            <w:pPr>
              <w:spacing w:line="360" w:lineRule="auto"/>
            </w:pPr>
            <w:r>
              <w:rPr>
                <w:rFonts w:ascii="inter" w:eastAsia="inter" w:hAnsi="inter" w:cs="inter"/>
                <w:color w:val="000000"/>
                <w:sz w:val="17"/>
              </w:rPr>
              <w:t>Bundled (Build or All-in-One)</w:t>
            </w:r>
          </w:p>
        </w:tc>
        <w:tc>
          <w:tcPr>
            <w:tcW w:w="0" w:type="auto"/>
            <w:tcBorders>
              <w:top w:val="single" w:sz="1" w:space="0" w:color="000000"/>
              <w:bottom w:val="single" w:sz="1" w:space="0" w:color="000000"/>
              <w:right w:val="single" w:sz="1" w:space="0" w:color="000000"/>
            </w:tcBorders>
          </w:tcPr>
          <w:p w:rsidR="00577B0A" w:rsidRDefault="00000000">
            <w:pPr>
              <w:spacing w:line="360" w:lineRule="auto"/>
            </w:pPr>
            <w:r>
              <w:rPr>
                <w:rFonts w:ascii="inter" w:eastAsia="inter" w:hAnsi="inter" w:cs="inter"/>
                <w:color w:val="000000"/>
                <w:sz w:val="17"/>
              </w:rPr>
              <w:t>Build</w:t>
            </w:r>
          </w:p>
        </w:tc>
        <w:tc>
          <w:tcPr>
            <w:tcW w:w="0" w:type="auto"/>
            <w:tcBorders>
              <w:top w:val="single" w:sz="1" w:space="0" w:color="000000"/>
              <w:bottom w:val="single" w:sz="1" w:space="0" w:color="000000"/>
            </w:tcBorders>
          </w:tcPr>
          <w:p w:rsidR="00577B0A" w:rsidRDefault="00000000">
            <w:pPr>
              <w:spacing w:line="360" w:lineRule="auto"/>
            </w:pPr>
            <w:r>
              <w:rPr>
                <w:rFonts w:ascii="inter" w:eastAsia="inter" w:hAnsi="inter" w:cs="inter"/>
                <w:color w:val="000000"/>
                <w:sz w:val="17"/>
              </w:rPr>
              <w:t>Modular LMS or integrations can be built, fitting Lumber’s platform control goals.</w:t>
            </w:r>
          </w:p>
        </w:tc>
      </w:tr>
      <w:tr w:rsidR="00577B0A">
        <w:trPr>
          <w:cantSplit/>
          <w:tblCellSpacing w:w="0" w:type="dxa"/>
          <w:jc w:val="center"/>
        </w:trPr>
        <w:tc>
          <w:tcPr>
            <w:tcW w:w="0" w:type="auto"/>
            <w:tcBorders>
              <w:top w:val="single" w:sz="1" w:space="0" w:color="000000"/>
              <w:bottom w:val="single" w:sz="1" w:space="0" w:color="000000"/>
              <w:right w:val="single" w:sz="1" w:space="0" w:color="000000"/>
            </w:tcBorders>
          </w:tcPr>
          <w:p w:rsidR="00577B0A" w:rsidRDefault="00000000">
            <w:pPr>
              <w:spacing w:line="360" w:lineRule="auto"/>
            </w:pPr>
            <w:r>
              <w:rPr>
                <w:rFonts w:ascii="inter" w:eastAsia="inter" w:hAnsi="inter" w:cs="inter"/>
                <w:color w:val="000000"/>
                <w:sz w:val="17"/>
              </w:rPr>
              <w:t>Succession Planning</w:t>
            </w:r>
          </w:p>
        </w:tc>
        <w:tc>
          <w:tcPr>
            <w:tcW w:w="0" w:type="auto"/>
            <w:tcBorders>
              <w:top w:val="single" w:sz="1" w:space="0" w:color="000000"/>
              <w:bottom w:val="single" w:sz="1" w:space="0" w:color="000000"/>
              <w:right w:val="single" w:sz="1" w:space="0" w:color="000000"/>
            </w:tcBorders>
          </w:tcPr>
          <w:p w:rsidR="00577B0A" w:rsidRDefault="00000000">
            <w:pPr>
              <w:spacing w:line="360" w:lineRule="auto"/>
            </w:pPr>
            <w:r>
              <w:rPr>
                <w:rFonts w:ascii="inter" w:eastAsia="inter" w:hAnsi="inter" w:cs="inter"/>
                <w:color w:val="000000"/>
                <w:sz w:val="17"/>
              </w:rPr>
              <w:t>Standalone (License)</w:t>
            </w:r>
          </w:p>
        </w:tc>
        <w:tc>
          <w:tcPr>
            <w:tcW w:w="0" w:type="auto"/>
            <w:tcBorders>
              <w:top w:val="single" w:sz="1" w:space="0" w:color="000000"/>
              <w:bottom w:val="single" w:sz="1" w:space="0" w:color="000000"/>
              <w:right w:val="single" w:sz="1" w:space="0" w:color="000000"/>
            </w:tcBorders>
          </w:tcPr>
          <w:p w:rsidR="00577B0A" w:rsidRDefault="00000000">
            <w:pPr>
              <w:spacing w:line="360" w:lineRule="auto"/>
            </w:pPr>
            <w:r>
              <w:rPr>
                <w:rFonts w:ascii="inter" w:eastAsia="inter" w:hAnsi="inter" w:cs="inter"/>
                <w:color w:val="000000"/>
                <w:sz w:val="17"/>
              </w:rPr>
              <w:t>License</w:t>
            </w:r>
          </w:p>
        </w:tc>
        <w:tc>
          <w:tcPr>
            <w:tcW w:w="0" w:type="auto"/>
            <w:tcBorders>
              <w:top w:val="single" w:sz="1" w:space="0" w:color="000000"/>
              <w:bottom w:val="single" w:sz="1" w:space="0" w:color="000000"/>
            </w:tcBorders>
          </w:tcPr>
          <w:p w:rsidR="00577B0A" w:rsidRDefault="00000000">
            <w:pPr>
              <w:spacing w:line="360" w:lineRule="auto"/>
            </w:pPr>
            <w:r>
              <w:rPr>
                <w:rFonts w:ascii="inter" w:eastAsia="inter" w:hAnsi="inter" w:cs="inter"/>
                <w:color w:val="000000"/>
                <w:sz w:val="17"/>
              </w:rPr>
              <w:t>High specialization and analytics; license specialized vendors.</w:t>
            </w:r>
          </w:p>
        </w:tc>
      </w:tr>
      <w:tr w:rsidR="00577B0A">
        <w:trPr>
          <w:cantSplit/>
          <w:tblCellSpacing w:w="0" w:type="dxa"/>
          <w:jc w:val="center"/>
        </w:trPr>
        <w:tc>
          <w:tcPr>
            <w:tcW w:w="0" w:type="auto"/>
            <w:tcBorders>
              <w:top w:val="single" w:sz="1" w:space="0" w:color="000000"/>
              <w:bottom w:val="single" w:sz="1" w:space="0" w:color="000000"/>
              <w:right w:val="single" w:sz="1" w:space="0" w:color="000000"/>
            </w:tcBorders>
          </w:tcPr>
          <w:p w:rsidR="00577B0A" w:rsidRDefault="00000000">
            <w:pPr>
              <w:spacing w:line="360" w:lineRule="auto"/>
            </w:pPr>
            <w:r>
              <w:rPr>
                <w:rFonts w:ascii="inter" w:eastAsia="inter" w:hAnsi="inter" w:cs="inter"/>
                <w:color w:val="000000"/>
                <w:sz w:val="17"/>
              </w:rPr>
              <w:t>Compensation Management</w:t>
            </w:r>
          </w:p>
        </w:tc>
        <w:tc>
          <w:tcPr>
            <w:tcW w:w="0" w:type="auto"/>
            <w:tcBorders>
              <w:top w:val="single" w:sz="1" w:space="0" w:color="000000"/>
              <w:bottom w:val="single" w:sz="1" w:space="0" w:color="000000"/>
              <w:right w:val="single" w:sz="1" w:space="0" w:color="000000"/>
            </w:tcBorders>
          </w:tcPr>
          <w:p w:rsidR="00577B0A" w:rsidRDefault="00000000">
            <w:pPr>
              <w:spacing w:line="360" w:lineRule="auto"/>
            </w:pPr>
            <w:r>
              <w:rPr>
                <w:rFonts w:ascii="inter" w:eastAsia="inter" w:hAnsi="inter" w:cs="inter"/>
                <w:color w:val="000000"/>
                <w:sz w:val="17"/>
              </w:rPr>
              <w:t>Standalone (License)</w:t>
            </w:r>
          </w:p>
        </w:tc>
        <w:tc>
          <w:tcPr>
            <w:tcW w:w="0" w:type="auto"/>
            <w:tcBorders>
              <w:top w:val="single" w:sz="1" w:space="0" w:color="000000"/>
              <w:bottom w:val="single" w:sz="1" w:space="0" w:color="000000"/>
              <w:right w:val="single" w:sz="1" w:space="0" w:color="000000"/>
            </w:tcBorders>
          </w:tcPr>
          <w:p w:rsidR="00577B0A" w:rsidRDefault="00000000">
            <w:pPr>
              <w:spacing w:line="360" w:lineRule="auto"/>
            </w:pPr>
            <w:r>
              <w:rPr>
                <w:rFonts w:ascii="inter" w:eastAsia="inter" w:hAnsi="inter" w:cs="inter"/>
                <w:color w:val="000000"/>
                <w:sz w:val="17"/>
              </w:rPr>
              <w:t>License</w:t>
            </w:r>
          </w:p>
        </w:tc>
        <w:tc>
          <w:tcPr>
            <w:tcW w:w="0" w:type="auto"/>
            <w:tcBorders>
              <w:top w:val="single" w:sz="1" w:space="0" w:color="000000"/>
              <w:bottom w:val="single" w:sz="1" w:space="0" w:color="000000"/>
            </w:tcBorders>
          </w:tcPr>
          <w:p w:rsidR="00577B0A" w:rsidRDefault="00000000">
            <w:pPr>
              <w:spacing w:line="360" w:lineRule="auto"/>
            </w:pPr>
            <w:r>
              <w:rPr>
                <w:rFonts w:ascii="inter" w:eastAsia="inter" w:hAnsi="inter" w:cs="inter"/>
                <w:color w:val="000000"/>
                <w:sz w:val="17"/>
              </w:rPr>
              <w:t xml:space="preserve">Complex pay modeling favors dedicated compensation engines (e.g., </w:t>
            </w:r>
            <w:proofErr w:type="spellStart"/>
            <w:r>
              <w:rPr>
                <w:rFonts w:ascii="inter" w:eastAsia="inter" w:hAnsi="inter" w:cs="inter"/>
                <w:color w:val="000000"/>
                <w:sz w:val="17"/>
              </w:rPr>
              <w:t>beqom</w:t>
            </w:r>
            <w:proofErr w:type="spellEnd"/>
            <w:r>
              <w:rPr>
                <w:rFonts w:ascii="inter" w:eastAsia="inter" w:hAnsi="inter" w:cs="inter"/>
                <w:color w:val="000000"/>
                <w:sz w:val="17"/>
              </w:rPr>
              <w:t>).</w:t>
            </w:r>
          </w:p>
        </w:tc>
      </w:tr>
      <w:tr w:rsidR="00577B0A">
        <w:trPr>
          <w:cantSplit/>
          <w:tblCellSpacing w:w="0" w:type="dxa"/>
          <w:jc w:val="center"/>
        </w:trPr>
        <w:tc>
          <w:tcPr>
            <w:tcW w:w="0" w:type="auto"/>
            <w:tcBorders>
              <w:top w:val="single" w:sz="1" w:space="0" w:color="000000"/>
              <w:bottom w:val="single" w:sz="1" w:space="0" w:color="000000"/>
              <w:right w:val="single" w:sz="1" w:space="0" w:color="000000"/>
            </w:tcBorders>
          </w:tcPr>
          <w:p w:rsidR="00577B0A" w:rsidRDefault="00000000">
            <w:pPr>
              <w:spacing w:line="360" w:lineRule="auto"/>
            </w:pPr>
            <w:r>
              <w:rPr>
                <w:rFonts w:ascii="inter" w:eastAsia="inter" w:hAnsi="inter" w:cs="inter"/>
                <w:color w:val="000000"/>
                <w:sz w:val="17"/>
              </w:rPr>
              <w:t>Workforce Planning</w:t>
            </w:r>
          </w:p>
        </w:tc>
        <w:tc>
          <w:tcPr>
            <w:tcW w:w="0" w:type="auto"/>
            <w:tcBorders>
              <w:top w:val="single" w:sz="1" w:space="0" w:color="000000"/>
              <w:bottom w:val="single" w:sz="1" w:space="0" w:color="000000"/>
              <w:right w:val="single" w:sz="1" w:space="0" w:color="000000"/>
            </w:tcBorders>
          </w:tcPr>
          <w:p w:rsidR="00577B0A" w:rsidRDefault="00000000">
            <w:pPr>
              <w:spacing w:line="360" w:lineRule="auto"/>
            </w:pPr>
            <w:r>
              <w:rPr>
                <w:rFonts w:ascii="inter" w:eastAsia="inter" w:hAnsi="inter" w:cs="inter"/>
                <w:color w:val="000000"/>
                <w:sz w:val="17"/>
              </w:rPr>
              <w:t>Standalone (License)</w:t>
            </w:r>
          </w:p>
        </w:tc>
        <w:tc>
          <w:tcPr>
            <w:tcW w:w="0" w:type="auto"/>
            <w:tcBorders>
              <w:top w:val="single" w:sz="1" w:space="0" w:color="000000"/>
              <w:bottom w:val="single" w:sz="1" w:space="0" w:color="000000"/>
              <w:right w:val="single" w:sz="1" w:space="0" w:color="000000"/>
            </w:tcBorders>
          </w:tcPr>
          <w:p w:rsidR="00577B0A" w:rsidRDefault="00000000">
            <w:pPr>
              <w:spacing w:line="360" w:lineRule="auto"/>
            </w:pPr>
            <w:r>
              <w:rPr>
                <w:rFonts w:ascii="inter" w:eastAsia="inter" w:hAnsi="inter" w:cs="inter"/>
                <w:color w:val="000000"/>
                <w:sz w:val="17"/>
              </w:rPr>
              <w:t>License</w:t>
            </w:r>
          </w:p>
        </w:tc>
        <w:tc>
          <w:tcPr>
            <w:tcW w:w="0" w:type="auto"/>
            <w:tcBorders>
              <w:top w:val="single" w:sz="1" w:space="0" w:color="000000"/>
              <w:bottom w:val="single" w:sz="1" w:space="0" w:color="000000"/>
            </w:tcBorders>
          </w:tcPr>
          <w:p w:rsidR="00577B0A" w:rsidRDefault="00000000">
            <w:pPr>
              <w:spacing w:line="360" w:lineRule="auto"/>
            </w:pPr>
            <w:r>
              <w:rPr>
                <w:rFonts w:ascii="inter" w:eastAsia="inter" w:hAnsi="inter" w:cs="inter"/>
                <w:color w:val="000000"/>
                <w:sz w:val="17"/>
              </w:rPr>
              <w:t>Advanced forecasting best licensed for faster sophistication.</w:t>
            </w:r>
          </w:p>
        </w:tc>
      </w:tr>
    </w:tbl>
    <w:p w:rsidR="00577B0A" w:rsidRDefault="00577B0A"/>
    <w:p w:rsidR="00577B0A" w:rsidRDefault="005B587A">
      <w:pPr>
        <w:spacing w:before="210" w:after="0" w:line="360" w:lineRule="auto"/>
      </w:pPr>
      <w:r>
        <w:rPr>
          <w:noProof/>
        </w:rPr>
      </w:r>
      <w:r>
        <w:rPr>
          <w:noProof/>
        </w:rPr>
        <w:pict>
          <v:rect id="_x0000_s102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rsidR="00577B0A" w:rsidRDefault="00000000">
      <w:pPr>
        <w:spacing w:before="315" w:after="105" w:line="360" w:lineRule="auto"/>
        <w:ind w:left="-30"/>
      </w:pPr>
      <w:r>
        <w:rPr>
          <w:rFonts w:ascii="inter" w:eastAsia="inter" w:hAnsi="inter" w:cs="inter"/>
          <w:b/>
          <w:color w:val="000000"/>
          <w:sz w:val="24"/>
        </w:rPr>
        <w:t>Product Recommendations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979"/>
        <w:gridCol w:w="3621"/>
        <w:gridCol w:w="3904"/>
      </w:tblGrid>
      <w:tr w:rsidR="00577B0A">
        <w:trPr>
          <w:cantSplit/>
          <w:tblCellSpacing w:w="0" w:type="dxa"/>
          <w:jc w:val="center"/>
        </w:trPr>
        <w:tc>
          <w:tcPr>
            <w:tcW w:w="0" w:type="auto"/>
            <w:tcBorders>
              <w:top w:val="single" w:sz="1" w:space="0" w:color="000000"/>
              <w:bottom w:val="single" w:sz="1" w:space="0" w:color="000000"/>
              <w:right w:val="single" w:sz="1" w:space="0" w:color="000000"/>
            </w:tcBorders>
          </w:tcPr>
          <w:p w:rsidR="00577B0A" w:rsidRDefault="00000000">
            <w:pPr>
              <w:spacing w:line="360" w:lineRule="auto"/>
            </w:pPr>
            <w:r>
              <w:rPr>
                <w:rFonts w:ascii="inter" w:eastAsia="inter" w:hAnsi="inter" w:cs="inter"/>
                <w:color w:val="000000"/>
                <w:sz w:val="17"/>
              </w:rPr>
              <w:t>Type</w:t>
            </w:r>
          </w:p>
        </w:tc>
        <w:tc>
          <w:tcPr>
            <w:tcW w:w="0" w:type="auto"/>
            <w:tcBorders>
              <w:top w:val="single" w:sz="1" w:space="0" w:color="000000"/>
              <w:bottom w:val="single" w:sz="1" w:space="0" w:color="000000"/>
              <w:right w:val="single" w:sz="1" w:space="0" w:color="000000"/>
            </w:tcBorders>
          </w:tcPr>
          <w:p w:rsidR="00577B0A" w:rsidRDefault="00000000">
            <w:pPr>
              <w:spacing w:line="360" w:lineRule="auto"/>
            </w:pPr>
            <w:r>
              <w:rPr>
                <w:rFonts w:ascii="inter" w:eastAsia="inter" w:hAnsi="inter" w:cs="inter"/>
                <w:color w:val="000000"/>
                <w:sz w:val="17"/>
              </w:rPr>
              <w:t>Recommended Solutions</w:t>
            </w:r>
          </w:p>
        </w:tc>
        <w:tc>
          <w:tcPr>
            <w:tcW w:w="0" w:type="auto"/>
            <w:tcBorders>
              <w:top w:val="single" w:sz="1" w:space="0" w:color="000000"/>
              <w:bottom w:val="single" w:sz="1" w:space="0" w:color="000000"/>
            </w:tcBorders>
          </w:tcPr>
          <w:p w:rsidR="00577B0A" w:rsidRDefault="00000000">
            <w:pPr>
              <w:spacing w:line="360" w:lineRule="auto"/>
            </w:pPr>
            <w:r>
              <w:rPr>
                <w:rFonts w:ascii="inter" w:eastAsia="inter" w:hAnsi="inter" w:cs="inter"/>
                <w:color w:val="000000"/>
                <w:sz w:val="17"/>
              </w:rPr>
              <w:t>Notes</w:t>
            </w:r>
          </w:p>
        </w:tc>
      </w:tr>
      <w:tr w:rsidR="00577B0A">
        <w:trPr>
          <w:cantSplit/>
          <w:tblCellSpacing w:w="0" w:type="dxa"/>
          <w:jc w:val="center"/>
        </w:trPr>
        <w:tc>
          <w:tcPr>
            <w:tcW w:w="0" w:type="auto"/>
            <w:tcBorders>
              <w:top w:val="single" w:sz="1" w:space="0" w:color="000000"/>
              <w:bottom w:val="single" w:sz="1" w:space="0" w:color="000000"/>
              <w:right w:val="single" w:sz="1" w:space="0" w:color="000000"/>
            </w:tcBorders>
          </w:tcPr>
          <w:p w:rsidR="00577B0A" w:rsidRDefault="00000000">
            <w:pPr>
              <w:spacing w:line="360" w:lineRule="auto"/>
            </w:pPr>
            <w:r>
              <w:rPr>
                <w:rFonts w:ascii="inter" w:eastAsia="inter" w:hAnsi="inter" w:cs="inter"/>
                <w:color w:val="000000"/>
                <w:sz w:val="17"/>
              </w:rPr>
              <w:lastRenderedPageBreak/>
              <w:t>All-in-One Platforms</w:t>
            </w:r>
          </w:p>
        </w:tc>
        <w:tc>
          <w:tcPr>
            <w:tcW w:w="0" w:type="auto"/>
            <w:tcBorders>
              <w:top w:val="single" w:sz="1" w:space="0" w:color="000000"/>
              <w:bottom w:val="single" w:sz="1" w:space="0" w:color="000000"/>
              <w:right w:val="single" w:sz="1" w:space="0" w:color="000000"/>
            </w:tcBorders>
          </w:tcPr>
          <w:p w:rsidR="00577B0A" w:rsidRDefault="00000000">
            <w:pPr>
              <w:spacing w:line="360" w:lineRule="auto"/>
            </w:pPr>
            <w:proofErr w:type="spellStart"/>
            <w:r>
              <w:rPr>
                <w:rFonts w:ascii="inter" w:eastAsia="inter" w:hAnsi="inter" w:cs="inter"/>
                <w:color w:val="000000"/>
                <w:sz w:val="17"/>
              </w:rPr>
              <w:t>AgileSoftLabs</w:t>
            </w:r>
            <w:proofErr w:type="spellEnd"/>
            <w:r>
              <w:rPr>
                <w:rFonts w:ascii="inter" w:eastAsia="inter" w:hAnsi="inter" w:cs="inter"/>
                <w:color w:val="000000"/>
                <w:sz w:val="17"/>
              </w:rPr>
              <w:t xml:space="preserve">, </w:t>
            </w:r>
            <w:proofErr w:type="spellStart"/>
            <w:r>
              <w:rPr>
                <w:rFonts w:ascii="inter" w:eastAsia="inter" w:hAnsi="inter" w:cs="inter"/>
                <w:color w:val="000000"/>
                <w:sz w:val="17"/>
              </w:rPr>
              <w:t>Playroll</w:t>
            </w:r>
            <w:proofErr w:type="spellEnd"/>
            <w:r>
              <w:rPr>
                <w:rFonts w:ascii="inter" w:eastAsia="inter" w:hAnsi="inter" w:cs="inter"/>
                <w:color w:val="000000"/>
                <w:sz w:val="17"/>
              </w:rPr>
              <w:t xml:space="preserve">, </w:t>
            </w:r>
            <w:proofErr w:type="spellStart"/>
            <w:r>
              <w:rPr>
                <w:rFonts w:ascii="inter" w:eastAsia="inter" w:hAnsi="inter" w:cs="inter"/>
                <w:color w:val="000000"/>
                <w:sz w:val="17"/>
              </w:rPr>
              <w:t>EffortlessHR</w:t>
            </w:r>
            <w:proofErr w:type="spellEnd"/>
            <w:r>
              <w:rPr>
                <w:rFonts w:ascii="inter" w:eastAsia="inter" w:hAnsi="inter" w:cs="inter"/>
                <w:color w:val="000000"/>
                <w:sz w:val="17"/>
              </w:rPr>
              <w:t xml:space="preserve">, </w:t>
            </w:r>
            <w:proofErr w:type="spellStart"/>
            <w:r>
              <w:rPr>
                <w:rFonts w:ascii="inter" w:eastAsia="inter" w:hAnsi="inter" w:cs="inter"/>
                <w:color w:val="000000"/>
                <w:sz w:val="17"/>
              </w:rPr>
              <w:t>PandaHR</w:t>
            </w:r>
            <w:proofErr w:type="spellEnd"/>
            <w:r>
              <w:rPr>
                <w:rFonts w:ascii="inter" w:eastAsia="inter" w:hAnsi="inter" w:cs="inter"/>
                <w:color w:val="000000"/>
                <w:sz w:val="17"/>
              </w:rPr>
              <w:t>, Deel</w:t>
            </w:r>
          </w:p>
        </w:tc>
        <w:tc>
          <w:tcPr>
            <w:tcW w:w="0" w:type="auto"/>
            <w:tcBorders>
              <w:top w:val="single" w:sz="1" w:space="0" w:color="000000"/>
              <w:bottom w:val="single" w:sz="1" w:space="0" w:color="000000"/>
            </w:tcBorders>
          </w:tcPr>
          <w:p w:rsidR="00577B0A" w:rsidRDefault="00000000">
            <w:pPr>
              <w:spacing w:line="360" w:lineRule="auto"/>
            </w:pPr>
            <w:r>
              <w:rPr>
                <w:rFonts w:ascii="inter" w:eastAsia="inter" w:hAnsi="inter" w:cs="inter"/>
                <w:color w:val="000000"/>
                <w:sz w:val="17"/>
              </w:rPr>
              <w:t>Rapid white-labeling, broad coverage, simple integration</w:t>
            </w:r>
          </w:p>
        </w:tc>
      </w:tr>
      <w:tr w:rsidR="00577B0A">
        <w:trPr>
          <w:cantSplit/>
          <w:tblCellSpacing w:w="0" w:type="dxa"/>
          <w:jc w:val="center"/>
        </w:trPr>
        <w:tc>
          <w:tcPr>
            <w:tcW w:w="0" w:type="auto"/>
            <w:tcBorders>
              <w:top w:val="single" w:sz="1" w:space="0" w:color="000000"/>
              <w:bottom w:val="single" w:sz="1" w:space="0" w:color="000000"/>
              <w:right w:val="single" w:sz="1" w:space="0" w:color="000000"/>
            </w:tcBorders>
          </w:tcPr>
          <w:p w:rsidR="00577B0A" w:rsidRDefault="00000000">
            <w:pPr>
              <w:spacing w:line="360" w:lineRule="auto"/>
            </w:pPr>
            <w:r>
              <w:rPr>
                <w:rFonts w:ascii="inter" w:eastAsia="inter" w:hAnsi="inter" w:cs="inter"/>
                <w:color w:val="000000"/>
                <w:sz w:val="17"/>
              </w:rPr>
              <w:t>Org Structure &amp; Position</w:t>
            </w:r>
          </w:p>
        </w:tc>
        <w:tc>
          <w:tcPr>
            <w:tcW w:w="0" w:type="auto"/>
            <w:tcBorders>
              <w:top w:val="single" w:sz="1" w:space="0" w:color="000000"/>
              <w:bottom w:val="single" w:sz="1" w:space="0" w:color="000000"/>
              <w:right w:val="single" w:sz="1" w:space="0" w:color="000000"/>
            </w:tcBorders>
          </w:tcPr>
          <w:p w:rsidR="00577B0A" w:rsidRDefault="00000000">
            <w:pPr>
              <w:spacing w:line="360" w:lineRule="auto"/>
            </w:pPr>
            <w:proofErr w:type="spellStart"/>
            <w:r>
              <w:rPr>
                <w:rFonts w:ascii="inter" w:eastAsia="inter" w:hAnsi="inter" w:cs="inter"/>
                <w:color w:val="000000"/>
                <w:sz w:val="17"/>
              </w:rPr>
              <w:t>ChartHop</w:t>
            </w:r>
            <w:proofErr w:type="spellEnd"/>
            <w:r>
              <w:rPr>
                <w:rFonts w:ascii="inter" w:eastAsia="inter" w:hAnsi="inter" w:cs="inter"/>
                <w:color w:val="000000"/>
                <w:sz w:val="17"/>
              </w:rPr>
              <w:t xml:space="preserve">, </w:t>
            </w:r>
            <w:proofErr w:type="spellStart"/>
            <w:r>
              <w:rPr>
                <w:rFonts w:ascii="inter" w:eastAsia="inter" w:hAnsi="inter" w:cs="inter"/>
                <w:color w:val="000000"/>
                <w:sz w:val="17"/>
              </w:rPr>
              <w:t>Agentnoon</w:t>
            </w:r>
            <w:proofErr w:type="spellEnd"/>
          </w:p>
        </w:tc>
        <w:tc>
          <w:tcPr>
            <w:tcW w:w="0" w:type="auto"/>
            <w:tcBorders>
              <w:top w:val="single" w:sz="1" w:space="0" w:color="000000"/>
              <w:bottom w:val="single" w:sz="1" w:space="0" w:color="000000"/>
            </w:tcBorders>
          </w:tcPr>
          <w:p w:rsidR="00577B0A" w:rsidRDefault="00000000">
            <w:pPr>
              <w:spacing w:line="360" w:lineRule="auto"/>
            </w:pPr>
            <w:r>
              <w:rPr>
                <w:rFonts w:ascii="inter" w:eastAsia="inter" w:hAnsi="inter" w:cs="inter"/>
                <w:color w:val="000000"/>
                <w:sz w:val="17"/>
              </w:rPr>
              <w:t>Rich org charting and headcount planning</w:t>
            </w:r>
          </w:p>
        </w:tc>
      </w:tr>
      <w:tr w:rsidR="00577B0A">
        <w:trPr>
          <w:cantSplit/>
          <w:tblCellSpacing w:w="0" w:type="dxa"/>
          <w:jc w:val="center"/>
        </w:trPr>
        <w:tc>
          <w:tcPr>
            <w:tcW w:w="0" w:type="auto"/>
            <w:tcBorders>
              <w:top w:val="single" w:sz="1" w:space="0" w:color="000000"/>
              <w:bottom w:val="single" w:sz="1" w:space="0" w:color="000000"/>
              <w:right w:val="single" w:sz="1" w:space="0" w:color="000000"/>
            </w:tcBorders>
          </w:tcPr>
          <w:p w:rsidR="00577B0A" w:rsidRDefault="00000000">
            <w:pPr>
              <w:spacing w:line="360" w:lineRule="auto"/>
            </w:pPr>
            <w:r>
              <w:rPr>
                <w:rFonts w:ascii="inter" w:eastAsia="inter" w:hAnsi="inter" w:cs="inter"/>
                <w:color w:val="000000"/>
                <w:sz w:val="17"/>
              </w:rPr>
              <w:t>Talent Acquisition</w:t>
            </w:r>
          </w:p>
        </w:tc>
        <w:tc>
          <w:tcPr>
            <w:tcW w:w="0" w:type="auto"/>
            <w:tcBorders>
              <w:top w:val="single" w:sz="1" w:space="0" w:color="000000"/>
              <w:bottom w:val="single" w:sz="1" w:space="0" w:color="000000"/>
              <w:right w:val="single" w:sz="1" w:space="0" w:color="000000"/>
            </w:tcBorders>
          </w:tcPr>
          <w:p w:rsidR="00577B0A" w:rsidRDefault="00000000">
            <w:pPr>
              <w:spacing w:line="360" w:lineRule="auto"/>
            </w:pPr>
            <w:r>
              <w:rPr>
                <w:rFonts w:ascii="inter" w:eastAsia="inter" w:hAnsi="inter" w:cs="inter"/>
                <w:color w:val="000000"/>
                <w:sz w:val="17"/>
              </w:rPr>
              <w:t>Greenhouse, Lever</w:t>
            </w:r>
          </w:p>
        </w:tc>
        <w:tc>
          <w:tcPr>
            <w:tcW w:w="0" w:type="auto"/>
            <w:tcBorders>
              <w:top w:val="single" w:sz="1" w:space="0" w:color="000000"/>
              <w:bottom w:val="single" w:sz="1" w:space="0" w:color="000000"/>
            </w:tcBorders>
          </w:tcPr>
          <w:p w:rsidR="00577B0A" w:rsidRDefault="00000000">
            <w:pPr>
              <w:spacing w:line="360" w:lineRule="auto"/>
            </w:pPr>
            <w:r>
              <w:rPr>
                <w:rFonts w:ascii="inter" w:eastAsia="inter" w:hAnsi="inter" w:cs="inter"/>
                <w:color w:val="000000"/>
                <w:sz w:val="17"/>
              </w:rPr>
              <w:t>Industry-leading ATS</w:t>
            </w:r>
          </w:p>
        </w:tc>
      </w:tr>
      <w:tr w:rsidR="00577B0A">
        <w:trPr>
          <w:cantSplit/>
          <w:tblCellSpacing w:w="0" w:type="dxa"/>
          <w:jc w:val="center"/>
        </w:trPr>
        <w:tc>
          <w:tcPr>
            <w:tcW w:w="0" w:type="auto"/>
            <w:tcBorders>
              <w:top w:val="single" w:sz="1" w:space="0" w:color="000000"/>
              <w:bottom w:val="single" w:sz="1" w:space="0" w:color="000000"/>
              <w:right w:val="single" w:sz="1" w:space="0" w:color="000000"/>
            </w:tcBorders>
          </w:tcPr>
          <w:p w:rsidR="00577B0A" w:rsidRDefault="00000000">
            <w:pPr>
              <w:spacing w:line="360" w:lineRule="auto"/>
            </w:pPr>
            <w:r>
              <w:rPr>
                <w:rFonts w:ascii="inter" w:eastAsia="inter" w:hAnsi="inter" w:cs="inter"/>
                <w:color w:val="000000"/>
                <w:sz w:val="17"/>
              </w:rPr>
              <w:t>Compensation</w:t>
            </w:r>
          </w:p>
        </w:tc>
        <w:tc>
          <w:tcPr>
            <w:tcW w:w="0" w:type="auto"/>
            <w:tcBorders>
              <w:top w:val="single" w:sz="1" w:space="0" w:color="000000"/>
              <w:bottom w:val="single" w:sz="1" w:space="0" w:color="000000"/>
              <w:right w:val="single" w:sz="1" w:space="0" w:color="000000"/>
            </w:tcBorders>
          </w:tcPr>
          <w:p w:rsidR="00577B0A" w:rsidRDefault="00000000">
            <w:pPr>
              <w:spacing w:line="360" w:lineRule="auto"/>
            </w:pPr>
            <w:proofErr w:type="spellStart"/>
            <w:r>
              <w:rPr>
                <w:rFonts w:ascii="inter" w:eastAsia="inter" w:hAnsi="inter" w:cs="inter"/>
                <w:color w:val="000000"/>
                <w:sz w:val="17"/>
              </w:rPr>
              <w:t>beqom</w:t>
            </w:r>
            <w:proofErr w:type="spellEnd"/>
            <w:r>
              <w:rPr>
                <w:rFonts w:ascii="inter" w:eastAsia="inter" w:hAnsi="inter" w:cs="inter"/>
                <w:color w:val="000000"/>
                <w:sz w:val="17"/>
              </w:rPr>
              <w:t xml:space="preserve">, </w:t>
            </w:r>
            <w:proofErr w:type="spellStart"/>
            <w:r>
              <w:rPr>
                <w:rFonts w:ascii="inter" w:eastAsia="inter" w:hAnsi="inter" w:cs="inter"/>
                <w:color w:val="000000"/>
                <w:sz w:val="17"/>
              </w:rPr>
              <w:t>PeopleFluent</w:t>
            </w:r>
            <w:proofErr w:type="spellEnd"/>
          </w:p>
        </w:tc>
        <w:tc>
          <w:tcPr>
            <w:tcW w:w="0" w:type="auto"/>
            <w:tcBorders>
              <w:top w:val="single" w:sz="1" w:space="0" w:color="000000"/>
              <w:bottom w:val="single" w:sz="1" w:space="0" w:color="000000"/>
            </w:tcBorders>
          </w:tcPr>
          <w:p w:rsidR="00577B0A" w:rsidRDefault="00000000">
            <w:pPr>
              <w:spacing w:line="360" w:lineRule="auto"/>
            </w:pPr>
            <w:r>
              <w:rPr>
                <w:rFonts w:ascii="inter" w:eastAsia="inter" w:hAnsi="inter" w:cs="inter"/>
                <w:color w:val="000000"/>
                <w:sz w:val="17"/>
              </w:rPr>
              <w:t>Advanced compensation engines</w:t>
            </w:r>
          </w:p>
        </w:tc>
      </w:tr>
      <w:tr w:rsidR="00577B0A">
        <w:trPr>
          <w:cantSplit/>
          <w:tblCellSpacing w:w="0" w:type="dxa"/>
          <w:jc w:val="center"/>
        </w:trPr>
        <w:tc>
          <w:tcPr>
            <w:tcW w:w="0" w:type="auto"/>
            <w:tcBorders>
              <w:top w:val="single" w:sz="1" w:space="0" w:color="000000"/>
              <w:bottom w:val="single" w:sz="1" w:space="0" w:color="000000"/>
              <w:right w:val="single" w:sz="1" w:space="0" w:color="000000"/>
            </w:tcBorders>
          </w:tcPr>
          <w:p w:rsidR="00577B0A" w:rsidRDefault="00000000">
            <w:pPr>
              <w:spacing w:line="360" w:lineRule="auto"/>
            </w:pPr>
            <w:r>
              <w:rPr>
                <w:rFonts w:ascii="inter" w:eastAsia="inter" w:hAnsi="inter" w:cs="inter"/>
                <w:color w:val="000000"/>
                <w:sz w:val="17"/>
              </w:rPr>
              <w:t>Workforce Planning</w:t>
            </w:r>
          </w:p>
        </w:tc>
        <w:tc>
          <w:tcPr>
            <w:tcW w:w="0" w:type="auto"/>
            <w:tcBorders>
              <w:top w:val="single" w:sz="1" w:space="0" w:color="000000"/>
              <w:bottom w:val="single" w:sz="1" w:space="0" w:color="000000"/>
              <w:right w:val="single" w:sz="1" w:space="0" w:color="000000"/>
            </w:tcBorders>
          </w:tcPr>
          <w:p w:rsidR="00577B0A" w:rsidRDefault="00000000">
            <w:pPr>
              <w:spacing w:line="360" w:lineRule="auto"/>
            </w:pPr>
            <w:proofErr w:type="spellStart"/>
            <w:r>
              <w:rPr>
                <w:rFonts w:ascii="inter" w:eastAsia="inter" w:hAnsi="inter" w:cs="inter"/>
                <w:color w:val="000000"/>
                <w:sz w:val="17"/>
              </w:rPr>
              <w:t>Agentnoon</w:t>
            </w:r>
            <w:proofErr w:type="spellEnd"/>
            <w:r>
              <w:rPr>
                <w:rFonts w:ascii="inter" w:eastAsia="inter" w:hAnsi="inter" w:cs="inter"/>
                <w:color w:val="000000"/>
                <w:sz w:val="17"/>
              </w:rPr>
              <w:t>, Anaplan</w:t>
            </w:r>
          </w:p>
        </w:tc>
        <w:tc>
          <w:tcPr>
            <w:tcW w:w="0" w:type="auto"/>
            <w:tcBorders>
              <w:top w:val="single" w:sz="1" w:space="0" w:color="000000"/>
              <w:bottom w:val="single" w:sz="1" w:space="0" w:color="000000"/>
            </w:tcBorders>
          </w:tcPr>
          <w:p w:rsidR="00577B0A" w:rsidRDefault="00000000">
            <w:pPr>
              <w:spacing w:line="360" w:lineRule="auto"/>
            </w:pPr>
            <w:r>
              <w:rPr>
                <w:rFonts w:ascii="inter" w:eastAsia="inter" w:hAnsi="inter" w:cs="inter"/>
                <w:color w:val="000000"/>
                <w:sz w:val="17"/>
              </w:rPr>
              <w:t>Real-time workforce forecasting</w:t>
            </w:r>
          </w:p>
        </w:tc>
      </w:tr>
    </w:tbl>
    <w:p w:rsidR="00577B0A" w:rsidRDefault="00577B0A"/>
    <w:p w:rsidR="00577B0A" w:rsidRDefault="005B587A">
      <w:pPr>
        <w:spacing w:before="210" w:after="0" w:line="360" w:lineRule="auto"/>
      </w:pPr>
      <w:r>
        <w:rPr>
          <w:noProof/>
        </w:rPr>
      </w:r>
      <w:r>
        <w:rPr>
          <w:noProof/>
        </w:rPr>
        <w:pict>
          <v:rect id="_x0000_s102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rsidR="00577B0A" w:rsidRDefault="00000000">
      <w:pPr>
        <w:spacing w:before="315" w:after="105" w:line="360" w:lineRule="auto"/>
        <w:ind w:left="-30"/>
      </w:pPr>
      <w:r>
        <w:rPr>
          <w:rFonts w:ascii="inter" w:eastAsia="inter" w:hAnsi="inter" w:cs="inter"/>
          <w:b/>
          <w:color w:val="000000"/>
          <w:sz w:val="24"/>
        </w:rPr>
        <w:t>Strategic Recommendation</w:t>
      </w:r>
    </w:p>
    <w:p w:rsidR="00577B0A" w:rsidRDefault="00000000">
      <w:pPr>
        <w:spacing w:after="210" w:line="360" w:lineRule="auto"/>
      </w:pPr>
      <w:r>
        <w:rPr>
          <w:rFonts w:ascii="inter" w:eastAsia="inter" w:hAnsi="inter" w:cs="inter"/>
          <w:color w:val="000000"/>
        </w:rPr>
        <w:t xml:space="preserve">For Lumber, a </w:t>
      </w:r>
      <w:r>
        <w:rPr>
          <w:rFonts w:ascii="inter" w:eastAsia="inter" w:hAnsi="inter" w:cs="inter"/>
          <w:b/>
          <w:color w:val="000000"/>
        </w:rPr>
        <w:t>hybrid approach</w:t>
      </w:r>
      <w:r>
        <w:rPr>
          <w:rFonts w:ascii="inter" w:eastAsia="inter" w:hAnsi="inter" w:cs="inter"/>
          <w:color w:val="000000"/>
        </w:rPr>
        <w:t xml:space="preserve"> is optimal: leverage an all-in-one white-label platform for rapid go-to-market on core HR functions (leave, performance, L&amp;D), while selectively licensing standalone best-of-breed modules for complex functions (org design, talent acquisition, compensation, succession, workforce planning). This balances speed, brand consistency, and advanced feature depth.</w:t>
      </w:r>
    </w:p>
    <w:p w:rsidR="00577B0A" w:rsidRDefault="00000000">
      <w:pPr>
        <w:spacing w:after="210" w:line="360" w:lineRule="auto"/>
      </w:pPr>
      <w:r>
        <w:rPr>
          <w:rFonts w:ascii="inter" w:eastAsia="inter" w:hAnsi="inter" w:cs="inter"/>
          <w:color w:val="000000"/>
        </w:rPr>
        <w:t>Investing in an integration layer to harmonize data and user experience will ensure seamless, consistent client delivery and future-proof flexibility.</w:t>
      </w:r>
    </w:p>
    <w:p w:rsidR="00577B0A" w:rsidRDefault="005B587A">
      <w:pPr>
        <w:spacing w:before="210" w:after="0" w:line="360" w:lineRule="auto"/>
      </w:pPr>
      <w:r>
        <w:rPr>
          <w:noProof/>
        </w:rPr>
      </w:r>
      <w:r>
        <w:rPr>
          <w:noProof/>
        </w:rPr>
        <w:pict>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rsidR="00577B0A" w:rsidRDefault="00000000">
      <w:pPr>
        <w:spacing w:after="210" w:line="360" w:lineRule="auto"/>
      </w:pPr>
      <w:r>
        <w:rPr>
          <w:rFonts w:ascii="inter" w:eastAsia="inter" w:hAnsi="inter" w:cs="inter"/>
          <w:color w:val="000000"/>
        </w:rPr>
        <w:br/>
      </w:r>
    </w:p>
    <w:p w:rsidR="00577B0A" w:rsidRDefault="00000000">
      <w:pPr>
        <w:spacing w:line="360" w:lineRule="auto"/>
        <w:jc w:val="center"/>
      </w:pPr>
      <w:r>
        <w:rPr>
          <w:rFonts w:ascii="inter" w:eastAsia="inter" w:hAnsi="inter" w:cs="inter"/>
          <w:color w:val="000000"/>
        </w:rPr>
        <w:t>⁂</w:t>
      </w:r>
    </w:p>
    <w:p w:rsidR="00577B0A" w:rsidRDefault="005B587A">
      <w:pPr>
        <w:spacing w:before="210" w:after="0" w:line="360" w:lineRule="auto"/>
      </w:pPr>
      <w:r>
        <w:rPr>
          <w:noProof/>
        </w:rPr>
      </w:r>
      <w:r>
        <w:rPr>
          <w:noProof/>
        </w:rPr>
        <w:pict>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bookmarkStart w:id="0" w:name="fn1"/>
    <w:bookmarkEnd w:id="0"/>
    <w:p w:rsidR="00577B0A" w:rsidRDefault="00000000">
      <w:pPr>
        <w:numPr>
          <w:ilvl w:val="0"/>
          <w:numId w:val="8"/>
        </w:numPr>
        <w:spacing w:after="210" w:line="360" w:lineRule="auto"/>
      </w:pPr>
      <w:r>
        <w:fldChar w:fldCharType="begin"/>
      </w:r>
      <w:r>
        <w:instrText>HYPERLINK "https://www.myshyft.com/blog/white-label-ess-platforms/" \h</w:instrText>
      </w:r>
      <w:r>
        <w:fldChar w:fldCharType="separate"/>
      </w:r>
      <w:r>
        <w:rPr>
          <w:rFonts w:ascii="inter" w:eastAsia="inter" w:hAnsi="inter" w:cs="inter"/>
          <w:sz w:val="18"/>
          <w:u w:val="single"/>
        </w:rPr>
        <w:t>https://www.myshyft.com/blog/white-label-ess-platforms/</w:t>
      </w:r>
      <w:r>
        <w:fldChar w:fldCharType="end"/>
      </w:r>
      <w:r>
        <w:rPr>
          <w:rFonts w:ascii="inter" w:eastAsia="inter" w:hAnsi="inter" w:cs="inter"/>
          <w:color w:val="000000"/>
          <w:sz w:val="18"/>
        </w:rPr>
        <w:t xml:space="preserve"> </w:t>
      </w:r>
    </w:p>
    <w:bookmarkStart w:id="1" w:name="fn2"/>
    <w:bookmarkEnd w:id="1"/>
    <w:p w:rsidR="00577B0A" w:rsidRDefault="00000000">
      <w:pPr>
        <w:numPr>
          <w:ilvl w:val="0"/>
          <w:numId w:val="8"/>
        </w:numPr>
        <w:spacing w:after="210" w:line="360" w:lineRule="auto"/>
      </w:pPr>
      <w:r>
        <w:fldChar w:fldCharType="begin"/>
      </w:r>
      <w:r>
        <w:instrText>HYPERLINK "https://www.paradisosolutions.com/blog/how-integrating-lms-and-hris-integration-enhances-employee-engagement/" \h</w:instrText>
      </w:r>
      <w:r>
        <w:fldChar w:fldCharType="separate"/>
      </w:r>
      <w:r>
        <w:rPr>
          <w:rFonts w:ascii="inter" w:eastAsia="inter" w:hAnsi="inter" w:cs="inter"/>
          <w:sz w:val="18"/>
          <w:u w:val="single"/>
        </w:rPr>
        <w:t>https://www.paradisosolutions.com/blog/how-integrating-lms-and-hris-integration-enhances-employee-engagement/</w:t>
      </w:r>
      <w:r>
        <w:fldChar w:fldCharType="end"/>
      </w:r>
      <w:r>
        <w:rPr>
          <w:rFonts w:ascii="inter" w:eastAsia="inter" w:hAnsi="inter" w:cs="inter"/>
          <w:color w:val="000000"/>
          <w:sz w:val="18"/>
        </w:rPr>
        <w:t xml:space="preserve"> </w:t>
      </w:r>
    </w:p>
    <w:bookmarkStart w:id="2" w:name="fn3"/>
    <w:bookmarkEnd w:id="2"/>
    <w:p w:rsidR="00577B0A" w:rsidRDefault="00000000">
      <w:pPr>
        <w:numPr>
          <w:ilvl w:val="0"/>
          <w:numId w:val="8"/>
        </w:numPr>
        <w:spacing w:after="210" w:line="360" w:lineRule="auto"/>
      </w:pPr>
      <w:r>
        <w:fldChar w:fldCharType="begin"/>
      </w:r>
      <w:r>
        <w:instrText>HYPERLINK "https://www.merge.dev/blog/white-label-ipaas" \h</w:instrText>
      </w:r>
      <w:r>
        <w:fldChar w:fldCharType="separate"/>
      </w:r>
      <w:r>
        <w:rPr>
          <w:rFonts w:ascii="inter" w:eastAsia="inter" w:hAnsi="inter" w:cs="inter"/>
          <w:sz w:val="18"/>
          <w:u w:val="single"/>
        </w:rPr>
        <w:t>https://www.merge.dev/blog/white-label-ipaas</w:t>
      </w:r>
      <w:r>
        <w:fldChar w:fldCharType="end"/>
      </w:r>
      <w:r>
        <w:rPr>
          <w:rFonts w:ascii="inter" w:eastAsia="inter" w:hAnsi="inter" w:cs="inter"/>
          <w:color w:val="000000"/>
          <w:sz w:val="18"/>
        </w:rPr>
        <w:t xml:space="preserve"> </w:t>
      </w:r>
    </w:p>
    <w:bookmarkStart w:id="3" w:name="fn4"/>
    <w:bookmarkEnd w:id="3"/>
    <w:p w:rsidR="00577B0A" w:rsidRDefault="00000000">
      <w:pPr>
        <w:numPr>
          <w:ilvl w:val="0"/>
          <w:numId w:val="8"/>
        </w:numPr>
        <w:spacing w:after="210" w:line="360" w:lineRule="auto"/>
      </w:pPr>
      <w:r>
        <w:fldChar w:fldCharType="begin"/>
      </w:r>
      <w:r>
        <w:instrText>HYPERLINK "https://www.linkedin.com/pulse/why-white-label-recruiting-game-changer-hris-wearecandidly-0ofte" \h</w:instrText>
      </w:r>
      <w:r>
        <w:fldChar w:fldCharType="separate"/>
      </w:r>
      <w:r>
        <w:rPr>
          <w:rFonts w:ascii="inter" w:eastAsia="inter" w:hAnsi="inter" w:cs="inter"/>
          <w:sz w:val="18"/>
          <w:u w:val="single"/>
        </w:rPr>
        <w:t>https://www.linkedin.com/pulse/why-white-label-recruiting-game-changer-hris-wearecandidly-0ofte</w:t>
      </w:r>
      <w:r>
        <w:fldChar w:fldCharType="end"/>
      </w:r>
      <w:r>
        <w:rPr>
          <w:rFonts w:ascii="inter" w:eastAsia="inter" w:hAnsi="inter" w:cs="inter"/>
          <w:color w:val="000000"/>
          <w:sz w:val="18"/>
        </w:rPr>
        <w:t xml:space="preserve"> </w:t>
      </w:r>
    </w:p>
    <w:bookmarkStart w:id="4" w:name="fn5"/>
    <w:bookmarkEnd w:id="4"/>
    <w:p w:rsidR="00577B0A" w:rsidRDefault="00000000">
      <w:pPr>
        <w:numPr>
          <w:ilvl w:val="0"/>
          <w:numId w:val="8"/>
        </w:numPr>
        <w:spacing w:after="210" w:line="360" w:lineRule="auto"/>
      </w:pPr>
      <w:r>
        <w:fldChar w:fldCharType="begin"/>
      </w:r>
      <w:r>
        <w:instrText>HYPERLINK "https://usrinfo.tech/unifying-performance-management-with-hris-integration-enhancing-white-collar-grey-collar-and-blue-collar-workforce-efficiency/" \h</w:instrText>
      </w:r>
      <w:r>
        <w:fldChar w:fldCharType="separate"/>
      </w:r>
      <w:r>
        <w:rPr>
          <w:rFonts w:ascii="inter" w:eastAsia="inter" w:hAnsi="inter" w:cs="inter"/>
          <w:sz w:val="18"/>
          <w:u w:val="single"/>
        </w:rPr>
        <w:t>https://usrinfo.tech/unifying-performance-management-with-hris-integration-enhancing-white-collar-grey-collar-and-blue-collar-workforce-efficiency/</w:t>
      </w:r>
      <w:r>
        <w:fldChar w:fldCharType="end"/>
      </w:r>
      <w:r>
        <w:rPr>
          <w:rFonts w:ascii="inter" w:eastAsia="inter" w:hAnsi="inter" w:cs="inter"/>
          <w:color w:val="000000"/>
          <w:sz w:val="18"/>
        </w:rPr>
        <w:t xml:space="preserve"> </w:t>
      </w:r>
    </w:p>
    <w:bookmarkStart w:id="5" w:name="fn6"/>
    <w:bookmarkEnd w:id="5"/>
    <w:p w:rsidR="00577B0A" w:rsidRDefault="00000000">
      <w:pPr>
        <w:numPr>
          <w:ilvl w:val="0"/>
          <w:numId w:val="8"/>
        </w:numPr>
        <w:spacing w:after="210" w:line="360" w:lineRule="auto"/>
      </w:pPr>
      <w:r>
        <w:fldChar w:fldCharType="begin"/>
      </w:r>
      <w:r>
        <w:instrText>HYPERLINK "https://pandahr.co/white-label-hr-software" \h</w:instrText>
      </w:r>
      <w:r>
        <w:fldChar w:fldCharType="separate"/>
      </w:r>
      <w:r>
        <w:rPr>
          <w:rFonts w:ascii="inter" w:eastAsia="inter" w:hAnsi="inter" w:cs="inter"/>
          <w:sz w:val="18"/>
          <w:u w:val="single"/>
        </w:rPr>
        <w:t>https://pandahr.co/white-label-hr-software</w:t>
      </w:r>
      <w:r>
        <w:fldChar w:fldCharType="end"/>
      </w:r>
      <w:r>
        <w:rPr>
          <w:rFonts w:ascii="inter" w:eastAsia="inter" w:hAnsi="inter" w:cs="inter"/>
          <w:color w:val="000000"/>
          <w:sz w:val="18"/>
        </w:rPr>
        <w:t xml:space="preserve"> </w:t>
      </w:r>
    </w:p>
    <w:bookmarkStart w:id="6" w:name="fn7"/>
    <w:bookmarkEnd w:id="6"/>
    <w:p w:rsidR="00577B0A" w:rsidRDefault="00000000">
      <w:pPr>
        <w:numPr>
          <w:ilvl w:val="0"/>
          <w:numId w:val="8"/>
        </w:numPr>
        <w:spacing w:after="210" w:line="360" w:lineRule="auto"/>
      </w:pPr>
      <w:r>
        <w:lastRenderedPageBreak/>
        <w:fldChar w:fldCharType="begin"/>
      </w:r>
      <w:r>
        <w:instrText>HYPERLINK "https://blog.hiringthing.com/white-label-hr-software" \h</w:instrText>
      </w:r>
      <w:r>
        <w:fldChar w:fldCharType="separate"/>
      </w:r>
      <w:r>
        <w:rPr>
          <w:rFonts w:ascii="inter" w:eastAsia="inter" w:hAnsi="inter" w:cs="inter"/>
          <w:sz w:val="18"/>
          <w:u w:val="single"/>
        </w:rPr>
        <w:t>https://blog.hiringthing.com/white-label-hr-software</w:t>
      </w:r>
      <w:r>
        <w:fldChar w:fldCharType="end"/>
      </w:r>
      <w:r>
        <w:rPr>
          <w:rFonts w:ascii="inter" w:eastAsia="inter" w:hAnsi="inter" w:cs="inter"/>
          <w:color w:val="000000"/>
          <w:sz w:val="18"/>
        </w:rPr>
        <w:t xml:space="preserve"> </w:t>
      </w:r>
    </w:p>
    <w:bookmarkStart w:id="7" w:name="fn8"/>
    <w:bookmarkEnd w:id="7"/>
    <w:p w:rsidR="00577B0A" w:rsidRDefault="00000000">
      <w:pPr>
        <w:numPr>
          <w:ilvl w:val="0"/>
          <w:numId w:val="8"/>
        </w:numPr>
        <w:spacing w:after="210" w:line="360" w:lineRule="auto"/>
      </w:pPr>
      <w:r>
        <w:fldChar w:fldCharType="begin"/>
      </w:r>
      <w:r>
        <w:instrText>HYPERLINK "https://www.talenthr.io/platform/customizations/" \h</w:instrText>
      </w:r>
      <w:r>
        <w:fldChar w:fldCharType="separate"/>
      </w:r>
      <w:r>
        <w:rPr>
          <w:rFonts w:ascii="inter" w:eastAsia="inter" w:hAnsi="inter" w:cs="inter"/>
          <w:sz w:val="18"/>
          <w:u w:val="single"/>
        </w:rPr>
        <w:t>https://www.talenthr.io/platform/customizations/</w:t>
      </w:r>
      <w:r>
        <w:fldChar w:fldCharType="end"/>
      </w:r>
      <w:r>
        <w:rPr>
          <w:rFonts w:ascii="inter" w:eastAsia="inter" w:hAnsi="inter" w:cs="inter"/>
          <w:color w:val="000000"/>
          <w:sz w:val="18"/>
        </w:rPr>
        <w:t xml:space="preserve"> </w:t>
      </w:r>
    </w:p>
    <w:bookmarkStart w:id="8" w:name="fn9"/>
    <w:bookmarkEnd w:id="8"/>
    <w:p w:rsidR="00577B0A" w:rsidRDefault="00000000">
      <w:pPr>
        <w:numPr>
          <w:ilvl w:val="0"/>
          <w:numId w:val="8"/>
        </w:numPr>
        <w:spacing w:after="210" w:line="360" w:lineRule="auto"/>
      </w:pPr>
      <w:r>
        <w:fldChar w:fldCharType="begin"/>
      </w:r>
      <w:r>
        <w:instrText>HYPERLINK "https://whitelabelwonder.com/top-5-white-label-payroll-and-hiring-software-providers-2025/" \h</w:instrText>
      </w:r>
      <w:r>
        <w:fldChar w:fldCharType="separate"/>
      </w:r>
      <w:r>
        <w:rPr>
          <w:rFonts w:ascii="inter" w:eastAsia="inter" w:hAnsi="inter" w:cs="inter"/>
          <w:sz w:val="18"/>
          <w:u w:val="single"/>
        </w:rPr>
        <w:t>https://whitelabelwonder.com/top-5-white-label-payroll-and-hiring-software-providers-2025/</w:t>
      </w:r>
      <w:r>
        <w:fldChar w:fldCharType="end"/>
      </w:r>
      <w:r>
        <w:rPr>
          <w:rFonts w:ascii="inter" w:eastAsia="inter" w:hAnsi="inter" w:cs="inter"/>
          <w:color w:val="000000"/>
          <w:sz w:val="18"/>
        </w:rPr>
        <w:t xml:space="preserve"> </w:t>
      </w:r>
    </w:p>
    <w:bookmarkStart w:id="9" w:name="fn10"/>
    <w:bookmarkEnd w:id="9"/>
    <w:p w:rsidR="00577B0A" w:rsidRDefault="00000000">
      <w:pPr>
        <w:numPr>
          <w:ilvl w:val="0"/>
          <w:numId w:val="8"/>
        </w:numPr>
        <w:spacing w:after="210" w:line="360" w:lineRule="auto"/>
      </w:pPr>
      <w:r>
        <w:fldChar w:fldCharType="begin"/>
      </w:r>
      <w:r>
        <w:instrText>HYPERLINK "https://www.playroll.com/white-label-hr-software" \h</w:instrText>
      </w:r>
      <w:r>
        <w:fldChar w:fldCharType="separate"/>
      </w:r>
      <w:r>
        <w:rPr>
          <w:rFonts w:ascii="inter" w:eastAsia="inter" w:hAnsi="inter" w:cs="inter"/>
          <w:sz w:val="18"/>
          <w:u w:val="single"/>
        </w:rPr>
        <w:t>https://www.playroll.com/white-label-hr-software</w:t>
      </w:r>
      <w:r>
        <w:fldChar w:fldCharType="end"/>
      </w:r>
      <w:r>
        <w:rPr>
          <w:rFonts w:ascii="inter" w:eastAsia="inter" w:hAnsi="inter" w:cs="inter"/>
          <w:color w:val="000000"/>
          <w:sz w:val="18"/>
        </w:rPr>
        <w:t xml:space="preserve"> </w:t>
      </w:r>
    </w:p>
    <w:sectPr w:rsidR="00577B0A">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inter">
    <w:altName w:val="Cambria"/>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B326E"/>
    <w:multiLevelType w:val="hybridMultilevel"/>
    <w:tmpl w:val="CD98CFAE"/>
    <w:lvl w:ilvl="0" w:tplc="CCDA6FBA">
      <w:numFmt w:val="decimal"/>
      <w:lvlText w:val=""/>
      <w:lvlJc w:val="left"/>
    </w:lvl>
    <w:lvl w:ilvl="1" w:tplc="8F4030DC">
      <w:numFmt w:val="decimal"/>
      <w:lvlText w:val=""/>
      <w:lvlJc w:val="left"/>
    </w:lvl>
    <w:lvl w:ilvl="2" w:tplc="CD5AA7A8">
      <w:numFmt w:val="decimal"/>
      <w:lvlText w:val=""/>
      <w:lvlJc w:val="left"/>
    </w:lvl>
    <w:lvl w:ilvl="3" w:tplc="5A9C8908">
      <w:numFmt w:val="decimal"/>
      <w:lvlText w:val=""/>
      <w:lvlJc w:val="left"/>
    </w:lvl>
    <w:lvl w:ilvl="4" w:tplc="99562254">
      <w:numFmt w:val="decimal"/>
      <w:lvlText w:val=""/>
      <w:lvlJc w:val="left"/>
    </w:lvl>
    <w:lvl w:ilvl="5" w:tplc="75A2511A">
      <w:numFmt w:val="decimal"/>
      <w:lvlText w:val=""/>
      <w:lvlJc w:val="left"/>
    </w:lvl>
    <w:lvl w:ilvl="6" w:tplc="B0E008FC">
      <w:numFmt w:val="decimal"/>
      <w:lvlText w:val=""/>
      <w:lvlJc w:val="left"/>
    </w:lvl>
    <w:lvl w:ilvl="7" w:tplc="03843508">
      <w:numFmt w:val="decimal"/>
      <w:lvlText w:val=""/>
      <w:lvlJc w:val="left"/>
    </w:lvl>
    <w:lvl w:ilvl="8" w:tplc="DFFEBE54">
      <w:numFmt w:val="decimal"/>
      <w:lvlText w:val=""/>
      <w:lvlJc w:val="left"/>
    </w:lvl>
  </w:abstractNum>
  <w:abstractNum w:abstractNumId="1" w15:restartNumberingAfterBreak="0">
    <w:nsid w:val="36773187"/>
    <w:multiLevelType w:val="hybridMultilevel"/>
    <w:tmpl w:val="8ADEFF7C"/>
    <w:lvl w:ilvl="0" w:tplc="C7AA4EE2">
      <w:start w:val="1"/>
      <w:numFmt w:val="decimal"/>
      <w:lvlText w:val="%1."/>
      <w:lvlJc w:val="left"/>
      <w:pPr>
        <w:tabs>
          <w:tab w:val="num" w:pos="900"/>
        </w:tabs>
        <w:ind w:left="540" w:hanging="360"/>
      </w:pPr>
    </w:lvl>
    <w:lvl w:ilvl="1" w:tplc="B8588CBA">
      <w:numFmt w:val="decimal"/>
      <w:lvlText w:val=""/>
      <w:lvlJc w:val="left"/>
    </w:lvl>
    <w:lvl w:ilvl="2" w:tplc="566AA54C">
      <w:numFmt w:val="decimal"/>
      <w:lvlText w:val=""/>
      <w:lvlJc w:val="left"/>
    </w:lvl>
    <w:lvl w:ilvl="3" w:tplc="C4DEEE66">
      <w:numFmt w:val="decimal"/>
      <w:lvlText w:val=""/>
      <w:lvlJc w:val="left"/>
    </w:lvl>
    <w:lvl w:ilvl="4" w:tplc="54CEFAEC">
      <w:numFmt w:val="decimal"/>
      <w:lvlText w:val=""/>
      <w:lvlJc w:val="left"/>
    </w:lvl>
    <w:lvl w:ilvl="5" w:tplc="BFD0307C">
      <w:numFmt w:val="decimal"/>
      <w:lvlText w:val=""/>
      <w:lvlJc w:val="left"/>
    </w:lvl>
    <w:lvl w:ilvl="6" w:tplc="768C4D80">
      <w:numFmt w:val="decimal"/>
      <w:lvlText w:val=""/>
      <w:lvlJc w:val="left"/>
    </w:lvl>
    <w:lvl w:ilvl="7" w:tplc="B11CF9AE">
      <w:numFmt w:val="decimal"/>
      <w:lvlText w:val=""/>
      <w:lvlJc w:val="left"/>
    </w:lvl>
    <w:lvl w:ilvl="8" w:tplc="20E453CC">
      <w:numFmt w:val="decimal"/>
      <w:lvlText w:val=""/>
      <w:lvlJc w:val="left"/>
    </w:lvl>
  </w:abstractNum>
  <w:abstractNum w:abstractNumId="2" w15:restartNumberingAfterBreak="0">
    <w:nsid w:val="3F611F2E"/>
    <w:multiLevelType w:val="hybridMultilevel"/>
    <w:tmpl w:val="AA028666"/>
    <w:lvl w:ilvl="0" w:tplc="5C4EB420">
      <w:start w:val="1"/>
      <w:numFmt w:val="bullet"/>
      <w:lvlText w:val=""/>
      <w:lvlJc w:val="left"/>
      <w:pPr>
        <w:tabs>
          <w:tab w:val="num" w:pos="900"/>
        </w:tabs>
        <w:ind w:left="540" w:hanging="360"/>
      </w:pPr>
      <w:rPr>
        <w:rFonts w:ascii="Symbol" w:hAnsi="Symbol" w:hint="default"/>
      </w:rPr>
    </w:lvl>
    <w:lvl w:ilvl="1" w:tplc="E4F419BC">
      <w:numFmt w:val="decimal"/>
      <w:lvlText w:val=""/>
      <w:lvlJc w:val="left"/>
    </w:lvl>
    <w:lvl w:ilvl="2" w:tplc="8E340D9C">
      <w:numFmt w:val="decimal"/>
      <w:lvlText w:val=""/>
      <w:lvlJc w:val="left"/>
    </w:lvl>
    <w:lvl w:ilvl="3" w:tplc="8A64AB4A">
      <w:numFmt w:val="decimal"/>
      <w:lvlText w:val=""/>
      <w:lvlJc w:val="left"/>
    </w:lvl>
    <w:lvl w:ilvl="4" w:tplc="CD1AEF9E">
      <w:numFmt w:val="decimal"/>
      <w:lvlText w:val=""/>
      <w:lvlJc w:val="left"/>
    </w:lvl>
    <w:lvl w:ilvl="5" w:tplc="13D07F3A">
      <w:numFmt w:val="decimal"/>
      <w:lvlText w:val=""/>
      <w:lvlJc w:val="left"/>
    </w:lvl>
    <w:lvl w:ilvl="6" w:tplc="718EBF4C">
      <w:numFmt w:val="decimal"/>
      <w:lvlText w:val=""/>
      <w:lvlJc w:val="left"/>
    </w:lvl>
    <w:lvl w:ilvl="7" w:tplc="7FC2D040">
      <w:numFmt w:val="decimal"/>
      <w:lvlText w:val=""/>
      <w:lvlJc w:val="left"/>
    </w:lvl>
    <w:lvl w:ilvl="8" w:tplc="DA380FD2">
      <w:numFmt w:val="decimal"/>
      <w:lvlText w:val=""/>
      <w:lvlJc w:val="left"/>
    </w:lvl>
  </w:abstractNum>
  <w:abstractNum w:abstractNumId="3" w15:restartNumberingAfterBreak="0">
    <w:nsid w:val="496B4BB7"/>
    <w:multiLevelType w:val="hybridMultilevel"/>
    <w:tmpl w:val="EFAC18CA"/>
    <w:lvl w:ilvl="0" w:tplc="8632A954">
      <w:start w:val="1"/>
      <w:numFmt w:val="bullet"/>
      <w:lvlText w:val=""/>
      <w:lvlJc w:val="left"/>
      <w:pPr>
        <w:tabs>
          <w:tab w:val="num" w:pos="900"/>
        </w:tabs>
        <w:ind w:left="540" w:hanging="360"/>
      </w:pPr>
      <w:rPr>
        <w:rFonts w:ascii="Symbol" w:hAnsi="Symbol" w:hint="default"/>
      </w:rPr>
    </w:lvl>
    <w:lvl w:ilvl="1" w:tplc="89FAB2E0">
      <w:numFmt w:val="decimal"/>
      <w:lvlText w:val=""/>
      <w:lvlJc w:val="left"/>
    </w:lvl>
    <w:lvl w:ilvl="2" w:tplc="C9486BDE">
      <w:numFmt w:val="decimal"/>
      <w:lvlText w:val=""/>
      <w:lvlJc w:val="left"/>
    </w:lvl>
    <w:lvl w:ilvl="3" w:tplc="87425DF8">
      <w:numFmt w:val="decimal"/>
      <w:lvlText w:val=""/>
      <w:lvlJc w:val="left"/>
    </w:lvl>
    <w:lvl w:ilvl="4" w:tplc="6F08DFFA">
      <w:numFmt w:val="decimal"/>
      <w:lvlText w:val=""/>
      <w:lvlJc w:val="left"/>
    </w:lvl>
    <w:lvl w:ilvl="5" w:tplc="19E83F0A">
      <w:numFmt w:val="decimal"/>
      <w:lvlText w:val=""/>
      <w:lvlJc w:val="left"/>
    </w:lvl>
    <w:lvl w:ilvl="6" w:tplc="CD8E5E7E">
      <w:numFmt w:val="decimal"/>
      <w:lvlText w:val=""/>
      <w:lvlJc w:val="left"/>
    </w:lvl>
    <w:lvl w:ilvl="7" w:tplc="86A0254E">
      <w:numFmt w:val="decimal"/>
      <w:lvlText w:val=""/>
      <w:lvlJc w:val="left"/>
    </w:lvl>
    <w:lvl w:ilvl="8" w:tplc="77B259BC">
      <w:numFmt w:val="decimal"/>
      <w:lvlText w:val=""/>
      <w:lvlJc w:val="left"/>
    </w:lvl>
  </w:abstractNum>
  <w:abstractNum w:abstractNumId="4" w15:restartNumberingAfterBreak="0">
    <w:nsid w:val="50CB459A"/>
    <w:multiLevelType w:val="hybridMultilevel"/>
    <w:tmpl w:val="C5E2FB32"/>
    <w:lvl w:ilvl="0" w:tplc="433CB4FA">
      <w:start w:val="1"/>
      <w:numFmt w:val="bullet"/>
      <w:lvlText w:val=""/>
      <w:lvlJc w:val="left"/>
      <w:pPr>
        <w:tabs>
          <w:tab w:val="num" w:pos="900"/>
        </w:tabs>
        <w:ind w:left="540" w:hanging="360"/>
      </w:pPr>
      <w:rPr>
        <w:rFonts w:ascii="Symbol" w:hAnsi="Symbol" w:hint="default"/>
      </w:rPr>
    </w:lvl>
    <w:lvl w:ilvl="1" w:tplc="4D88CD00">
      <w:numFmt w:val="decimal"/>
      <w:lvlText w:val=""/>
      <w:lvlJc w:val="left"/>
    </w:lvl>
    <w:lvl w:ilvl="2" w:tplc="1714AE72">
      <w:numFmt w:val="decimal"/>
      <w:lvlText w:val=""/>
      <w:lvlJc w:val="left"/>
    </w:lvl>
    <w:lvl w:ilvl="3" w:tplc="BE14A82E">
      <w:numFmt w:val="decimal"/>
      <w:lvlText w:val=""/>
      <w:lvlJc w:val="left"/>
    </w:lvl>
    <w:lvl w:ilvl="4" w:tplc="7910DE60">
      <w:numFmt w:val="decimal"/>
      <w:lvlText w:val=""/>
      <w:lvlJc w:val="left"/>
    </w:lvl>
    <w:lvl w:ilvl="5" w:tplc="B2948260">
      <w:numFmt w:val="decimal"/>
      <w:lvlText w:val=""/>
      <w:lvlJc w:val="left"/>
    </w:lvl>
    <w:lvl w:ilvl="6" w:tplc="117073DE">
      <w:numFmt w:val="decimal"/>
      <w:lvlText w:val=""/>
      <w:lvlJc w:val="left"/>
    </w:lvl>
    <w:lvl w:ilvl="7" w:tplc="7DE0A1D2">
      <w:numFmt w:val="decimal"/>
      <w:lvlText w:val=""/>
      <w:lvlJc w:val="left"/>
    </w:lvl>
    <w:lvl w:ilvl="8" w:tplc="5F6AD17E">
      <w:numFmt w:val="decimal"/>
      <w:lvlText w:val=""/>
      <w:lvlJc w:val="left"/>
    </w:lvl>
  </w:abstractNum>
  <w:abstractNum w:abstractNumId="5" w15:restartNumberingAfterBreak="0">
    <w:nsid w:val="5BF76A43"/>
    <w:multiLevelType w:val="hybridMultilevel"/>
    <w:tmpl w:val="CDE429F0"/>
    <w:lvl w:ilvl="0" w:tplc="54F82316">
      <w:start w:val="1"/>
      <w:numFmt w:val="bullet"/>
      <w:lvlText w:val=""/>
      <w:lvlJc w:val="left"/>
      <w:pPr>
        <w:tabs>
          <w:tab w:val="num" w:pos="900"/>
        </w:tabs>
        <w:ind w:left="540" w:hanging="360"/>
      </w:pPr>
      <w:rPr>
        <w:rFonts w:ascii="Symbol" w:hAnsi="Symbol" w:hint="default"/>
      </w:rPr>
    </w:lvl>
    <w:lvl w:ilvl="1" w:tplc="6570E7A2">
      <w:numFmt w:val="decimal"/>
      <w:lvlText w:val=""/>
      <w:lvlJc w:val="left"/>
    </w:lvl>
    <w:lvl w:ilvl="2" w:tplc="BCE2CC94">
      <w:numFmt w:val="decimal"/>
      <w:lvlText w:val=""/>
      <w:lvlJc w:val="left"/>
    </w:lvl>
    <w:lvl w:ilvl="3" w:tplc="D68EA786">
      <w:numFmt w:val="decimal"/>
      <w:lvlText w:val=""/>
      <w:lvlJc w:val="left"/>
    </w:lvl>
    <w:lvl w:ilvl="4" w:tplc="3C34FC36">
      <w:numFmt w:val="decimal"/>
      <w:lvlText w:val=""/>
      <w:lvlJc w:val="left"/>
    </w:lvl>
    <w:lvl w:ilvl="5" w:tplc="4754D950">
      <w:numFmt w:val="decimal"/>
      <w:lvlText w:val=""/>
      <w:lvlJc w:val="left"/>
    </w:lvl>
    <w:lvl w:ilvl="6" w:tplc="61FECC0E">
      <w:numFmt w:val="decimal"/>
      <w:lvlText w:val=""/>
      <w:lvlJc w:val="left"/>
    </w:lvl>
    <w:lvl w:ilvl="7" w:tplc="D36A25EE">
      <w:numFmt w:val="decimal"/>
      <w:lvlText w:val=""/>
      <w:lvlJc w:val="left"/>
    </w:lvl>
    <w:lvl w:ilvl="8" w:tplc="72BE7976">
      <w:numFmt w:val="decimal"/>
      <w:lvlText w:val=""/>
      <w:lvlJc w:val="left"/>
    </w:lvl>
  </w:abstractNum>
  <w:abstractNum w:abstractNumId="6" w15:restartNumberingAfterBreak="0">
    <w:nsid w:val="672C54AB"/>
    <w:multiLevelType w:val="hybridMultilevel"/>
    <w:tmpl w:val="C1DEF3AC"/>
    <w:lvl w:ilvl="0" w:tplc="CB2CE386">
      <w:start w:val="1"/>
      <w:numFmt w:val="bullet"/>
      <w:lvlText w:val=""/>
      <w:lvlJc w:val="left"/>
      <w:pPr>
        <w:tabs>
          <w:tab w:val="num" w:pos="900"/>
        </w:tabs>
        <w:ind w:left="540" w:hanging="360"/>
      </w:pPr>
      <w:rPr>
        <w:rFonts w:ascii="Symbol" w:hAnsi="Symbol" w:hint="default"/>
      </w:rPr>
    </w:lvl>
    <w:lvl w:ilvl="1" w:tplc="49906DCE">
      <w:numFmt w:val="decimal"/>
      <w:lvlText w:val=""/>
      <w:lvlJc w:val="left"/>
    </w:lvl>
    <w:lvl w:ilvl="2" w:tplc="FB129E56">
      <w:numFmt w:val="decimal"/>
      <w:lvlText w:val=""/>
      <w:lvlJc w:val="left"/>
    </w:lvl>
    <w:lvl w:ilvl="3" w:tplc="EF0AD2C6">
      <w:numFmt w:val="decimal"/>
      <w:lvlText w:val=""/>
      <w:lvlJc w:val="left"/>
    </w:lvl>
    <w:lvl w:ilvl="4" w:tplc="AA02AFF0">
      <w:numFmt w:val="decimal"/>
      <w:lvlText w:val=""/>
      <w:lvlJc w:val="left"/>
    </w:lvl>
    <w:lvl w:ilvl="5" w:tplc="3592B47A">
      <w:numFmt w:val="decimal"/>
      <w:lvlText w:val=""/>
      <w:lvlJc w:val="left"/>
    </w:lvl>
    <w:lvl w:ilvl="6" w:tplc="608AF330">
      <w:numFmt w:val="decimal"/>
      <w:lvlText w:val=""/>
      <w:lvlJc w:val="left"/>
    </w:lvl>
    <w:lvl w:ilvl="7" w:tplc="135CF8C6">
      <w:numFmt w:val="decimal"/>
      <w:lvlText w:val=""/>
      <w:lvlJc w:val="left"/>
    </w:lvl>
    <w:lvl w:ilvl="8" w:tplc="6BCCEA9A">
      <w:numFmt w:val="decimal"/>
      <w:lvlText w:val=""/>
      <w:lvlJc w:val="left"/>
    </w:lvl>
  </w:abstractNum>
  <w:abstractNum w:abstractNumId="7" w15:restartNumberingAfterBreak="0">
    <w:nsid w:val="74A660E1"/>
    <w:multiLevelType w:val="hybridMultilevel"/>
    <w:tmpl w:val="A1187FE6"/>
    <w:lvl w:ilvl="0" w:tplc="FB883C88">
      <w:start w:val="1"/>
      <w:numFmt w:val="bullet"/>
      <w:lvlText w:val=""/>
      <w:lvlJc w:val="left"/>
      <w:pPr>
        <w:tabs>
          <w:tab w:val="num" w:pos="900"/>
        </w:tabs>
        <w:ind w:left="540" w:hanging="360"/>
      </w:pPr>
      <w:rPr>
        <w:rFonts w:ascii="Symbol" w:hAnsi="Symbol" w:hint="default"/>
      </w:rPr>
    </w:lvl>
    <w:lvl w:ilvl="1" w:tplc="BF384F08">
      <w:numFmt w:val="decimal"/>
      <w:lvlText w:val=""/>
      <w:lvlJc w:val="left"/>
    </w:lvl>
    <w:lvl w:ilvl="2" w:tplc="479EF66E">
      <w:numFmt w:val="decimal"/>
      <w:lvlText w:val=""/>
      <w:lvlJc w:val="left"/>
    </w:lvl>
    <w:lvl w:ilvl="3" w:tplc="82465B36">
      <w:numFmt w:val="decimal"/>
      <w:lvlText w:val=""/>
      <w:lvlJc w:val="left"/>
    </w:lvl>
    <w:lvl w:ilvl="4" w:tplc="8878CA0E">
      <w:numFmt w:val="decimal"/>
      <w:lvlText w:val=""/>
      <w:lvlJc w:val="left"/>
    </w:lvl>
    <w:lvl w:ilvl="5" w:tplc="F0905C50">
      <w:numFmt w:val="decimal"/>
      <w:lvlText w:val=""/>
      <w:lvlJc w:val="left"/>
    </w:lvl>
    <w:lvl w:ilvl="6" w:tplc="D994B3BE">
      <w:numFmt w:val="decimal"/>
      <w:lvlText w:val=""/>
      <w:lvlJc w:val="left"/>
    </w:lvl>
    <w:lvl w:ilvl="7" w:tplc="F5EC0F74">
      <w:numFmt w:val="decimal"/>
      <w:lvlText w:val=""/>
      <w:lvlJc w:val="left"/>
    </w:lvl>
    <w:lvl w:ilvl="8" w:tplc="282476E4">
      <w:numFmt w:val="decimal"/>
      <w:lvlText w:val=""/>
      <w:lvlJc w:val="left"/>
    </w:lvl>
  </w:abstractNum>
  <w:num w:numId="1" w16cid:durableId="492264200">
    <w:abstractNumId w:val="4"/>
  </w:num>
  <w:num w:numId="2" w16cid:durableId="571697604">
    <w:abstractNumId w:val="2"/>
  </w:num>
  <w:num w:numId="3" w16cid:durableId="1359355383">
    <w:abstractNumId w:val="5"/>
  </w:num>
  <w:num w:numId="4" w16cid:durableId="1064528666">
    <w:abstractNumId w:val="6"/>
  </w:num>
  <w:num w:numId="5" w16cid:durableId="1612974591">
    <w:abstractNumId w:val="3"/>
  </w:num>
  <w:num w:numId="6" w16cid:durableId="1187210664">
    <w:abstractNumId w:val="7"/>
  </w:num>
  <w:num w:numId="7" w16cid:durableId="69422950">
    <w:abstractNumId w:val="0"/>
  </w:num>
  <w:num w:numId="8" w16cid:durableId="7941814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7B0A"/>
    <w:rsid w:val="0033435C"/>
    <w:rsid w:val="003B69F1"/>
    <w:rsid w:val="00513BE1"/>
    <w:rsid w:val="00577B0A"/>
    <w:rsid w:val="005B587A"/>
    <w:rsid w:val="00C86B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0AD7CD95"/>
  <w15:docId w15:val="{98542DD5-3462-444A-99B8-95D245F2A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5</Pages>
  <Words>1131</Words>
  <Characters>6451</Characters>
  <Application>Microsoft Office Word</Application>
  <DocSecurity>0</DocSecurity>
  <Lines>53</Lines>
  <Paragraphs>15</Paragraphs>
  <ScaleCrop>false</ScaleCrop>
  <Company/>
  <LinksUpToDate>false</LinksUpToDate>
  <CharactersWithSpaces>7567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Oleg Pravdin</cp:lastModifiedBy>
  <cp:revision>4</cp:revision>
  <dcterms:created xsi:type="dcterms:W3CDTF">2025-08-30T17:33:00Z</dcterms:created>
  <dcterms:modified xsi:type="dcterms:W3CDTF">2025-08-30T17:49:00Z</dcterms:modified>
</cp:coreProperties>
</file>